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C194A38" wp14:paraId="0D679E2B" wp14:textId="1E2A2A73">
      <w:pPr>
        <w:pStyle w:val="Normal"/>
        <w:spacing w:before="0" w:beforeAutospacing="off" w:after="0" w:afterAutospacing="off"/>
        <w:ind w:left="0"/>
      </w:pPr>
      <w:r w:rsidRPr="7C194A38" w:rsidR="7C194A38">
        <w:rPr>
          <w:rFonts w:ascii="Calibri" w:hAnsi="Calibri" w:eastAsia="Calibri" w:cs="Calibri"/>
          <w:noProof w:val="0"/>
          <w:sz w:val="22"/>
          <w:szCs w:val="22"/>
          <w:lang w:val="es-ES"/>
        </w:rPr>
        <w:t xml:space="preserve">La empresa, “La casa de la </w:t>
      </w:r>
      <w:r w:rsidRPr="7C194A38" w:rsidR="7C194A38">
        <w:rPr>
          <w:rFonts w:ascii="Calibri" w:hAnsi="Calibri" w:eastAsia="Calibri" w:cs="Calibri"/>
          <w:noProof w:val="0"/>
          <w:sz w:val="22"/>
          <w:szCs w:val="22"/>
          <w:lang w:val="es-ES"/>
        </w:rPr>
        <w:t>abue</w:t>
      </w:r>
      <w:r w:rsidRPr="7C194A38" w:rsidR="7C194A38">
        <w:rPr>
          <w:rFonts w:ascii="Calibri" w:hAnsi="Calibri" w:eastAsia="Calibri" w:cs="Calibri"/>
          <w:noProof w:val="0"/>
          <w:sz w:val="22"/>
          <w:szCs w:val="22"/>
          <w:lang w:val="es-ES"/>
        </w:rPr>
        <w:t xml:space="preserve">”, se dedica desde hace más de 5 años a la elaboración de repostería fina. Está ubicada en la ciudad de México, en la zona Sur. Desde hace poco más de medio año, inició con la incursión de un nuevo producto en su cartera: los </w:t>
      </w:r>
      <w:r w:rsidRPr="7C194A38" w:rsidR="7C194A38">
        <w:rPr>
          <w:rFonts w:ascii="Calibri" w:hAnsi="Calibri" w:eastAsia="Calibri" w:cs="Calibri"/>
          <w:noProof w:val="0"/>
          <w:sz w:val="22"/>
          <w:szCs w:val="22"/>
          <w:lang w:val="es-ES"/>
        </w:rPr>
        <w:t>cupcakes</w:t>
      </w:r>
      <w:r w:rsidRPr="7C194A38" w:rsidR="7C194A38">
        <w:rPr>
          <w:rFonts w:ascii="Calibri" w:hAnsi="Calibri" w:eastAsia="Calibri" w:cs="Calibri"/>
          <w:noProof w:val="0"/>
          <w:sz w:val="22"/>
          <w:szCs w:val="22"/>
          <w:lang w:val="es-ES"/>
        </w:rPr>
        <w:t xml:space="preserve">. </w:t>
      </w:r>
      <w:r w:rsidRPr="7C194A38" w:rsidR="7C194A38">
        <w:rPr>
          <w:rFonts w:ascii="Calibri" w:hAnsi="Calibri" w:eastAsia="Calibri" w:cs="Calibri"/>
          <w:noProof w:val="0"/>
          <w:sz w:val="22"/>
          <w:szCs w:val="22"/>
          <w:lang w:val="es-ES"/>
        </w:rPr>
        <w:t>Debido a que se tiene poca experiencia en éste nuevo producto, no se ha logrado encontrar un estándar en cuanto al producto final.</w:t>
      </w:r>
      <w:r w:rsidRPr="7C194A38" w:rsidR="7C194A38">
        <w:rPr>
          <w:rFonts w:ascii="Calibri" w:hAnsi="Calibri" w:eastAsia="Calibri" w:cs="Calibri"/>
          <w:noProof w:val="0"/>
          <w:sz w:val="22"/>
          <w:szCs w:val="22"/>
          <w:lang w:val="es-ES"/>
        </w:rPr>
        <w:t xml:space="preserve"> Los pasteles que ofrece y la pasta seca, se caracterizan, además del sabor, por su estandarización tanto en la presentación, cómo en los ingredientes. En el último lote que se elaboró, se pesaron cada uno de los </w:t>
      </w:r>
      <w:r w:rsidRPr="7C194A38" w:rsidR="7C194A38">
        <w:rPr>
          <w:rFonts w:ascii="Calibri" w:hAnsi="Calibri" w:eastAsia="Calibri" w:cs="Calibri"/>
          <w:noProof w:val="0"/>
          <w:sz w:val="22"/>
          <w:szCs w:val="22"/>
          <w:lang w:val="es-ES"/>
        </w:rPr>
        <w:t>cupcakes</w:t>
      </w:r>
      <w:r w:rsidRPr="7C194A38" w:rsidR="7C194A38">
        <w:rPr>
          <w:rFonts w:ascii="Calibri" w:hAnsi="Calibri" w:eastAsia="Calibri" w:cs="Calibri"/>
          <w:noProof w:val="0"/>
          <w:sz w:val="22"/>
          <w:szCs w:val="22"/>
          <w:lang w:val="es-ES"/>
        </w:rPr>
        <w:t xml:space="preserve"> que se hicieron. La siguiente lista representa el peso en gramos de cada uno de los pastelitos: </w:t>
      </w:r>
    </w:p>
    <w:p xmlns:wp14="http://schemas.microsoft.com/office/word/2010/wordml" w:rsidP="7C194A38" wp14:paraId="355DEBDA" wp14:textId="1E2380BD">
      <w:pPr>
        <w:pStyle w:val="Normal"/>
        <w:spacing w:before="0" w:beforeAutospacing="off" w:after="0" w:afterAutospacing="off"/>
        <w:ind w:left="0"/>
        <w:rPr>
          <w:rFonts w:ascii="Calibri" w:hAnsi="Calibri" w:eastAsia="Calibri" w:cs="Calibri"/>
          <w:noProof w:val="0"/>
          <w:sz w:val="22"/>
          <w:szCs w:val="22"/>
          <w:lang w:val="es-ES"/>
        </w:rPr>
      </w:pPr>
    </w:p>
    <w:p xmlns:wp14="http://schemas.microsoft.com/office/word/2010/wordml" w:rsidP="7C194A38" wp14:paraId="286C8A90" wp14:textId="2A72B781">
      <w:pPr>
        <w:pStyle w:val="Normal"/>
        <w:spacing w:before="0" w:beforeAutospacing="off" w:after="0" w:afterAutospacing="off"/>
        <w:ind w:left="0"/>
      </w:pPr>
      <w:r w:rsidRPr="7C194A38" w:rsidR="7C194A38">
        <w:rPr>
          <w:rFonts w:ascii="Calibri" w:hAnsi="Calibri" w:eastAsia="Calibri" w:cs="Calibri"/>
          <w:noProof w:val="0"/>
          <w:sz w:val="22"/>
          <w:szCs w:val="22"/>
          <w:lang w:val="es-ES"/>
        </w:rPr>
        <w:t>50.3, 50.5, 50.8, 51.3, 51.7, 51.3, 51.1, 51.4, 51.3, 51.6, 50.2, 50.5, 50.7,50.0, 51.1, 50.4 ,50.6, 51.2, 50.4, 50.8, 50.2 , 50.6, 51.2, 50.4, 50.8, 50.2, 50.6, 49.4, 49.6, 50.8, 49.9 , 50.4, 50.1, 51.0, 49.3, 49.5, 49.1, 50.9 , 49.6, 49.8, 49.5, 49.7, 50.0, 51.1, 49.7, 50.3, 50.4, 50.8, 49.9, 51.7, 50.0, 50.2, 49.2, 49.1, 49.2, 51.1, 50.8, 49.7, 50.5, 50.4, 49.5, 49.7, 50.5, 50.3, 50.0, 50.1, 49.1, 51.4, 50.9, 49.1, 50.6, 50.4, 50.6, 49.7, 49.2, 50.1, 49.9, 49.6, 50.7, 49.3, 50.2, 50.7, 49.3, 49.3, 50.3, 49.1, 49.9, 49.8, 50.3, 50.1, 50.5, 49.5, 50.8, 50.0, 50.7, 50.5, 49.4, 50.7, 49.1, 50.8, 50.6, 49.1, 49.3</w:t>
      </w:r>
    </w:p>
    <w:p xmlns:wp14="http://schemas.microsoft.com/office/word/2010/wordml" w:rsidP="7C194A38" wp14:paraId="2F13DA5C" wp14:textId="7CDBC719">
      <w:pPr>
        <w:pStyle w:val="Normal"/>
        <w:spacing w:before="0" w:beforeAutospacing="off" w:after="0" w:afterAutospacing="off"/>
        <w:ind w:left="0"/>
        <w:rPr>
          <w:rFonts w:ascii="Calibri" w:hAnsi="Calibri" w:eastAsia="Calibri" w:cs="Calibri"/>
          <w:noProof w:val="0"/>
          <w:sz w:val="22"/>
          <w:szCs w:val="22"/>
          <w:lang w:val="es-ES"/>
        </w:rPr>
      </w:pPr>
    </w:p>
    <w:p xmlns:wp14="http://schemas.microsoft.com/office/word/2010/wordml" w:rsidP="7C194A38" wp14:paraId="1A7A68F5" wp14:textId="104ECB9E">
      <w:pPr>
        <w:pStyle w:val="Normal"/>
        <w:spacing w:before="0" w:beforeAutospacing="off" w:after="0" w:afterAutospacing="off"/>
        <w:ind w:left="0"/>
        <w:rPr>
          <w:rFonts w:ascii="Calibri" w:hAnsi="Calibri" w:eastAsia="Calibri" w:cs="Calibri"/>
          <w:noProof w:val="0"/>
          <w:sz w:val="22"/>
          <w:szCs w:val="22"/>
          <w:lang w:val="es-ES"/>
        </w:rPr>
      </w:pPr>
      <w:r w:rsidRPr="7C194A38" w:rsidR="7C194A38">
        <w:rPr>
          <w:rFonts w:ascii="Calibri" w:hAnsi="Calibri" w:eastAsia="Calibri" w:cs="Calibri"/>
          <w:noProof w:val="0"/>
          <w:sz w:val="22"/>
          <w:szCs w:val="22"/>
          <w:lang w:val="es-ES"/>
        </w:rPr>
        <w:t>Es</w:t>
      </w:r>
      <w:r w:rsidRPr="7C194A38" w:rsidR="7C194A38">
        <w:rPr>
          <w:rFonts w:ascii="Calibri" w:hAnsi="Calibri" w:eastAsia="Calibri" w:cs="Calibri"/>
          <w:noProof w:val="0"/>
          <w:sz w:val="22"/>
          <w:szCs w:val="22"/>
          <w:lang w:val="es-ES"/>
        </w:rPr>
        <w:t>tadística</w:t>
      </w:r>
      <w:r w:rsidRPr="7C194A38" w:rsidR="7C194A38">
        <w:rPr>
          <w:rFonts w:ascii="Calibri" w:hAnsi="Calibri" w:eastAsia="Calibri" w:cs="Calibri"/>
          <w:noProof w:val="0"/>
          <w:sz w:val="22"/>
          <w:szCs w:val="22"/>
          <w:lang w:val="es-ES"/>
        </w:rPr>
        <w:t xml:space="preserve"> D</w:t>
      </w:r>
      <w:r w:rsidRPr="7C194A38" w:rsidR="7C194A38">
        <w:rPr>
          <w:rFonts w:ascii="Calibri" w:hAnsi="Calibri" w:eastAsia="Calibri" w:cs="Calibri"/>
          <w:noProof w:val="0"/>
          <w:sz w:val="22"/>
          <w:szCs w:val="22"/>
          <w:lang w:val="es-ES"/>
        </w:rPr>
        <w:t>escriptiva:</w:t>
      </w:r>
    </w:p>
    <w:p xmlns:wp14="http://schemas.microsoft.com/office/word/2010/wordml" w:rsidP="7C194A38" wp14:paraId="2062F16D" wp14:textId="526FB572">
      <w:pPr>
        <w:pStyle w:val="Normal"/>
        <w:spacing w:before="0" w:beforeAutospacing="off" w:after="0" w:afterAutospacing="off"/>
        <w:ind w:left="0"/>
      </w:pPr>
    </w:p>
    <w:p xmlns:wp14="http://schemas.microsoft.com/office/word/2010/wordml" w:rsidP="7C194A38" wp14:paraId="674121D1" wp14:textId="75F98B63">
      <w:pPr>
        <w:pStyle w:val="Normal"/>
        <w:spacing w:before="0" w:beforeAutospacing="off" w:after="0" w:afterAutospacing="off"/>
        <w:ind w:left="0"/>
      </w:pPr>
      <w:r w:rsidRPr="7C194A38" w:rsidR="7C194A38">
        <w:rPr>
          <w:rFonts w:ascii="Calibri" w:hAnsi="Calibri" w:eastAsia="Calibri" w:cs="Calibri"/>
          <w:b w:val="1"/>
          <w:bCs w:val="1"/>
          <w:i w:val="0"/>
          <w:iCs w:val="0"/>
          <w:strike w:val="0"/>
          <w:dstrike w:val="0"/>
          <w:color w:val="305496"/>
          <w:sz w:val="28"/>
          <w:szCs w:val="28"/>
          <w:u w:val="none"/>
        </w:rPr>
        <w:t>Medida de Tendencia Central</w:t>
      </w:r>
    </w:p>
    <w:p xmlns:wp14="http://schemas.microsoft.com/office/word/2010/wordml" w:rsidP="7C194A38" wp14:paraId="2EF3AD58" wp14:textId="55DFAB9A">
      <w:pPr>
        <w:pStyle w:val="Normal"/>
        <w:spacing w:before="0" w:beforeAutospacing="off" w:after="0" w:afterAutospacing="off"/>
        <w:ind w:left="0"/>
        <w:rPr>
          <w:rFonts w:ascii="system-ui" w:hAnsi="system-ui" w:eastAsia="system-ui" w:cs="system-ui"/>
          <w:b w:val="0"/>
          <w:bCs w:val="0"/>
          <w:i w:val="0"/>
          <w:iCs w:val="0"/>
          <w:caps w:val="0"/>
          <w:smallCaps w:val="0"/>
          <w:noProof w:val="0"/>
          <w:color w:val="D1D5DB"/>
          <w:sz w:val="24"/>
          <w:szCs w:val="24"/>
          <w:lang w:val="es-ES"/>
        </w:rPr>
      </w:pPr>
    </w:p>
    <w:tbl>
      <w:tblPr>
        <w:tblStyle w:val="TableNormal"/>
        <w:tblW w:w="0" w:type="auto"/>
        <w:tblLayout w:type="fixed"/>
        <w:tblLook w:val="06A0" w:firstRow="1" w:lastRow="0" w:firstColumn="1" w:lastColumn="0" w:noHBand="1" w:noVBand="1"/>
      </w:tblPr>
      <w:tblGrid>
        <w:gridCol w:w="960"/>
        <w:gridCol w:w="4365"/>
        <w:gridCol w:w="1965"/>
      </w:tblGrid>
      <w:tr w:rsidR="7C194A38" w:rsidTr="7C194A38" w14:paraId="532B6964">
        <w:trPr>
          <w:trHeight w:val="375"/>
        </w:trPr>
        <w:tc>
          <w:tcPr>
            <w:tcW w:w="960" w:type="dxa"/>
            <w:tcBorders>
              <w:top w:val="nil"/>
              <w:left w:val="nil"/>
              <w:bottom w:val="nil"/>
              <w:right w:val="nil"/>
            </w:tcBorders>
            <w:tcMar>
              <w:top w:w="15" w:type="dxa"/>
              <w:left w:w="15" w:type="dxa"/>
              <w:right w:w="15" w:type="dxa"/>
            </w:tcMar>
            <w:vAlign w:val="bottom"/>
          </w:tcPr>
          <w:p w:rsidR="7C194A38" w:rsidP="7C194A38" w:rsidRDefault="7C194A38" w14:paraId="432AFD04" w14:textId="796BA017">
            <w:pPr>
              <w:ind w:left="708"/>
            </w:pPr>
          </w:p>
        </w:tc>
        <w:tc>
          <w:tcPr>
            <w:tcW w:w="4365" w:type="dxa"/>
            <w:tcBorders>
              <w:top w:val="nil"/>
              <w:left w:val="nil"/>
              <w:bottom w:val="nil"/>
              <w:right w:val="nil"/>
            </w:tcBorders>
            <w:shd w:val="clear" w:color="auto" w:fill="1E8BCD"/>
            <w:tcMar>
              <w:top w:w="15" w:type="dxa"/>
              <w:left w:w="15" w:type="dxa"/>
              <w:right w:w="15" w:type="dxa"/>
            </w:tcMar>
            <w:vAlign w:val="bottom"/>
          </w:tcPr>
          <w:p w:rsidR="7C194A38" w:rsidP="7C194A38" w:rsidRDefault="7C194A38" w14:paraId="3676DDCF" w14:textId="4744EFB8">
            <w:pPr>
              <w:spacing w:before="0" w:beforeAutospacing="off" w:after="0" w:afterAutospacing="off"/>
              <w:ind w:left="708"/>
            </w:pPr>
            <w:r w:rsidRPr="7C194A38" w:rsidR="7C194A38">
              <w:rPr>
                <w:rFonts w:ascii="Calibri" w:hAnsi="Calibri" w:eastAsia="Calibri" w:cs="Calibri"/>
                <w:b w:val="1"/>
                <w:bCs w:val="1"/>
                <w:i w:val="0"/>
                <w:iCs w:val="0"/>
                <w:strike w:val="0"/>
                <w:dstrike w:val="0"/>
                <w:color w:val="305496"/>
                <w:sz w:val="28"/>
                <w:szCs w:val="28"/>
                <w:u w:val="none"/>
              </w:rPr>
              <w:t>Medida de Tendencia Central</w:t>
            </w:r>
          </w:p>
        </w:tc>
        <w:tc>
          <w:tcPr>
            <w:tcW w:w="1965" w:type="dxa"/>
            <w:tcBorders>
              <w:top w:val="nil"/>
              <w:left w:val="nil"/>
              <w:bottom w:val="nil"/>
              <w:right w:val="nil"/>
            </w:tcBorders>
            <w:shd w:val="clear" w:color="auto" w:fill="1E8BCD"/>
            <w:tcMar>
              <w:top w:w="15" w:type="dxa"/>
              <w:left w:w="15" w:type="dxa"/>
              <w:right w:w="15" w:type="dxa"/>
            </w:tcMar>
            <w:vAlign w:val="bottom"/>
          </w:tcPr>
          <w:p w:rsidR="7C194A38" w:rsidP="7C194A38" w:rsidRDefault="7C194A38" w14:paraId="55B5CA2D" w14:textId="19876485">
            <w:pPr>
              <w:spacing w:before="0" w:beforeAutospacing="off" w:after="0" w:afterAutospacing="off"/>
              <w:ind w:left="708"/>
              <w:jc w:val="center"/>
            </w:pPr>
            <w:r w:rsidRPr="7C194A38" w:rsidR="7C194A38">
              <w:rPr>
                <w:rFonts w:ascii="Calibri" w:hAnsi="Calibri" w:eastAsia="Calibri" w:cs="Calibri"/>
                <w:b w:val="1"/>
                <w:bCs w:val="1"/>
                <w:i w:val="0"/>
                <w:iCs w:val="0"/>
                <w:strike w:val="0"/>
                <w:dstrike w:val="0"/>
                <w:color w:val="305496"/>
                <w:sz w:val="28"/>
                <w:szCs w:val="28"/>
                <w:u w:val="none"/>
              </w:rPr>
              <w:t>Valor</w:t>
            </w:r>
          </w:p>
        </w:tc>
      </w:tr>
      <w:tr w:rsidR="7C194A38" w:rsidTr="7C194A38" w14:paraId="630F7B75">
        <w:trPr>
          <w:trHeight w:val="375"/>
        </w:trPr>
        <w:tc>
          <w:tcPr>
            <w:tcW w:w="960" w:type="dxa"/>
            <w:tcBorders>
              <w:top w:val="nil"/>
              <w:left w:val="nil"/>
              <w:bottom w:val="nil"/>
              <w:right w:val="nil"/>
            </w:tcBorders>
            <w:tcMar>
              <w:top w:w="15" w:type="dxa"/>
              <w:left w:w="15" w:type="dxa"/>
              <w:right w:w="15" w:type="dxa"/>
            </w:tcMar>
            <w:vAlign w:val="bottom"/>
          </w:tcPr>
          <w:p w:rsidR="7C194A38" w:rsidP="7C194A38" w:rsidRDefault="7C194A38" w14:paraId="38C69912" w14:textId="1FEA28E0">
            <w:pPr>
              <w:ind w:left="708"/>
            </w:pPr>
          </w:p>
        </w:tc>
        <w:tc>
          <w:tcPr>
            <w:tcW w:w="4365" w:type="dxa"/>
            <w:tcBorders>
              <w:top w:val="nil"/>
              <w:left w:val="nil"/>
              <w:bottom w:val="nil"/>
              <w:right w:val="nil"/>
            </w:tcBorders>
            <w:shd w:val="clear" w:color="auto" w:fill="D9E1F2"/>
            <w:tcMar>
              <w:top w:w="15" w:type="dxa"/>
              <w:left w:w="15" w:type="dxa"/>
              <w:right w:w="15" w:type="dxa"/>
            </w:tcMar>
            <w:vAlign w:val="bottom"/>
          </w:tcPr>
          <w:p w:rsidR="7C194A38" w:rsidP="7C194A38" w:rsidRDefault="7C194A38" w14:paraId="56A4E8E7" w14:textId="4E5B7CB7">
            <w:pPr>
              <w:spacing w:before="0" w:beforeAutospacing="off" w:after="0" w:afterAutospacing="off"/>
              <w:ind w:left="708"/>
            </w:pPr>
            <w:r w:rsidRPr="7C194A38" w:rsidR="7C194A38">
              <w:rPr>
                <w:rFonts w:ascii="Calibri" w:hAnsi="Calibri" w:eastAsia="Calibri" w:cs="Calibri"/>
                <w:b w:val="0"/>
                <w:bCs w:val="0"/>
                <w:i w:val="0"/>
                <w:iCs w:val="0"/>
                <w:strike w:val="0"/>
                <w:dstrike w:val="0"/>
                <w:color w:val="305496"/>
                <w:sz w:val="28"/>
                <w:szCs w:val="28"/>
                <w:u w:val="none"/>
              </w:rPr>
              <w:t>Moda</w:t>
            </w:r>
          </w:p>
        </w:tc>
        <w:tc>
          <w:tcPr>
            <w:tcW w:w="1965" w:type="dxa"/>
            <w:tcBorders>
              <w:top w:val="nil"/>
              <w:left w:val="nil"/>
              <w:bottom w:val="nil"/>
              <w:right w:val="nil"/>
            </w:tcBorders>
            <w:shd w:val="clear" w:color="auto" w:fill="D9E1F2"/>
            <w:tcMar>
              <w:top w:w="15" w:type="dxa"/>
              <w:left w:w="15" w:type="dxa"/>
              <w:right w:w="15" w:type="dxa"/>
            </w:tcMar>
            <w:vAlign w:val="center"/>
          </w:tcPr>
          <w:p w:rsidR="7C194A38" w:rsidP="7C194A38" w:rsidRDefault="7C194A38" w14:paraId="74AF0E0D" w14:textId="6B447BBD">
            <w:pPr>
              <w:spacing w:before="0" w:beforeAutospacing="off" w:after="0" w:afterAutospacing="off"/>
              <w:ind w:left="708"/>
              <w:jc w:val="center"/>
            </w:pPr>
            <w:r w:rsidRPr="7C194A38" w:rsidR="7C194A38">
              <w:rPr>
                <w:rFonts w:ascii="Calibri" w:hAnsi="Calibri" w:eastAsia="Calibri" w:cs="Calibri"/>
                <w:b w:val="0"/>
                <w:bCs w:val="0"/>
                <w:i w:val="0"/>
                <w:iCs w:val="0"/>
                <w:strike w:val="0"/>
                <w:dstrike w:val="0"/>
                <w:color w:val="305496"/>
                <w:sz w:val="28"/>
                <w:szCs w:val="28"/>
                <w:u w:val="none"/>
              </w:rPr>
              <w:t>50.8</w:t>
            </w:r>
          </w:p>
        </w:tc>
      </w:tr>
      <w:tr w:rsidR="7C194A38" w:rsidTr="7C194A38" w14:paraId="202DC164">
        <w:trPr>
          <w:trHeight w:val="375"/>
        </w:trPr>
        <w:tc>
          <w:tcPr>
            <w:tcW w:w="960" w:type="dxa"/>
            <w:tcBorders>
              <w:top w:val="nil"/>
              <w:left w:val="nil"/>
              <w:bottom w:val="nil"/>
              <w:right w:val="nil"/>
            </w:tcBorders>
            <w:tcMar>
              <w:top w:w="15" w:type="dxa"/>
              <w:left w:w="15" w:type="dxa"/>
              <w:right w:w="15" w:type="dxa"/>
            </w:tcMar>
            <w:vAlign w:val="bottom"/>
          </w:tcPr>
          <w:p w:rsidR="7C194A38" w:rsidP="7C194A38" w:rsidRDefault="7C194A38" w14:paraId="118F5AB2" w14:textId="651E14A3">
            <w:pPr>
              <w:ind w:left="708"/>
            </w:pPr>
          </w:p>
        </w:tc>
        <w:tc>
          <w:tcPr>
            <w:tcW w:w="4365" w:type="dxa"/>
            <w:tcBorders>
              <w:top w:val="nil"/>
              <w:left w:val="nil"/>
              <w:bottom w:val="nil"/>
              <w:right w:val="nil"/>
            </w:tcBorders>
            <w:tcMar>
              <w:top w:w="15" w:type="dxa"/>
              <w:left w:w="15" w:type="dxa"/>
              <w:right w:w="15" w:type="dxa"/>
            </w:tcMar>
            <w:vAlign w:val="bottom"/>
          </w:tcPr>
          <w:p w:rsidR="7C194A38" w:rsidP="7C194A38" w:rsidRDefault="7C194A38" w14:paraId="212D88F8" w14:textId="7D25996B">
            <w:pPr>
              <w:spacing w:before="0" w:beforeAutospacing="off" w:after="0" w:afterAutospacing="off"/>
              <w:ind w:left="708"/>
            </w:pPr>
            <w:r w:rsidRPr="7C194A38" w:rsidR="7C194A38">
              <w:rPr>
                <w:rFonts w:ascii="Calibri" w:hAnsi="Calibri" w:eastAsia="Calibri" w:cs="Calibri"/>
                <w:b w:val="0"/>
                <w:bCs w:val="0"/>
                <w:i w:val="0"/>
                <w:iCs w:val="0"/>
                <w:strike w:val="0"/>
                <w:dstrike w:val="0"/>
                <w:color w:val="305496"/>
                <w:sz w:val="28"/>
                <w:szCs w:val="28"/>
                <w:u w:val="none"/>
              </w:rPr>
              <w:t>Media</w:t>
            </w:r>
          </w:p>
        </w:tc>
        <w:tc>
          <w:tcPr>
            <w:tcW w:w="1965" w:type="dxa"/>
            <w:tcBorders>
              <w:top w:val="nil"/>
              <w:left w:val="nil"/>
              <w:bottom w:val="nil"/>
              <w:right w:val="nil"/>
            </w:tcBorders>
            <w:tcMar>
              <w:top w:w="15" w:type="dxa"/>
              <w:left w:w="15" w:type="dxa"/>
              <w:right w:w="15" w:type="dxa"/>
            </w:tcMar>
            <w:vAlign w:val="center"/>
          </w:tcPr>
          <w:p w:rsidR="7C194A38" w:rsidP="7C194A38" w:rsidRDefault="7C194A38" w14:paraId="29404A46" w14:textId="136115AE">
            <w:pPr>
              <w:spacing w:before="0" w:beforeAutospacing="off" w:after="0" w:afterAutospacing="off"/>
              <w:ind w:left="708"/>
              <w:jc w:val="center"/>
            </w:pPr>
            <w:r w:rsidRPr="7C194A38" w:rsidR="7C194A38">
              <w:rPr>
                <w:rFonts w:ascii="Calibri" w:hAnsi="Calibri" w:eastAsia="Calibri" w:cs="Calibri"/>
                <w:b w:val="0"/>
                <w:bCs w:val="0"/>
                <w:i w:val="0"/>
                <w:iCs w:val="0"/>
                <w:strike w:val="0"/>
                <w:dstrike w:val="0"/>
                <w:color w:val="305496"/>
                <w:sz w:val="28"/>
                <w:szCs w:val="28"/>
                <w:u w:val="none"/>
              </w:rPr>
              <w:t>50.23883495</w:t>
            </w:r>
          </w:p>
        </w:tc>
      </w:tr>
      <w:tr w:rsidR="7C194A38" w:rsidTr="7C194A38" w14:paraId="48A66C17">
        <w:trPr>
          <w:trHeight w:val="375"/>
        </w:trPr>
        <w:tc>
          <w:tcPr>
            <w:tcW w:w="960" w:type="dxa"/>
            <w:tcBorders>
              <w:top w:val="nil"/>
              <w:left w:val="nil"/>
              <w:bottom w:val="nil"/>
              <w:right w:val="nil"/>
            </w:tcBorders>
            <w:tcMar>
              <w:top w:w="15" w:type="dxa"/>
              <w:left w:w="15" w:type="dxa"/>
              <w:right w:w="15" w:type="dxa"/>
            </w:tcMar>
            <w:vAlign w:val="bottom"/>
          </w:tcPr>
          <w:p w:rsidR="7C194A38" w:rsidP="7C194A38" w:rsidRDefault="7C194A38" w14:paraId="44298827" w14:textId="05C9D616">
            <w:pPr>
              <w:ind w:left="708"/>
            </w:pPr>
          </w:p>
        </w:tc>
        <w:tc>
          <w:tcPr>
            <w:tcW w:w="4365" w:type="dxa"/>
            <w:tcBorders>
              <w:top w:val="nil"/>
              <w:left w:val="nil"/>
              <w:bottom w:val="nil"/>
              <w:right w:val="nil"/>
            </w:tcBorders>
            <w:shd w:val="clear" w:color="auto" w:fill="D9E1F2"/>
            <w:tcMar>
              <w:top w:w="15" w:type="dxa"/>
              <w:left w:w="15" w:type="dxa"/>
              <w:right w:w="15" w:type="dxa"/>
            </w:tcMar>
            <w:vAlign w:val="bottom"/>
          </w:tcPr>
          <w:p w:rsidR="7C194A38" w:rsidP="7C194A38" w:rsidRDefault="7C194A38" w14:paraId="4911F97F" w14:textId="23DF0C5B">
            <w:pPr>
              <w:spacing w:before="0" w:beforeAutospacing="off" w:after="0" w:afterAutospacing="off"/>
              <w:ind w:left="708"/>
            </w:pPr>
            <w:r w:rsidRPr="7C194A38" w:rsidR="7C194A38">
              <w:rPr>
                <w:rFonts w:ascii="Calibri" w:hAnsi="Calibri" w:eastAsia="Calibri" w:cs="Calibri"/>
                <w:b w:val="0"/>
                <w:bCs w:val="0"/>
                <w:i w:val="0"/>
                <w:iCs w:val="0"/>
                <w:strike w:val="0"/>
                <w:dstrike w:val="0"/>
                <w:color w:val="305496"/>
                <w:sz w:val="28"/>
                <w:szCs w:val="28"/>
                <w:u w:val="none"/>
              </w:rPr>
              <w:t>Mediana</w:t>
            </w:r>
          </w:p>
        </w:tc>
        <w:tc>
          <w:tcPr>
            <w:tcW w:w="1965" w:type="dxa"/>
            <w:tcBorders>
              <w:top w:val="nil"/>
              <w:left w:val="nil"/>
              <w:bottom w:val="nil"/>
              <w:right w:val="nil"/>
            </w:tcBorders>
            <w:shd w:val="clear" w:color="auto" w:fill="D9E1F2"/>
            <w:tcMar>
              <w:top w:w="15" w:type="dxa"/>
              <w:left w:w="15" w:type="dxa"/>
              <w:right w:w="15" w:type="dxa"/>
            </w:tcMar>
            <w:vAlign w:val="center"/>
          </w:tcPr>
          <w:p w:rsidR="7C194A38" w:rsidP="7C194A38" w:rsidRDefault="7C194A38" w14:paraId="15ED552A" w14:textId="1DB37C59">
            <w:pPr>
              <w:spacing w:before="0" w:beforeAutospacing="off" w:after="0" w:afterAutospacing="off"/>
              <w:ind w:left="708"/>
              <w:jc w:val="center"/>
            </w:pPr>
            <w:r w:rsidRPr="7C194A38" w:rsidR="7C194A38">
              <w:rPr>
                <w:rFonts w:ascii="Calibri" w:hAnsi="Calibri" w:eastAsia="Calibri" w:cs="Calibri"/>
                <w:b w:val="0"/>
                <w:bCs w:val="0"/>
                <w:i w:val="0"/>
                <w:iCs w:val="0"/>
                <w:strike w:val="0"/>
                <w:dstrike w:val="0"/>
                <w:color w:val="305496"/>
                <w:sz w:val="28"/>
                <w:szCs w:val="28"/>
                <w:u w:val="none"/>
              </w:rPr>
              <w:t>50.3</w:t>
            </w:r>
          </w:p>
        </w:tc>
      </w:tr>
      <w:tr w:rsidR="7C194A38" w:rsidTr="7C194A38" w14:paraId="70ED8030">
        <w:trPr>
          <w:trHeight w:val="375"/>
        </w:trPr>
        <w:tc>
          <w:tcPr>
            <w:tcW w:w="960" w:type="dxa"/>
            <w:tcBorders>
              <w:top w:val="nil"/>
              <w:left w:val="nil"/>
              <w:bottom w:val="nil"/>
              <w:right w:val="nil"/>
            </w:tcBorders>
            <w:tcMar>
              <w:top w:w="15" w:type="dxa"/>
              <w:left w:w="15" w:type="dxa"/>
              <w:right w:w="15" w:type="dxa"/>
            </w:tcMar>
            <w:vAlign w:val="bottom"/>
          </w:tcPr>
          <w:p w:rsidR="7C194A38" w:rsidP="7C194A38" w:rsidRDefault="7C194A38" w14:paraId="51651B8A" w14:textId="2D86DE53">
            <w:pPr>
              <w:ind w:left="708"/>
            </w:pPr>
          </w:p>
        </w:tc>
        <w:tc>
          <w:tcPr>
            <w:tcW w:w="4365" w:type="dxa"/>
            <w:tcBorders>
              <w:top w:val="nil"/>
              <w:left w:val="nil"/>
              <w:bottom w:val="nil"/>
              <w:right w:val="nil"/>
            </w:tcBorders>
            <w:tcMar>
              <w:top w:w="15" w:type="dxa"/>
              <w:left w:w="15" w:type="dxa"/>
              <w:right w:w="15" w:type="dxa"/>
            </w:tcMar>
            <w:vAlign w:val="bottom"/>
          </w:tcPr>
          <w:p w:rsidR="7C194A38" w:rsidP="7C194A38" w:rsidRDefault="7C194A38" w14:paraId="2A272C61" w14:textId="57B39E80">
            <w:pPr>
              <w:pStyle w:val="Normal"/>
              <w:suppressLineNumbers w:val="0"/>
              <w:bidi w:val="0"/>
              <w:spacing w:before="0" w:beforeAutospacing="off" w:after="0" w:afterAutospacing="off" w:line="259" w:lineRule="auto"/>
              <w:ind w:left="708" w:right="0"/>
              <w:jc w:val="left"/>
              <w:rPr>
                <w:rFonts w:ascii="Calibri" w:hAnsi="Calibri" w:eastAsia="Calibri" w:cs="Calibri"/>
                <w:b w:val="0"/>
                <w:bCs w:val="0"/>
                <w:i w:val="0"/>
                <w:iCs w:val="0"/>
                <w:strike w:val="0"/>
                <w:dstrike w:val="0"/>
                <w:color w:val="305496"/>
                <w:sz w:val="28"/>
                <w:szCs w:val="28"/>
                <w:u w:val="none"/>
              </w:rPr>
            </w:pPr>
          </w:p>
        </w:tc>
        <w:tc>
          <w:tcPr>
            <w:tcW w:w="1965" w:type="dxa"/>
            <w:tcBorders>
              <w:top w:val="nil"/>
              <w:left w:val="nil"/>
              <w:bottom w:val="nil"/>
              <w:right w:val="nil"/>
            </w:tcBorders>
            <w:tcMar>
              <w:top w:w="15" w:type="dxa"/>
              <w:left w:w="15" w:type="dxa"/>
              <w:right w:w="15" w:type="dxa"/>
            </w:tcMar>
            <w:vAlign w:val="center"/>
          </w:tcPr>
          <w:p w:rsidR="7C194A38" w:rsidP="7C194A38" w:rsidRDefault="7C194A38" w14:paraId="5D320995" w14:textId="2190CDAE">
            <w:pPr>
              <w:spacing w:before="0" w:beforeAutospacing="off" w:after="0" w:afterAutospacing="off"/>
              <w:ind w:left="708"/>
              <w:jc w:val="center"/>
              <w:rPr>
                <w:rFonts w:ascii="Calibri" w:hAnsi="Calibri" w:eastAsia="Calibri" w:cs="Calibri"/>
                <w:b w:val="0"/>
                <w:bCs w:val="0"/>
                <w:i w:val="0"/>
                <w:iCs w:val="0"/>
                <w:strike w:val="0"/>
                <w:dstrike w:val="0"/>
                <w:color w:val="305496"/>
                <w:sz w:val="28"/>
                <w:szCs w:val="28"/>
                <w:u w:val="none"/>
              </w:rPr>
            </w:pPr>
          </w:p>
        </w:tc>
      </w:tr>
      <w:tr w:rsidR="7C194A38" w:rsidTr="7C194A38" w14:paraId="31DEC913">
        <w:trPr>
          <w:trHeight w:val="375"/>
        </w:trPr>
        <w:tc>
          <w:tcPr>
            <w:tcW w:w="960" w:type="dxa"/>
            <w:tcBorders>
              <w:top w:val="nil"/>
              <w:left w:val="nil"/>
              <w:bottom w:val="nil"/>
              <w:right w:val="nil"/>
            </w:tcBorders>
            <w:tcMar>
              <w:top w:w="15" w:type="dxa"/>
              <w:left w:w="15" w:type="dxa"/>
              <w:right w:w="15" w:type="dxa"/>
            </w:tcMar>
            <w:vAlign w:val="bottom"/>
          </w:tcPr>
          <w:p w:rsidR="7C194A38" w:rsidRDefault="7C194A38" w14:paraId="25EEBEF5" w14:textId="32E967F6"/>
        </w:tc>
        <w:tc>
          <w:tcPr>
            <w:tcW w:w="4365" w:type="dxa"/>
            <w:tcBorders>
              <w:top w:val="nil"/>
              <w:left w:val="nil"/>
              <w:bottom w:val="nil"/>
              <w:right w:val="nil"/>
            </w:tcBorders>
            <w:shd w:val="clear" w:color="auto" w:fill="D9E1F2"/>
            <w:tcMar>
              <w:top w:w="15" w:type="dxa"/>
              <w:left w:w="15" w:type="dxa"/>
              <w:right w:w="15" w:type="dxa"/>
            </w:tcMar>
            <w:vAlign w:val="bottom"/>
          </w:tcPr>
          <w:p w:rsidR="7C194A38" w:rsidP="7C194A38" w:rsidRDefault="7C194A38" w14:paraId="65F6AC90" w14:textId="2E585DA3">
            <w:pPr>
              <w:spacing w:before="0" w:beforeAutospacing="off" w:after="0" w:afterAutospacing="off"/>
              <w:rPr>
                <w:rFonts w:ascii="Calibri" w:hAnsi="Calibri" w:eastAsia="Calibri" w:cs="Calibri"/>
                <w:b w:val="0"/>
                <w:bCs w:val="0"/>
                <w:i w:val="0"/>
                <w:iCs w:val="0"/>
                <w:strike w:val="0"/>
                <w:dstrike w:val="0"/>
                <w:color w:val="305496"/>
                <w:sz w:val="28"/>
                <w:szCs w:val="28"/>
                <w:u w:val="none"/>
              </w:rPr>
            </w:pPr>
          </w:p>
        </w:tc>
        <w:tc>
          <w:tcPr>
            <w:tcW w:w="1965" w:type="dxa"/>
            <w:tcBorders>
              <w:top w:val="nil"/>
              <w:left w:val="nil"/>
              <w:bottom w:val="nil"/>
              <w:right w:val="nil"/>
            </w:tcBorders>
            <w:shd w:val="clear" w:color="auto" w:fill="D9E1F2"/>
            <w:tcMar>
              <w:top w:w="15" w:type="dxa"/>
              <w:left w:w="15" w:type="dxa"/>
              <w:right w:w="15" w:type="dxa"/>
            </w:tcMar>
            <w:vAlign w:val="center"/>
          </w:tcPr>
          <w:p w:rsidR="7C194A38" w:rsidP="7C194A38" w:rsidRDefault="7C194A38" w14:paraId="6B10015D" w14:textId="5B1530AA">
            <w:pPr>
              <w:spacing w:before="0" w:beforeAutospacing="off" w:after="0" w:afterAutospacing="off"/>
              <w:jc w:val="center"/>
              <w:rPr>
                <w:rFonts w:ascii="Calibri" w:hAnsi="Calibri" w:eastAsia="Calibri" w:cs="Calibri"/>
                <w:b w:val="0"/>
                <w:bCs w:val="0"/>
                <w:i w:val="0"/>
                <w:iCs w:val="0"/>
                <w:strike w:val="0"/>
                <w:dstrike w:val="0"/>
                <w:color w:val="305496"/>
                <w:sz w:val="28"/>
                <w:szCs w:val="28"/>
                <w:u w:val="none"/>
              </w:rPr>
            </w:pPr>
          </w:p>
        </w:tc>
      </w:tr>
    </w:tbl>
    <w:p xmlns:wp14="http://schemas.microsoft.com/office/word/2010/wordml" w:rsidP="7C194A38" wp14:paraId="7C719B14" wp14:textId="5F89D8C9">
      <w:pPr>
        <w:pStyle w:val="Normal"/>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s-ES"/>
        </w:rPr>
      </w:pPr>
    </w:p>
    <w:p xmlns:wp14="http://schemas.microsoft.com/office/word/2010/wordml" w:rsidP="7C194A38" wp14:paraId="1C6C8E37" wp14:textId="042D2BA7">
      <w:pPr>
        <w:pStyle w:val="Normal"/>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s-ES"/>
        </w:rPr>
      </w:pPr>
    </w:p>
    <w:p xmlns:wp14="http://schemas.microsoft.com/office/word/2010/wordml" w:rsidP="7C194A38" wp14:paraId="2D6037EB" wp14:textId="3EBCB0D0">
      <w:pPr>
        <w:pStyle w:val="Normal"/>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s-ES"/>
        </w:rPr>
      </w:pPr>
    </w:p>
    <w:p xmlns:wp14="http://schemas.microsoft.com/office/word/2010/wordml" w:rsidP="7C194A38" wp14:paraId="39069A23" wp14:textId="6B8EA928">
      <w:pPr>
        <w:pStyle w:val="Normal"/>
        <w:spacing w:before="0" w:beforeAutospacing="off" w:after="0" w:afterAutospacing="off"/>
        <w:ind w:left="0"/>
        <w:rPr>
          <w:rFonts w:ascii="Calibri" w:hAnsi="Calibri" w:eastAsia="Calibri" w:cs="Calibri"/>
          <w:b w:val="1"/>
          <w:bCs w:val="1"/>
          <w:i w:val="0"/>
          <w:iCs w:val="0"/>
          <w:strike w:val="0"/>
          <w:dstrike w:val="0"/>
          <w:color w:val="305496"/>
          <w:sz w:val="28"/>
          <w:szCs w:val="28"/>
          <w:u w:val="none"/>
        </w:rPr>
      </w:pPr>
      <w:r w:rsidRPr="7C194A38" w:rsidR="7C194A38">
        <w:rPr>
          <w:rFonts w:ascii="Calibri" w:hAnsi="Calibri" w:eastAsia="Calibri" w:cs="Calibri"/>
          <w:b w:val="1"/>
          <w:bCs w:val="1"/>
          <w:i w:val="0"/>
          <w:iCs w:val="0"/>
          <w:strike w:val="0"/>
          <w:dstrike w:val="0"/>
          <w:color w:val="305496"/>
          <w:sz w:val="28"/>
          <w:szCs w:val="28"/>
          <w:u w:val="none"/>
        </w:rPr>
        <w:t>Medida de Dispersión</w:t>
      </w:r>
    </w:p>
    <w:p xmlns:wp14="http://schemas.microsoft.com/office/word/2010/wordml" w:rsidP="7C194A38" wp14:paraId="6A51230B" wp14:textId="7FE8AEB2">
      <w:pPr>
        <w:pStyle w:val="Normal"/>
        <w:spacing w:before="0" w:beforeAutospacing="off" w:after="0" w:afterAutospacing="off"/>
        <w:ind w:left="0"/>
        <w:rPr>
          <w:rFonts w:ascii="system-ui" w:hAnsi="system-ui" w:eastAsia="system-ui" w:cs="system-ui"/>
          <w:b w:val="0"/>
          <w:bCs w:val="0"/>
          <w:i w:val="0"/>
          <w:iCs w:val="0"/>
          <w:caps w:val="0"/>
          <w:smallCaps w:val="0"/>
          <w:noProof w:val="0"/>
          <w:color w:val="D1D5DB"/>
          <w:sz w:val="24"/>
          <w:szCs w:val="24"/>
          <w:lang w:val="es-ES"/>
        </w:rPr>
      </w:pPr>
    </w:p>
    <w:tbl>
      <w:tblPr>
        <w:tblStyle w:val="TableNormal"/>
        <w:tblW w:w="0" w:type="auto"/>
        <w:tblInd w:w="1416" w:type="dxa"/>
        <w:tblLayout w:type="fixed"/>
        <w:tblLook w:val="06A0" w:firstRow="1" w:lastRow="0" w:firstColumn="1" w:lastColumn="0" w:noHBand="1" w:noVBand="1"/>
      </w:tblPr>
      <w:tblGrid>
        <w:gridCol w:w="4365"/>
        <w:gridCol w:w="1965"/>
      </w:tblGrid>
      <w:tr w:rsidR="7C194A38" w:rsidTr="7C194A38" w14:paraId="32F2AAB8">
        <w:trPr>
          <w:trHeight w:val="375"/>
        </w:trPr>
        <w:tc>
          <w:tcPr>
            <w:tcW w:w="4365" w:type="dxa"/>
            <w:tcBorders>
              <w:top w:val="nil"/>
              <w:left w:val="nil"/>
              <w:bottom w:val="nil"/>
              <w:right w:val="nil"/>
            </w:tcBorders>
            <w:shd w:val="clear" w:color="auto" w:fill="1E8BCD"/>
            <w:tcMar>
              <w:top w:w="15" w:type="dxa"/>
              <w:left w:w="15" w:type="dxa"/>
              <w:right w:w="15" w:type="dxa"/>
            </w:tcMar>
            <w:vAlign w:val="bottom"/>
          </w:tcPr>
          <w:p w:rsidR="7C194A38" w:rsidP="7C194A38" w:rsidRDefault="7C194A38" w14:paraId="6DC71853" w14:textId="46171A68">
            <w:pPr>
              <w:spacing w:before="0" w:beforeAutospacing="off" w:after="0" w:afterAutospacing="off"/>
            </w:pPr>
            <w:r w:rsidRPr="7C194A38" w:rsidR="7C194A38">
              <w:rPr>
                <w:rFonts w:ascii="Calibri" w:hAnsi="Calibri" w:eastAsia="Calibri" w:cs="Calibri"/>
                <w:b w:val="1"/>
                <w:bCs w:val="1"/>
                <w:i w:val="0"/>
                <w:iCs w:val="0"/>
                <w:strike w:val="0"/>
                <w:dstrike w:val="0"/>
                <w:color w:val="305496"/>
                <w:sz w:val="28"/>
                <w:szCs w:val="28"/>
                <w:u w:val="none"/>
              </w:rPr>
              <w:t>Medida de Dispersión</w:t>
            </w:r>
          </w:p>
        </w:tc>
        <w:tc>
          <w:tcPr>
            <w:tcW w:w="1965" w:type="dxa"/>
            <w:tcBorders>
              <w:top w:val="nil"/>
              <w:left w:val="nil"/>
              <w:bottom w:val="nil"/>
              <w:right w:val="nil"/>
            </w:tcBorders>
            <w:shd w:val="clear" w:color="auto" w:fill="1E8BCD"/>
            <w:tcMar>
              <w:top w:w="15" w:type="dxa"/>
              <w:left w:w="15" w:type="dxa"/>
              <w:right w:w="15" w:type="dxa"/>
            </w:tcMar>
            <w:vAlign w:val="bottom"/>
          </w:tcPr>
          <w:p w:rsidR="7C194A38" w:rsidP="7C194A38" w:rsidRDefault="7C194A38" w14:paraId="314482E4" w14:textId="33769FD2">
            <w:pPr>
              <w:spacing w:before="0" w:beforeAutospacing="off" w:after="0" w:afterAutospacing="off"/>
              <w:jc w:val="center"/>
            </w:pPr>
            <w:r w:rsidRPr="7C194A38" w:rsidR="7C194A38">
              <w:rPr>
                <w:rFonts w:ascii="Calibri" w:hAnsi="Calibri" w:eastAsia="Calibri" w:cs="Calibri"/>
                <w:b w:val="1"/>
                <w:bCs w:val="1"/>
                <w:i w:val="0"/>
                <w:iCs w:val="0"/>
                <w:strike w:val="0"/>
                <w:dstrike w:val="0"/>
                <w:color w:val="305496"/>
                <w:sz w:val="28"/>
                <w:szCs w:val="28"/>
                <w:u w:val="none"/>
              </w:rPr>
              <w:t>Valor</w:t>
            </w:r>
          </w:p>
        </w:tc>
      </w:tr>
      <w:tr w:rsidR="7C194A38" w:rsidTr="7C194A38" w14:paraId="0DAED278">
        <w:trPr>
          <w:trHeight w:val="375"/>
        </w:trPr>
        <w:tc>
          <w:tcPr>
            <w:tcW w:w="4365" w:type="dxa"/>
            <w:tcBorders>
              <w:top w:val="nil"/>
              <w:left w:val="nil"/>
              <w:bottom w:val="nil"/>
              <w:right w:val="nil"/>
            </w:tcBorders>
            <w:shd w:val="clear" w:color="auto" w:fill="D9E1F2"/>
            <w:tcMar>
              <w:top w:w="15" w:type="dxa"/>
              <w:left w:w="15" w:type="dxa"/>
              <w:right w:w="15" w:type="dxa"/>
            </w:tcMar>
            <w:vAlign w:val="bottom"/>
          </w:tcPr>
          <w:p w:rsidR="7C194A38" w:rsidP="7C194A38" w:rsidRDefault="7C194A38" w14:paraId="45797059" w14:textId="55E9C78B">
            <w:pPr>
              <w:spacing w:before="0" w:beforeAutospacing="off" w:after="0" w:afterAutospacing="off"/>
            </w:pPr>
            <w:r w:rsidRPr="7C194A38" w:rsidR="7C194A38">
              <w:rPr>
                <w:rFonts w:ascii="Calibri" w:hAnsi="Calibri" w:eastAsia="Calibri" w:cs="Calibri"/>
                <w:b w:val="0"/>
                <w:bCs w:val="0"/>
                <w:i w:val="0"/>
                <w:iCs w:val="0"/>
                <w:strike w:val="0"/>
                <w:dstrike w:val="0"/>
                <w:color w:val="305496"/>
                <w:sz w:val="28"/>
                <w:szCs w:val="28"/>
                <w:u w:val="none"/>
              </w:rPr>
              <w:t>Rango</w:t>
            </w:r>
          </w:p>
        </w:tc>
        <w:tc>
          <w:tcPr>
            <w:tcW w:w="1965" w:type="dxa"/>
            <w:tcBorders>
              <w:top w:val="nil"/>
              <w:left w:val="nil"/>
              <w:bottom w:val="nil"/>
              <w:right w:val="nil"/>
            </w:tcBorders>
            <w:shd w:val="clear" w:color="auto" w:fill="D9E1F2"/>
            <w:tcMar>
              <w:top w:w="15" w:type="dxa"/>
              <w:left w:w="15" w:type="dxa"/>
              <w:right w:w="15" w:type="dxa"/>
            </w:tcMar>
            <w:vAlign w:val="center"/>
          </w:tcPr>
          <w:p w:rsidR="7C194A38" w:rsidP="7C194A38" w:rsidRDefault="7C194A38" w14:paraId="62B1E034" w14:textId="6E9C2C5E">
            <w:pPr>
              <w:spacing w:before="0" w:beforeAutospacing="off" w:after="0" w:afterAutospacing="off"/>
              <w:jc w:val="center"/>
            </w:pPr>
            <w:r w:rsidRPr="7C194A38" w:rsidR="7C194A38">
              <w:rPr>
                <w:rFonts w:ascii="Calibri" w:hAnsi="Calibri" w:eastAsia="Calibri" w:cs="Calibri"/>
                <w:b w:val="0"/>
                <w:bCs w:val="0"/>
                <w:i w:val="0"/>
                <w:iCs w:val="0"/>
                <w:strike w:val="0"/>
                <w:dstrike w:val="0"/>
                <w:color w:val="305496"/>
                <w:sz w:val="28"/>
                <w:szCs w:val="28"/>
                <w:u w:val="none"/>
              </w:rPr>
              <w:t>2.6</w:t>
            </w:r>
          </w:p>
        </w:tc>
      </w:tr>
      <w:tr w:rsidR="7C194A38" w:rsidTr="7C194A38" w14:paraId="6D3738A4">
        <w:trPr>
          <w:trHeight w:val="375"/>
        </w:trPr>
        <w:tc>
          <w:tcPr>
            <w:tcW w:w="4365" w:type="dxa"/>
            <w:tcBorders>
              <w:top w:val="nil"/>
              <w:left w:val="nil"/>
              <w:bottom w:val="nil"/>
              <w:right w:val="nil"/>
            </w:tcBorders>
            <w:tcMar>
              <w:top w:w="15" w:type="dxa"/>
              <w:left w:w="15" w:type="dxa"/>
              <w:right w:w="15" w:type="dxa"/>
            </w:tcMar>
            <w:vAlign w:val="bottom"/>
          </w:tcPr>
          <w:p w:rsidR="7C194A38" w:rsidP="7C194A38" w:rsidRDefault="7C194A38" w14:paraId="2C16AC5E" w14:textId="57EB0291">
            <w:pPr>
              <w:spacing w:before="0" w:beforeAutospacing="off" w:after="0" w:afterAutospacing="off"/>
            </w:pPr>
            <w:r w:rsidRPr="7C194A38" w:rsidR="7C194A38">
              <w:rPr>
                <w:rFonts w:ascii="Calibri" w:hAnsi="Calibri" w:eastAsia="Calibri" w:cs="Calibri"/>
                <w:b w:val="0"/>
                <w:bCs w:val="0"/>
                <w:i w:val="0"/>
                <w:iCs w:val="0"/>
                <w:strike w:val="0"/>
                <w:dstrike w:val="0"/>
                <w:color w:val="305496"/>
                <w:sz w:val="28"/>
                <w:szCs w:val="28"/>
                <w:u w:val="none"/>
              </w:rPr>
              <w:t>Varianza</w:t>
            </w:r>
          </w:p>
        </w:tc>
        <w:tc>
          <w:tcPr>
            <w:tcW w:w="1965" w:type="dxa"/>
            <w:tcBorders>
              <w:top w:val="nil"/>
              <w:left w:val="nil"/>
              <w:bottom w:val="nil"/>
              <w:right w:val="nil"/>
            </w:tcBorders>
            <w:tcMar>
              <w:top w:w="15" w:type="dxa"/>
              <w:left w:w="15" w:type="dxa"/>
              <w:right w:w="15" w:type="dxa"/>
            </w:tcMar>
            <w:vAlign w:val="center"/>
          </w:tcPr>
          <w:p w:rsidR="7C194A38" w:rsidP="7C194A38" w:rsidRDefault="7C194A38" w14:paraId="6E049BBD" w14:textId="1FD97599">
            <w:pPr>
              <w:spacing w:before="0" w:beforeAutospacing="off" w:after="0" w:afterAutospacing="off"/>
              <w:jc w:val="center"/>
            </w:pPr>
            <w:r w:rsidRPr="7C194A38" w:rsidR="7C194A38">
              <w:rPr>
                <w:rFonts w:ascii="Calibri" w:hAnsi="Calibri" w:eastAsia="Calibri" w:cs="Calibri"/>
                <w:b w:val="0"/>
                <w:bCs w:val="0"/>
                <w:i w:val="0"/>
                <w:iCs w:val="0"/>
                <w:strike w:val="0"/>
                <w:dstrike w:val="0"/>
                <w:color w:val="305496"/>
                <w:sz w:val="28"/>
                <w:szCs w:val="28"/>
                <w:u w:val="none"/>
              </w:rPr>
              <w:t>0.467104512</w:t>
            </w:r>
          </w:p>
        </w:tc>
      </w:tr>
      <w:tr w:rsidR="7C194A38" w:rsidTr="7C194A38" w14:paraId="67C9450E">
        <w:trPr>
          <w:trHeight w:val="375"/>
        </w:trPr>
        <w:tc>
          <w:tcPr>
            <w:tcW w:w="4365" w:type="dxa"/>
            <w:tcBorders>
              <w:top w:val="nil"/>
              <w:left w:val="nil"/>
              <w:bottom w:val="single" w:color="4472C4" w:themeColor="accent1" w:sz="4"/>
              <w:right w:val="nil"/>
            </w:tcBorders>
            <w:shd w:val="clear" w:color="auto" w:fill="D9E1F2"/>
            <w:tcMar>
              <w:top w:w="15" w:type="dxa"/>
              <w:left w:w="15" w:type="dxa"/>
              <w:right w:w="15" w:type="dxa"/>
            </w:tcMar>
            <w:vAlign w:val="bottom"/>
          </w:tcPr>
          <w:p w:rsidR="7C194A38" w:rsidP="7C194A38" w:rsidRDefault="7C194A38" w14:paraId="7AA18C26" w14:textId="157576EA">
            <w:pPr>
              <w:spacing w:before="0" w:beforeAutospacing="off" w:after="0" w:afterAutospacing="off"/>
            </w:pPr>
            <w:r w:rsidRPr="7C194A38" w:rsidR="7C194A38">
              <w:rPr>
                <w:rFonts w:ascii="Calibri" w:hAnsi="Calibri" w:eastAsia="Calibri" w:cs="Calibri"/>
                <w:b w:val="0"/>
                <w:bCs w:val="0"/>
                <w:i w:val="0"/>
                <w:iCs w:val="0"/>
                <w:strike w:val="0"/>
                <w:dstrike w:val="0"/>
                <w:color w:val="305496"/>
                <w:sz w:val="28"/>
                <w:szCs w:val="28"/>
                <w:u w:val="none"/>
              </w:rPr>
              <w:t>Desviacion Estandar</w:t>
            </w:r>
          </w:p>
        </w:tc>
        <w:tc>
          <w:tcPr>
            <w:tcW w:w="1965" w:type="dxa"/>
            <w:tcBorders>
              <w:top w:val="nil"/>
              <w:left w:val="nil"/>
              <w:bottom w:val="single" w:color="4472C4" w:themeColor="accent1" w:sz="4"/>
              <w:right w:val="nil"/>
            </w:tcBorders>
            <w:shd w:val="clear" w:color="auto" w:fill="D9E1F2"/>
            <w:tcMar>
              <w:top w:w="15" w:type="dxa"/>
              <w:left w:w="15" w:type="dxa"/>
              <w:right w:w="15" w:type="dxa"/>
            </w:tcMar>
            <w:vAlign w:val="center"/>
          </w:tcPr>
          <w:p w:rsidR="7C194A38" w:rsidP="7C194A38" w:rsidRDefault="7C194A38" w14:paraId="6F5DDC6E" w14:textId="02D2CC96">
            <w:pPr>
              <w:spacing w:before="0" w:beforeAutospacing="off" w:after="0" w:afterAutospacing="off"/>
              <w:jc w:val="center"/>
            </w:pPr>
            <w:r w:rsidRPr="7C194A38" w:rsidR="7C194A38">
              <w:rPr>
                <w:rFonts w:ascii="Calibri" w:hAnsi="Calibri" w:eastAsia="Calibri" w:cs="Calibri"/>
                <w:b w:val="0"/>
                <w:bCs w:val="0"/>
                <w:i w:val="0"/>
                <w:iCs w:val="0"/>
                <w:strike w:val="0"/>
                <w:dstrike w:val="0"/>
                <w:color w:val="305496"/>
                <w:sz w:val="28"/>
                <w:szCs w:val="28"/>
                <w:u w:val="none"/>
              </w:rPr>
              <w:t>0.680124633</w:t>
            </w:r>
          </w:p>
        </w:tc>
      </w:tr>
    </w:tbl>
    <w:p xmlns:wp14="http://schemas.microsoft.com/office/word/2010/wordml" w:rsidP="7C194A38" wp14:paraId="2A4A20C4" wp14:textId="26406B73">
      <w:pPr>
        <w:pStyle w:val="ListParagraph"/>
        <w:numPr>
          <w:ilvl w:val="3"/>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s-ES"/>
        </w:rPr>
      </w:pPr>
    </w:p>
    <w:p xmlns:wp14="http://schemas.microsoft.com/office/word/2010/wordml" w:rsidP="7C194A38" wp14:paraId="78A838CB" wp14:textId="61EF5A1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s-ES"/>
        </w:rPr>
      </w:pPr>
      <w:r w:rsidRPr="7C194A38" w:rsidR="7C194A38">
        <w:rPr>
          <w:rFonts w:ascii="system-ui" w:hAnsi="system-ui" w:eastAsia="system-ui" w:cs="system-ui"/>
          <w:b w:val="1"/>
          <w:bCs w:val="1"/>
          <w:i w:val="0"/>
          <w:iCs w:val="0"/>
          <w:caps w:val="0"/>
          <w:smallCaps w:val="0"/>
          <w:noProof w:val="0"/>
          <w:color w:val="D1D5DB"/>
          <w:sz w:val="24"/>
          <w:szCs w:val="24"/>
          <w:lang w:val="es-ES"/>
        </w:rPr>
        <w:t>Media</w:t>
      </w:r>
      <w:r w:rsidRPr="7C194A38" w:rsidR="7C194A38">
        <w:rPr>
          <w:rFonts w:ascii="system-ui" w:hAnsi="system-ui" w:eastAsia="system-ui" w:cs="system-ui"/>
          <w:b w:val="0"/>
          <w:bCs w:val="0"/>
          <w:i w:val="0"/>
          <w:iCs w:val="0"/>
          <w:caps w:val="0"/>
          <w:smallCaps w:val="0"/>
          <w:noProof w:val="0"/>
          <w:color w:val="D1D5DB"/>
          <w:sz w:val="24"/>
          <w:szCs w:val="24"/>
          <w:lang w:val="es-ES"/>
        </w:rPr>
        <w:t xml:space="preserve">: Dado que la media es el promedio. En el caso </w:t>
      </w:r>
      <w:r w:rsidRPr="7C194A38" w:rsidR="7C194A38">
        <w:rPr>
          <w:rFonts w:ascii="system-ui" w:hAnsi="system-ui" w:eastAsia="system-ui" w:cs="system-ui"/>
          <w:b w:val="0"/>
          <w:bCs w:val="0"/>
          <w:i w:val="0"/>
          <w:iCs w:val="0"/>
          <w:caps w:val="0"/>
          <w:smallCaps w:val="0"/>
          <w:noProof w:val="0"/>
          <w:color w:val="D1D5DB"/>
          <w:sz w:val="24"/>
          <w:szCs w:val="24"/>
          <w:lang w:val="es-ES"/>
        </w:rPr>
        <w:t>del pesos</w:t>
      </w:r>
      <w:r w:rsidRPr="7C194A38" w:rsidR="7C194A38">
        <w:rPr>
          <w:rFonts w:ascii="system-ui" w:hAnsi="system-ui" w:eastAsia="system-ui" w:cs="system-ui"/>
          <w:b w:val="0"/>
          <w:bCs w:val="0"/>
          <w:i w:val="0"/>
          <w:iCs w:val="0"/>
          <w:caps w:val="0"/>
          <w:smallCaps w:val="0"/>
          <w:noProof w:val="0"/>
          <w:color w:val="D1D5DB"/>
          <w:sz w:val="24"/>
          <w:szCs w:val="24"/>
          <w:lang w:val="es-ES"/>
        </w:rPr>
        <w:t xml:space="preserve"> de los </w:t>
      </w:r>
      <w:r w:rsidRPr="7C194A38" w:rsidR="7C194A38">
        <w:rPr>
          <w:rFonts w:ascii="system-ui" w:hAnsi="system-ui" w:eastAsia="system-ui" w:cs="system-ui"/>
          <w:b w:val="0"/>
          <w:bCs w:val="0"/>
          <w:i w:val="0"/>
          <w:iCs w:val="0"/>
          <w:caps w:val="0"/>
          <w:smallCaps w:val="0"/>
          <w:noProof w:val="0"/>
          <w:color w:val="D1D5DB"/>
          <w:sz w:val="24"/>
          <w:szCs w:val="24"/>
          <w:lang w:val="es-ES"/>
        </w:rPr>
        <w:t>cupcakes</w:t>
      </w:r>
      <w:r w:rsidRPr="7C194A38" w:rsidR="7C194A38">
        <w:rPr>
          <w:rFonts w:ascii="system-ui" w:hAnsi="system-ui" w:eastAsia="system-ui" w:cs="system-ui"/>
          <w:b w:val="0"/>
          <w:bCs w:val="0"/>
          <w:i w:val="0"/>
          <w:iCs w:val="0"/>
          <w:caps w:val="0"/>
          <w:smallCaps w:val="0"/>
          <w:noProof w:val="0"/>
          <w:color w:val="D1D5DB"/>
          <w:sz w:val="24"/>
          <w:szCs w:val="24"/>
          <w:lang w:val="es-ES"/>
        </w:rPr>
        <w:t xml:space="preserve"> es aproximadamente 50.23 gramos. Esto quiere decir </w:t>
      </w:r>
      <w:r w:rsidRPr="7C194A38" w:rsidR="7C194A38">
        <w:rPr>
          <w:rFonts w:ascii="system-ui" w:hAnsi="system-ui" w:eastAsia="system-ui" w:cs="system-ui"/>
          <w:b w:val="0"/>
          <w:bCs w:val="0"/>
          <w:i w:val="0"/>
          <w:iCs w:val="0"/>
          <w:caps w:val="0"/>
          <w:smallCaps w:val="0"/>
          <w:noProof w:val="0"/>
          <w:color w:val="D1D5DB"/>
          <w:sz w:val="24"/>
          <w:szCs w:val="24"/>
          <w:lang w:val="es-ES"/>
        </w:rPr>
        <w:t>que  el</w:t>
      </w:r>
      <w:r w:rsidRPr="7C194A38" w:rsidR="7C194A38">
        <w:rPr>
          <w:rFonts w:ascii="system-ui" w:hAnsi="system-ui" w:eastAsia="system-ui" w:cs="system-ui"/>
          <w:b w:val="0"/>
          <w:bCs w:val="0"/>
          <w:i w:val="0"/>
          <w:iCs w:val="0"/>
          <w:caps w:val="0"/>
          <w:smallCaps w:val="0"/>
          <w:noProof w:val="0"/>
          <w:color w:val="D1D5DB"/>
          <w:sz w:val="24"/>
          <w:szCs w:val="24"/>
          <w:lang w:val="es-ES"/>
        </w:rPr>
        <w:t xml:space="preserve"> promedio de peso de los </w:t>
      </w:r>
      <w:r w:rsidRPr="7C194A38" w:rsidR="7C194A38">
        <w:rPr>
          <w:rFonts w:ascii="system-ui" w:hAnsi="system-ui" w:eastAsia="system-ui" w:cs="system-ui"/>
          <w:b w:val="0"/>
          <w:bCs w:val="0"/>
          <w:i w:val="0"/>
          <w:iCs w:val="0"/>
          <w:caps w:val="0"/>
          <w:smallCaps w:val="0"/>
          <w:noProof w:val="0"/>
          <w:color w:val="D1D5DB"/>
          <w:sz w:val="24"/>
          <w:szCs w:val="24"/>
          <w:lang w:val="es-ES"/>
        </w:rPr>
        <w:t>cupcakes</w:t>
      </w:r>
      <w:r w:rsidRPr="7C194A38" w:rsidR="7C194A38">
        <w:rPr>
          <w:rFonts w:ascii="system-ui" w:hAnsi="system-ui" w:eastAsia="system-ui" w:cs="system-ui"/>
          <w:b w:val="0"/>
          <w:bCs w:val="0"/>
          <w:i w:val="0"/>
          <w:iCs w:val="0"/>
          <w:caps w:val="0"/>
          <w:smallCaps w:val="0"/>
          <w:noProof w:val="0"/>
          <w:color w:val="D1D5DB"/>
          <w:sz w:val="24"/>
          <w:szCs w:val="24"/>
          <w:lang w:val="es-ES"/>
        </w:rPr>
        <w:t xml:space="preserve"> es de 50.23 </w:t>
      </w:r>
      <w:r w:rsidRPr="7C194A38" w:rsidR="7C194A38">
        <w:rPr>
          <w:rFonts w:ascii="system-ui" w:hAnsi="system-ui" w:eastAsia="system-ui" w:cs="system-ui"/>
          <w:b w:val="0"/>
          <w:bCs w:val="0"/>
          <w:i w:val="0"/>
          <w:iCs w:val="0"/>
          <w:caps w:val="0"/>
          <w:smallCaps w:val="0"/>
          <w:noProof w:val="0"/>
          <w:color w:val="D1D5DB"/>
          <w:sz w:val="24"/>
          <w:szCs w:val="24"/>
          <w:lang w:val="es-ES"/>
        </w:rPr>
        <w:t>gramos.</w:t>
      </w:r>
    </w:p>
    <w:p xmlns:wp14="http://schemas.microsoft.com/office/word/2010/wordml" w:rsidP="7C194A38" wp14:paraId="19BAEC4F" wp14:textId="18EC1F01">
      <w:pPr>
        <w:pStyle w:val="Normal"/>
        <w:spacing w:before="0" w:beforeAutospacing="off" w:after="0" w:afterAutospacing="off"/>
        <w:ind w:left="0"/>
        <w:rPr>
          <w:rFonts w:ascii="system-ui" w:hAnsi="system-ui" w:eastAsia="system-ui" w:cs="system-ui"/>
          <w:b w:val="0"/>
          <w:bCs w:val="0"/>
          <w:i w:val="0"/>
          <w:iCs w:val="0"/>
          <w:caps w:val="0"/>
          <w:smallCaps w:val="0"/>
          <w:noProof w:val="0"/>
          <w:color w:val="D1D5DB"/>
          <w:sz w:val="24"/>
          <w:szCs w:val="24"/>
          <w:lang w:val="es-ES"/>
        </w:rPr>
      </w:pPr>
    </w:p>
    <w:p xmlns:wp14="http://schemas.microsoft.com/office/word/2010/wordml" w:rsidP="7C194A38" wp14:paraId="36A64042" wp14:textId="323BB14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s-ES"/>
        </w:rPr>
      </w:pPr>
      <w:r w:rsidRPr="7C194A38" w:rsidR="7C194A38">
        <w:rPr>
          <w:rFonts w:ascii="system-ui" w:hAnsi="system-ui" w:eastAsia="system-ui" w:cs="system-ui"/>
          <w:b w:val="1"/>
          <w:bCs w:val="1"/>
          <w:i w:val="0"/>
          <w:iCs w:val="0"/>
          <w:caps w:val="0"/>
          <w:smallCaps w:val="0"/>
          <w:noProof w:val="0"/>
          <w:color w:val="D1D5DB"/>
          <w:sz w:val="24"/>
          <w:szCs w:val="24"/>
          <w:lang w:val="es-ES"/>
        </w:rPr>
        <w:t>Mediana</w:t>
      </w:r>
      <w:r w:rsidRPr="7C194A38" w:rsidR="7C194A38">
        <w:rPr>
          <w:rFonts w:ascii="system-ui" w:hAnsi="system-ui" w:eastAsia="system-ui" w:cs="system-ui"/>
          <w:b w:val="0"/>
          <w:bCs w:val="0"/>
          <w:i w:val="0"/>
          <w:iCs w:val="0"/>
          <w:caps w:val="0"/>
          <w:smallCaps w:val="0"/>
          <w:noProof w:val="0"/>
          <w:color w:val="D1D5DB"/>
          <w:sz w:val="24"/>
          <w:szCs w:val="24"/>
          <w:lang w:val="es-ES"/>
        </w:rPr>
        <w:t xml:space="preserve">: La mediana es el valor que está en el medio del conjunto de datos una vez ordenados. En este caso, es 50.4 gramos. Esto significa que la mitad de los </w:t>
      </w:r>
      <w:r w:rsidRPr="7C194A38" w:rsidR="7C194A38">
        <w:rPr>
          <w:rFonts w:ascii="system-ui" w:hAnsi="system-ui" w:eastAsia="system-ui" w:cs="system-ui"/>
          <w:b w:val="0"/>
          <w:bCs w:val="0"/>
          <w:i w:val="0"/>
          <w:iCs w:val="0"/>
          <w:caps w:val="0"/>
          <w:smallCaps w:val="0"/>
          <w:noProof w:val="0"/>
          <w:color w:val="D1D5DB"/>
          <w:sz w:val="24"/>
          <w:szCs w:val="24"/>
          <w:lang w:val="es-ES"/>
        </w:rPr>
        <w:t>cupcakes</w:t>
      </w:r>
      <w:r w:rsidRPr="7C194A38" w:rsidR="7C194A38">
        <w:rPr>
          <w:rFonts w:ascii="system-ui" w:hAnsi="system-ui" w:eastAsia="system-ui" w:cs="system-ui"/>
          <w:b w:val="0"/>
          <w:bCs w:val="0"/>
          <w:i w:val="0"/>
          <w:iCs w:val="0"/>
          <w:caps w:val="0"/>
          <w:smallCaps w:val="0"/>
          <w:noProof w:val="0"/>
          <w:color w:val="D1D5DB"/>
          <w:sz w:val="24"/>
          <w:szCs w:val="24"/>
          <w:lang w:val="es-ES"/>
        </w:rPr>
        <w:t xml:space="preserve"> pesa menos de 50.4 gramos y la otra mitad pesa más.</w:t>
      </w:r>
    </w:p>
    <w:p xmlns:wp14="http://schemas.microsoft.com/office/word/2010/wordml" w:rsidP="7C194A38" wp14:paraId="3826EE69" wp14:textId="5A3A7B0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s-ES"/>
        </w:rPr>
      </w:pPr>
      <w:r w:rsidRPr="7C194A38" w:rsidR="7C194A38">
        <w:rPr>
          <w:rFonts w:ascii="system-ui" w:hAnsi="system-ui" w:eastAsia="system-ui" w:cs="system-ui"/>
          <w:b w:val="0"/>
          <w:bCs w:val="0"/>
          <w:i w:val="0"/>
          <w:iCs w:val="0"/>
          <w:caps w:val="0"/>
          <w:smallCaps w:val="0"/>
          <w:noProof w:val="0"/>
          <w:color w:val="D1D5DB"/>
          <w:sz w:val="24"/>
          <w:szCs w:val="24"/>
          <w:lang w:val="es-ES"/>
        </w:rPr>
        <w:t xml:space="preserve">Varianza: es una medida de dispersión que muestra cuánto se alejan los valores individuales del promedio (media). Para el caso de los </w:t>
      </w:r>
      <w:r w:rsidRPr="7C194A38" w:rsidR="7C194A38">
        <w:rPr>
          <w:rFonts w:ascii="system-ui" w:hAnsi="system-ui" w:eastAsia="system-ui" w:cs="system-ui"/>
          <w:b w:val="0"/>
          <w:bCs w:val="0"/>
          <w:i w:val="0"/>
          <w:iCs w:val="0"/>
          <w:caps w:val="0"/>
          <w:smallCaps w:val="0"/>
          <w:noProof w:val="0"/>
          <w:color w:val="D1D5DB"/>
          <w:sz w:val="24"/>
          <w:szCs w:val="24"/>
          <w:lang w:val="es-ES"/>
        </w:rPr>
        <w:t>cupcakes</w:t>
      </w:r>
      <w:r w:rsidRPr="7C194A38" w:rsidR="7C194A38">
        <w:rPr>
          <w:rFonts w:ascii="system-ui" w:hAnsi="system-ui" w:eastAsia="system-ui" w:cs="system-ui"/>
          <w:b w:val="0"/>
          <w:bCs w:val="0"/>
          <w:i w:val="0"/>
          <w:iCs w:val="0"/>
          <w:caps w:val="0"/>
          <w:smallCaps w:val="0"/>
          <w:noProof w:val="0"/>
          <w:color w:val="D1D5DB"/>
          <w:sz w:val="24"/>
          <w:szCs w:val="24"/>
          <w:lang w:val="es-ES"/>
        </w:rPr>
        <w:t xml:space="preserve"> se calcula la varianza en aproximadamente: 0.4625695164482992 gramos.</w:t>
      </w:r>
    </w:p>
    <w:p xmlns:wp14="http://schemas.microsoft.com/office/word/2010/wordml" w:rsidP="7C194A38" wp14:paraId="46EBD44A" wp14:textId="1E2060B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s-ES"/>
        </w:rPr>
      </w:pPr>
      <w:r w:rsidRPr="7C194A38" w:rsidR="7C194A38">
        <w:rPr>
          <w:rFonts w:ascii="system-ui" w:hAnsi="system-ui" w:eastAsia="system-ui" w:cs="system-ui"/>
          <w:b w:val="1"/>
          <w:bCs w:val="1"/>
          <w:i w:val="0"/>
          <w:iCs w:val="0"/>
          <w:caps w:val="0"/>
          <w:smallCaps w:val="0"/>
          <w:noProof w:val="0"/>
          <w:color w:val="D1D5DB"/>
          <w:sz w:val="24"/>
          <w:szCs w:val="24"/>
          <w:lang w:val="es-ES"/>
        </w:rPr>
        <w:t>Desviación estándar</w:t>
      </w:r>
      <w:r w:rsidRPr="7C194A38" w:rsidR="7C194A38">
        <w:rPr>
          <w:rFonts w:ascii="system-ui" w:hAnsi="system-ui" w:eastAsia="system-ui" w:cs="system-ui"/>
          <w:b w:val="0"/>
          <w:bCs w:val="0"/>
          <w:i w:val="0"/>
          <w:iCs w:val="0"/>
          <w:caps w:val="0"/>
          <w:smallCaps w:val="0"/>
          <w:noProof w:val="0"/>
          <w:color w:val="D1D5DB"/>
          <w:sz w:val="24"/>
          <w:szCs w:val="24"/>
          <w:lang w:val="es-ES"/>
        </w:rPr>
        <w:t xml:space="preserve">: Indica cuánto varían los pesos de los </w:t>
      </w:r>
      <w:r w:rsidRPr="7C194A38" w:rsidR="7C194A38">
        <w:rPr>
          <w:rFonts w:ascii="system-ui" w:hAnsi="system-ui" w:eastAsia="system-ui" w:cs="system-ui"/>
          <w:b w:val="0"/>
          <w:bCs w:val="0"/>
          <w:i w:val="0"/>
          <w:iCs w:val="0"/>
          <w:caps w:val="0"/>
          <w:smallCaps w:val="0"/>
          <w:noProof w:val="0"/>
          <w:color w:val="D1D5DB"/>
          <w:sz w:val="24"/>
          <w:szCs w:val="24"/>
          <w:lang w:val="es-ES"/>
        </w:rPr>
        <w:t>cupcakes</w:t>
      </w:r>
      <w:r w:rsidRPr="7C194A38" w:rsidR="7C194A38">
        <w:rPr>
          <w:rFonts w:ascii="system-ui" w:hAnsi="system-ui" w:eastAsia="system-ui" w:cs="system-ui"/>
          <w:b w:val="0"/>
          <w:bCs w:val="0"/>
          <w:i w:val="0"/>
          <w:iCs w:val="0"/>
          <w:caps w:val="0"/>
          <w:smallCaps w:val="0"/>
          <w:noProof w:val="0"/>
          <w:color w:val="D1D5DB"/>
          <w:sz w:val="24"/>
          <w:szCs w:val="24"/>
          <w:lang w:val="es-ES"/>
        </w:rPr>
        <w:t xml:space="preserve"> con respecto a la media. Una desviación estándar más alta implica una mayor variabilidad en los pesos. En este caso, la desviación estándar es aproximadamente 0.6801246330256677  gramos, lo que sugiere que los pesos tienden a estar bastante cerca de la media.</w:t>
      </w:r>
    </w:p>
    <w:p xmlns:wp14="http://schemas.microsoft.com/office/word/2010/wordml" w:rsidP="7C194A38" wp14:paraId="258D48C7" wp14:textId="65FB832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s-ES"/>
        </w:rPr>
      </w:pPr>
      <w:r w:rsidRPr="7C194A38" w:rsidR="7C194A38">
        <w:rPr>
          <w:rFonts w:ascii="system-ui" w:hAnsi="system-ui" w:eastAsia="system-ui" w:cs="system-ui"/>
          <w:b w:val="1"/>
          <w:bCs w:val="1"/>
          <w:i w:val="0"/>
          <w:iCs w:val="0"/>
          <w:caps w:val="0"/>
          <w:smallCaps w:val="0"/>
          <w:noProof w:val="0"/>
          <w:color w:val="D1D5DB"/>
          <w:sz w:val="24"/>
          <w:szCs w:val="24"/>
          <w:lang w:val="es-ES"/>
        </w:rPr>
        <w:t>Rango</w:t>
      </w:r>
      <w:r w:rsidRPr="7C194A38" w:rsidR="7C194A38">
        <w:rPr>
          <w:rFonts w:ascii="system-ui" w:hAnsi="system-ui" w:eastAsia="system-ui" w:cs="system-ui"/>
          <w:b w:val="0"/>
          <w:bCs w:val="0"/>
          <w:i w:val="0"/>
          <w:iCs w:val="0"/>
          <w:caps w:val="0"/>
          <w:smallCaps w:val="0"/>
          <w:noProof w:val="0"/>
          <w:color w:val="D1D5DB"/>
          <w:sz w:val="24"/>
          <w:szCs w:val="24"/>
          <w:lang w:val="es-ES"/>
        </w:rPr>
        <w:t>: Es la diferencia entre el valor máximo y el valor mínimo. En este caso, el rango es de aproximadamente 2.6 gramos. Esto indica la amplitud total de variación de los pesos, desde el más ligero al más pesado.</w:t>
      </w:r>
    </w:p>
    <w:p xmlns:wp14="http://schemas.microsoft.com/office/word/2010/wordml" w:rsidP="7C194A38" wp14:paraId="1CCE12E5" wp14:textId="3D36A2AC">
      <w:pPr>
        <w:pStyle w:val="Normal"/>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s-ES"/>
        </w:rPr>
      </w:pPr>
    </w:p>
    <w:p xmlns:wp14="http://schemas.microsoft.com/office/word/2010/wordml" w:rsidP="7C194A38" wp14:paraId="362A8AD7" wp14:textId="728E4360">
      <w:pPr>
        <w:pStyle w:val="Normal"/>
        <w:spacing w:before="0" w:beforeAutospacing="off" w:after="0" w:afterAutospacing="off"/>
        <w:rPr>
          <w:rFonts w:ascii="system-ui" w:hAnsi="system-ui" w:eastAsia="system-ui" w:cs="system-ui"/>
          <w:b w:val="0"/>
          <w:bCs w:val="0"/>
          <w:i w:val="0"/>
          <w:iCs w:val="0"/>
          <w:caps w:val="0"/>
          <w:smallCaps w:val="0"/>
          <w:noProof w:val="0"/>
          <w:color w:val="D1D5DB"/>
          <w:sz w:val="24"/>
          <w:szCs w:val="24"/>
          <w:lang w:val="es-ES"/>
        </w:rPr>
      </w:pPr>
    </w:p>
    <w:p xmlns:wp14="http://schemas.microsoft.com/office/word/2010/wordml" w:rsidP="7C194A38" wp14:paraId="5C1A07E2" wp14:textId="6E98481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25f44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4A6C68"/>
    <w:rsid w:val="4E4A6C68"/>
    <w:rsid w:val="7C194A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6C68"/>
  <w15:chartTrackingRefBased/>
  <w15:docId w15:val="{B127C5C7-3522-4F81-8452-679E66FC78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4365a73c07d43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2023-11-13T00:32:36.1270339Z</dcterms:created>
  <dcterms:modified xsi:type="dcterms:W3CDTF">2023-11-13T07:42:47.8889592Z</dcterms:modified>
  <dc:creator>Vladimir Salgado</dc:creator>
  <lastModifiedBy>Vladimir Salgado</lastModifiedBy>
</coreProperties>
</file>