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9D404F9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33159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7B7770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45FE1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2021-01-02T02:14:45Z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