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Village, Chemical Plant, Hospital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C0C7F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2020-09-15T01:02:10Z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