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Three Chaodoms Setup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2021-12-18T16:57:27Z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