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0A221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一、评价体系指标</w:t>
      </w:r>
    </w:p>
    <w:p w14:paraId="5E7561D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探寻新形势下大学生党员的发展质量评价考核指标，构建直观可视化定量评价体系，拟将政治素质、道德品质、学习创新、综合发展、群众基础共5项作为一级考核指标，并结合实际选取了12项二级考核指标相匹配，初步构建指标体系。</w:t>
      </w:r>
      <w:bookmarkStart w:id="1" w:name="_GoBack"/>
      <w:bookmarkEnd w:id="1"/>
    </w:p>
    <w:p w14:paraId="328EA963"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学生党员发展评价体系指标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5182"/>
      </w:tblGrid>
      <w:tr w14:paraId="57D4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8C2403E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一级指标</w:t>
            </w:r>
          </w:p>
        </w:tc>
        <w:tc>
          <w:tcPr>
            <w:tcW w:w="1701" w:type="dxa"/>
            <w:vAlign w:val="center"/>
          </w:tcPr>
          <w:p w14:paraId="6F27542D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二级指标</w:t>
            </w:r>
          </w:p>
        </w:tc>
        <w:tc>
          <w:tcPr>
            <w:tcW w:w="5182" w:type="dxa"/>
            <w:vAlign w:val="center"/>
          </w:tcPr>
          <w:p w14:paraId="52D53164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具体考核内容</w:t>
            </w:r>
          </w:p>
        </w:tc>
      </w:tr>
      <w:tr w14:paraId="7C47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14A3ED5D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政治素质</w:t>
            </w:r>
          </w:p>
        </w:tc>
        <w:tc>
          <w:tcPr>
            <w:tcW w:w="1701" w:type="dxa"/>
            <w:vMerge w:val="restart"/>
            <w:vAlign w:val="center"/>
          </w:tcPr>
          <w:p w14:paraId="6FD5C5B3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政治立场</w:t>
            </w:r>
          </w:p>
        </w:tc>
        <w:tc>
          <w:tcPr>
            <w:tcW w:w="5182" w:type="dxa"/>
          </w:tcPr>
          <w:p w14:paraId="770E57B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考察入党动机是否端正</w:t>
            </w:r>
          </w:p>
        </w:tc>
      </w:tr>
      <w:tr w14:paraId="225A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2554F241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46DE606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5C2569D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始终坚定马克思主义信仰，坚持共产主义理想信念</w:t>
            </w:r>
          </w:p>
        </w:tc>
      </w:tr>
      <w:tr w14:paraId="0BC0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28367F85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4DC6D713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6035D1D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具有鲜明的爱国主义精神</w:t>
            </w:r>
          </w:p>
        </w:tc>
      </w:tr>
      <w:tr w14:paraId="7944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6F36BA8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219ED6D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65A4AB1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政治立场坚定，思想行动与党中央保持高度一致</w:t>
            </w:r>
          </w:p>
        </w:tc>
      </w:tr>
      <w:tr w14:paraId="11E0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41FBF9AD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7AA637A3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55B1679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对党忠诚，对国家忠诚</w:t>
            </w:r>
          </w:p>
        </w:tc>
      </w:tr>
      <w:tr w14:paraId="029D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5A04FB16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C216B7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理论学习</w:t>
            </w:r>
          </w:p>
        </w:tc>
        <w:tc>
          <w:tcPr>
            <w:tcW w:w="5182" w:type="dxa"/>
          </w:tcPr>
          <w:p w14:paraId="792459FE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主动认真学习习近平新时代中国特色社会主义思想</w:t>
            </w:r>
          </w:p>
        </w:tc>
      </w:tr>
      <w:tr w14:paraId="77E3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68AFE91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3F8D34E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273358D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掌握党的基本知识和党的创新理论情况</w:t>
            </w:r>
          </w:p>
        </w:tc>
      </w:tr>
      <w:tr w14:paraId="4D7F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  <w:vAlign w:val="center"/>
          </w:tcPr>
          <w:p w14:paraId="09BAC95E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5DCBCE8C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6EBFC1E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参加红色主题活动</w:t>
            </w:r>
          </w:p>
        </w:tc>
      </w:tr>
      <w:tr w14:paraId="2FC87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1DDCF704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道德品质</w:t>
            </w:r>
          </w:p>
        </w:tc>
        <w:tc>
          <w:tcPr>
            <w:tcW w:w="1701" w:type="dxa"/>
            <w:vMerge w:val="restart"/>
            <w:vAlign w:val="center"/>
          </w:tcPr>
          <w:p w14:paraId="40FD14F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日常言行</w:t>
            </w:r>
          </w:p>
        </w:tc>
        <w:tc>
          <w:tcPr>
            <w:tcW w:w="5182" w:type="dxa"/>
          </w:tcPr>
          <w:p w14:paraId="481A30A1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品行端正，无不良言行</w:t>
            </w:r>
          </w:p>
        </w:tc>
      </w:tr>
      <w:tr w14:paraId="3A66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1B8EE1D1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5379E15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05C6E5A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纪律情况，无缺勤、迟到、早退现象</w:t>
            </w:r>
          </w:p>
        </w:tc>
      </w:tr>
      <w:tr w14:paraId="6948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B9CAE94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54E230B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0473CB3A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尊重师长，团结同学，</w:t>
            </w:r>
          </w:p>
        </w:tc>
      </w:tr>
      <w:tr w14:paraId="49E8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20B0875D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2F45AE30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1F383225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严格遵守法律法规，校纪校规，无不良行为</w:t>
            </w:r>
          </w:p>
        </w:tc>
      </w:tr>
      <w:tr w14:paraId="66C0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79B22C9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3658515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传统美德</w:t>
            </w:r>
          </w:p>
        </w:tc>
        <w:tc>
          <w:tcPr>
            <w:tcW w:w="5182" w:type="dxa"/>
          </w:tcPr>
          <w:p w14:paraId="28AF4395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生活作风优良，勤俭节约，杜绝奢侈浪费</w:t>
            </w:r>
          </w:p>
        </w:tc>
      </w:tr>
      <w:tr w14:paraId="4B05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66E006A0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3B6B15F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1636AFE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恪守个人品德，家庭美德，社会公德</w:t>
            </w:r>
          </w:p>
        </w:tc>
      </w:tr>
      <w:tr w14:paraId="2897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51EC4400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6FF983F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5247D3D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保持优良艰苦奋斗精神</w:t>
            </w:r>
          </w:p>
        </w:tc>
      </w:tr>
      <w:tr w14:paraId="1DFB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157AC34D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1A310F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责任担当</w:t>
            </w:r>
          </w:p>
        </w:tc>
        <w:tc>
          <w:tcPr>
            <w:tcW w:w="5182" w:type="dxa"/>
          </w:tcPr>
          <w:p w14:paraId="07CEA77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在学习和工作中，勇于担当，起到骨干作用</w:t>
            </w:r>
          </w:p>
        </w:tc>
      </w:tr>
      <w:tr w14:paraId="5DD9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BC2E86B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0F5B26EE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36F1305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关心社会热点时事，社会担当意识强</w:t>
            </w:r>
          </w:p>
        </w:tc>
      </w:tr>
      <w:tr w14:paraId="3A59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116F75A4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7C00DDC8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48492D41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集体荣誉感强，不计较个人得失</w:t>
            </w:r>
          </w:p>
        </w:tc>
      </w:tr>
      <w:tr w14:paraId="72DD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12262BC5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学习创新</w:t>
            </w:r>
          </w:p>
        </w:tc>
        <w:tc>
          <w:tcPr>
            <w:tcW w:w="1701" w:type="dxa"/>
            <w:vAlign w:val="center"/>
          </w:tcPr>
          <w:p w14:paraId="5D69D37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学业成绩</w:t>
            </w:r>
          </w:p>
        </w:tc>
        <w:tc>
          <w:tcPr>
            <w:tcW w:w="5182" w:type="dxa"/>
          </w:tcPr>
          <w:p w14:paraId="3FE2978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学业学习方面能力突出，成绩位于年级前列</w:t>
            </w:r>
          </w:p>
        </w:tc>
      </w:tr>
      <w:tr w14:paraId="54FD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3F193B1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5FCF6EA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学术创新</w:t>
            </w:r>
          </w:p>
        </w:tc>
        <w:tc>
          <w:tcPr>
            <w:tcW w:w="5182" w:type="dxa"/>
          </w:tcPr>
          <w:p w14:paraId="149937C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学科水平拔尖，获得学科竞赛奖项</w:t>
            </w:r>
          </w:p>
        </w:tc>
      </w:tr>
      <w:tr w14:paraId="503D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C8C78D1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4403B6E1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5D8B9E1E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科研创新能力强，发表学术论文</w:t>
            </w:r>
          </w:p>
        </w:tc>
      </w:tr>
      <w:tr w14:paraId="7AC3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299B120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3D0F4D2B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0F102E0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申报或者参加科研项目</w:t>
            </w:r>
          </w:p>
        </w:tc>
      </w:tr>
      <w:tr w14:paraId="10C4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65AAF6FF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6AD27298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268328E2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获批发明专利、实用新型专利，富有创新精神</w:t>
            </w:r>
          </w:p>
        </w:tc>
      </w:tr>
      <w:tr w14:paraId="1DD0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F9E0A8A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7D0722C6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15CE138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积极参加创新创业类赛事</w:t>
            </w:r>
          </w:p>
        </w:tc>
      </w:tr>
      <w:tr w14:paraId="3C2C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19E4578C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综合发展</w:t>
            </w:r>
          </w:p>
        </w:tc>
        <w:tc>
          <w:tcPr>
            <w:tcW w:w="1701" w:type="dxa"/>
            <w:vMerge w:val="restart"/>
            <w:vAlign w:val="center"/>
          </w:tcPr>
          <w:p w14:paraId="67FF4523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工作实践</w:t>
            </w:r>
          </w:p>
        </w:tc>
        <w:tc>
          <w:tcPr>
            <w:tcW w:w="5182" w:type="dxa"/>
          </w:tcPr>
          <w:p w14:paraId="470C412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学生干部工作情况，积极担任校、院、班学生干部</w:t>
            </w:r>
          </w:p>
        </w:tc>
      </w:tr>
      <w:tr w14:paraId="5E43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510C77D6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</w:tcPr>
          <w:p w14:paraId="665E339E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46EF1D4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积极参加社会实践活动，锻炼工作能力</w:t>
            </w:r>
          </w:p>
        </w:tc>
      </w:tr>
      <w:tr w14:paraId="5EE2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78211E7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299B1041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志愿服务</w:t>
            </w:r>
          </w:p>
        </w:tc>
        <w:tc>
          <w:tcPr>
            <w:tcW w:w="5182" w:type="dxa"/>
          </w:tcPr>
          <w:p w14:paraId="3CCB50AD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积极参加志愿服务活动，服务群众</w:t>
            </w:r>
          </w:p>
        </w:tc>
      </w:tr>
      <w:tr w14:paraId="1A7F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812709B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676C666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文体发展</w:t>
            </w:r>
          </w:p>
        </w:tc>
        <w:tc>
          <w:tcPr>
            <w:tcW w:w="5182" w:type="dxa"/>
          </w:tcPr>
          <w:p w14:paraId="15A5F39A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文艺素养水平高，积极参加各类文艺活动比赛</w:t>
            </w:r>
          </w:p>
        </w:tc>
      </w:tr>
      <w:tr w14:paraId="40B1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5B42DCBA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2F1AB213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2E2E48F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体育素养水平高，积极参加各类体育活动比赛</w:t>
            </w:r>
          </w:p>
        </w:tc>
      </w:tr>
      <w:tr w14:paraId="6421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restart"/>
            <w:vAlign w:val="center"/>
          </w:tcPr>
          <w:p w14:paraId="7A0707E6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群众基础</w:t>
            </w:r>
          </w:p>
        </w:tc>
        <w:tc>
          <w:tcPr>
            <w:tcW w:w="1701" w:type="dxa"/>
            <w:vMerge w:val="restart"/>
            <w:vAlign w:val="center"/>
          </w:tcPr>
          <w:p w14:paraId="7AC70AFF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群众评议</w:t>
            </w:r>
          </w:p>
        </w:tc>
        <w:tc>
          <w:tcPr>
            <w:tcW w:w="5182" w:type="dxa"/>
          </w:tcPr>
          <w:p w14:paraId="40FDCFFF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班级同学民主测评</w:t>
            </w:r>
          </w:p>
        </w:tc>
      </w:tr>
      <w:tr w14:paraId="32FF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25F8792B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484D2B2E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537E654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教师评价</w:t>
            </w:r>
          </w:p>
        </w:tc>
      </w:tr>
      <w:tr w14:paraId="1B11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4A626387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3B911F3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182" w:type="dxa"/>
          </w:tcPr>
          <w:p w14:paraId="49674D68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辅导员评价</w:t>
            </w:r>
          </w:p>
        </w:tc>
      </w:tr>
      <w:tr w14:paraId="5625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Merge w:val="continue"/>
          </w:tcPr>
          <w:p w14:paraId="7F714911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380D1A9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其他表现</w:t>
            </w:r>
          </w:p>
        </w:tc>
        <w:tc>
          <w:tcPr>
            <w:tcW w:w="5182" w:type="dxa"/>
          </w:tcPr>
          <w:p w14:paraId="69C2182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其他个人突出表现</w:t>
            </w:r>
          </w:p>
        </w:tc>
      </w:tr>
    </w:tbl>
    <w:p w14:paraId="773DF4A6">
      <w:pPr>
        <w:spacing w:line="360" w:lineRule="auto"/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二、可视化定量评价</w:t>
      </w:r>
    </w:p>
    <w:p w14:paraId="657653D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为更加系统评价学生的日常表现情况，在评估以上12项二级指标时，各指标在正向与负向表现之间所占的权重比例不同。因此进行量化分析时，将评价分数分为正向评价得分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a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与负向评价得分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，对学生进行正负双向加权评价。</w:t>
      </w:r>
    </w:p>
    <w:p w14:paraId="25066F2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正向评价得分计算公式如下：</w:t>
      </w:r>
    </w:p>
    <w:p w14:paraId="1B28920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a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nary>
        </m:oMath>
      </m:oMathPara>
    </w:p>
    <w:p w14:paraId="45043E33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其中，</w:t>
      </w:r>
      <w:bookmarkStart w:id="0" w:name="_Hlk192079264"/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a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为指标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i</m:t>
        </m:r>
      </m:oMath>
      <w:r>
        <w:rPr>
          <w:rFonts w:hint="eastAsia" w:ascii="宋体" w:hAnsi="宋体" w:eastAsia="宋体"/>
          <w:sz w:val="24"/>
          <w:szCs w:val="24"/>
        </w:rPr>
        <w:t>的正向评价权重，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为指标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i</m:t>
        </m:r>
      </m:oMath>
      <w:r>
        <w:rPr>
          <w:rFonts w:hint="eastAsia" w:ascii="宋体" w:hAnsi="宋体" w:eastAsia="宋体"/>
          <w:sz w:val="24"/>
          <w:szCs w:val="24"/>
        </w:rPr>
        <w:t>的正向评价打分分子。</w:t>
      </w:r>
      <w:bookmarkEnd w:id="0"/>
      <w:r>
        <w:rPr>
          <w:rFonts w:hint="eastAsia" w:ascii="宋体" w:hAnsi="宋体" w:eastAsia="宋体"/>
          <w:sz w:val="24"/>
          <w:szCs w:val="24"/>
        </w:rPr>
        <w:t>第6项二级指标“学业成绩”的正向评价打分分子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6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计算方式为</w:t>
      </w:r>
    </w:p>
    <w:p w14:paraId="13666810">
      <w:pPr>
        <w:spacing w:line="360" w:lineRule="auto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6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r>
            <m:rPr/>
            <w:rPr>
              <w:rFonts w:hint="eastAsia" w:ascii="Cambria Math" w:hAnsi="Cambria Math" w:eastAsia="宋体"/>
              <w:sz w:val="24"/>
              <w:szCs w:val="24"/>
            </w:rPr>
            <m:t>该生平均学分绩点（百分制）</m:t>
          </m:r>
        </m:oMath>
      </m:oMathPara>
    </w:p>
    <w:p w14:paraId="1270526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负向评价得分计算公式如下：</w:t>
      </w:r>
    </w:p>
    <w:p w14:paraId="5B4249D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b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b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nary>
        </m:oMath>
      </m:oMathPara>
    </w:p>
    <w:p w14:paraId="46468706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b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为指标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i</m:t>
        </m:r>
      </m:oMath>
      <w:r>
        <w:rPr>
          <w:rFonts w:hint="eastAsia" w:ascii="宋体" w:hAnsi="宋体" w:eastAsia="宋体"/>
          <w:sz w:val="24"/>
          <w:szCs w:val="24"/>
        </w:rPr>
        <w:t>的负向评价权重，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为指标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i</m:t>
        </m:r>
      </m:oMath>
      <w:r>
        <w:rPr>
          <w:rFonts w:hint="eastAsia" w:ascii="宋体" w:hAnsi="宋体" w:eastAsia="宋体"/>
          <w:sz w:val="24"/>
          <w:szCs w:val="24"/>
        </w:rPr>
        <w:t>的负向评价打分分子。</w:t>
      </w:r>
    </w:p>
    <w:p w14:paraId="17DF345A">
      <w:pPr>
        <w:spacing w:line="360" w:lineRule="auto"/>
        <w:jc w:val="center"/>
        <w:rPr>
          <w:rFonts w:hint="eastAsia"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表2.评价指标正、负向权重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701"/>
        <w:gridCol w:w="2662"/>
        <w:gridCol w:w="2662"/>
      </w:tblGrid>
      <w:tr w14:paraId="4967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Align w:val="center"/>
          </w:tcPr>
          <w:p w14:paraId="68E816CB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一级指标</w:t>
            </w:r>
          </w:p>
        </w:tc>
        <w:tc>
          <w:tcPr>
            <w:tcW w:w="1701" w:type="dxa"/>
            <w:vAlign w:val="center"/>
          </w:tcPr>
          <w:p w14:paraId="2ABF492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二级指标</w:t>
            </w:r>
          </w:p>
        </w:tc>
        <w:tc>
          <w:tcPr>
            <w:tcW w:w="2662" w:type="dxa"/>
            <w:vAlign w:val="center"/>
          </w:tcPr>
          <w:p w14:paraId="07655999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正向评价权重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a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hint="eastAsia" w:ascii="宋体" w:hAnsi="宋体" w:eastAsia="宋体"/>
                <w:sz w:val="24"/>
                <w:szCs w:val="24"/>
              </w:rPr>
              <w:t>（%）</w:t>
            </w:r>
          </w:p>
        </w:tc>
        <w:tc>
          <w:tcPr>
            <w:tcW w:w="2662" w:type="dxa"/>
            <w:vAlign w:val="center"/>
          </w:tcPr>
          <w:p w14:paraId="562AF78E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负向评价权重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b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hint="eastAsia" w:ascii="宋体" w:hAnsi="宋体" w:eastAsia="宋体"/>
                <w:sz w:val="24"/>
                <w:szCs w:val="24"/>
              </w:rPr>
              <w:t>（%）</w:t>
            </w:r>
          </w:p>
        </w:tc>
      </w:tr>
      <w:tr w14:paraId="655B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restart"/>
            <w:vAlign w:val="center"/>
          </w:tcPr>
          <w:p w14:paraId="32EA177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政治素质</w:t>
            </w:r>
          </w:p>
        </w:tc>
        <w:tc>
          <w:tcPr>
            <w:tcW w:w="1701" w:type="dxa"/>
            <w:vAlign w:val="center"/>
          </w:tcPr>
          <w:p w14:paraId="599305F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1政治立场</w:t>
            </w:r>
          </w:p>
        </w:tc>
        <w:tc>
          <w:tcPr>
            <w:tcW w:w="2662" w:type="dxa"/>
            <w:vAlign w:val="center"/>
          </w:tcPr>
          <w:p w14:paraId="78580D52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662" w:type="dxa"/>
            <w:vAlign w:val="center"/>
          </w:tcPr>
          <w:p w14:paraId="6503FF05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</w:t>
            </w:r>
          </w:p>
        </w:tc>
      </w:tr>
      <w:tr w14:paraId="4565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  <w:vAlign w:val="center"/>
          </w:tcPr>
          <w:p w14:paraId="79243FD6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7EB1F39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2理论学习</w:t>
            </w:r>
          </w:p>
        </w:tc>
        <w:tc>
          <w:tcPr>
            <w:tcW w:w="2662" w:type="dxa"/>
            <w:vAlign w:val="center"/>
          </w:tcPr>
          <w:p w14:paraId="0BDAFBFE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6B01F6CB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</w:tr>
      <w:tr w14:paraId="4860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restart"/>
            <w:vAlign w:val="center"/>
          </w:tcPr>
          <w:p w14:paraId="6AAE3BB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道德品质</w:t>
            </w:r>
          </w:p>
        </w:tc>
        <w:tc>
          <w:tcPr>
            <w:tcW w:w="1701" w:type="dxa"/>
            <w:vAlign w:val="center"/>
          </w:tcPr>
          <w:p w14:paraId="3935E44D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3日常言行</w:t>
            </w:r>
          </w:p>
        </w:tc>
        <w:tc>
          <w:tcPr>
            <w:tcW w:w="2662" w:type="dxa"/>
            <w:vAlign w:val="center"/>
          </w:tcPr>
          <w:p w14:paraId="63842B5F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6080CDB3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</w:tr>
      <w:tr w14:paraId="5CD7D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3050D101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276EE84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4品行作风</w:t>
            </w:r>
          </w:p>
        </w:tc>
        <w:tc>
          <w:tcPr>
            <w:tcW w:w="2662" w:type="dxa"/>
            <w:vAlign w:val="center"/>
          </w:tcPr>
          <w:p w14:paraId="64D0FE19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40B0E1EB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</w:tr>
      <w:tr w14:paraId="4E12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5E5C5BCC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183A7E53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5责任担当</w:t>
            </w:r>
          </w:p>
        </w:tc>
        <w:tc>
          <w:tcPr>
            <w:tcW w:w="2662" w:type="dxa"/>
            <w:vAlign w:val="center"/>
          </w:tcPr>
          <w:p w14:paraId="170CE822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653219BF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</w:tr>
      <w:tr w14:paraId="765E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restart"/>
            <w:vAlign w:val="center"/>
          </w:tcPr>
          <w:p w14:paraId="39B04FB1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学习创新</w:t>
            </w:r>
          </w:p>
        </w:tc>
        <w:tc>
          <w:tcPr>
            <w:tcW w:w="1701" w:type="dxa"/>
            <w:vAlign w:val="center"/>
          </w:tcPr>
          <w:p w14:paraId="3BEDFEC3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6学业成绩</w:t>
            </w:r>
          </w:p>
        </w:tc>
        <w:tc>
          <w:tcPr>
            <w:tcW w:w="2662" w:type="dxa"/>
            <w:vAlign w:val="center"/>
          </w:tcPr>
          <w:p w14:paraId="345340ED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</w:t>
            </w:r>
          </w:p>
        </w:tc>
        <w:tc>
          <w:tcPr>
            <w:tcW w:w="2662" w:type="dxa"/>
            <w:vAlign w:val="center"/>
          </w:tcPr>
          <w:p w14:paraId="78EEA5E0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  <w:tr w14:paraId="2307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230096B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68A306DB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7学术创新</w:t>
            </w:r>
          </w:p>
        </w:tc>
        <w:tc>
          <w:tcPr>
            <w:tcW w:w="2662" w:type="dxa"/>
            <w:vAlign w:val="center"/>
          </w:tcPr>
          <w:p w14:paraId="514ADC9E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662" w:type="dxa"/>
            <w:vAlign w:val="center"/>
          </w:tcPr>
          <w:p w14:paraId="3FFE8A2A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  <w:tr w14:paraId="1F59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restart"/>
            <w:vAlign w:val="center"/>
          </w:tcPr>
          <w:p w14:paraId="6B5EA34F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综合发展</w:t>
            </w:r>
          </w:p>
        </w:tc>
        <w:tc>
          <w:tcPr>
            <w:tcW w:w="1701" w:type="dxa"/>
            <w:vAlign w:val="center"/>
          </w:tcPr>
          <w:p w14:paraId="28AC01D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8工作实践</w:t>
            </w:r>
          </w:p>
        </w:tc>
        <w:tc>
          <w:tcPr>
            <w:tcW w:w="2662" w:type="dxa"/>
            <w:vAlign w:val="center"/>
          </w:tcPr>
          <w:p w14:paraId="69CF5D8F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662" w:type="dxa"/>
            <w:vAlign w:val="center"/>
          </w:tcPr>
          <w:p w14:paraId="53452997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  <w:tr w14:paraId="4001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4234C749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7DCE12A8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9志愿服务</w:t>
            </w:r>
          </w:p>
        </w:tc>
        <w:tc>
          <w:tcPr>
            <w:tcW w:w="2662" w:type="dxa"/>
            <w:vAlign w:val="center"/>
          </w:tcPr>
          <w:p w14:paraId="65AEC0BF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662" w:type="dxa"/>
            <w:vAlign w:val="center"/>
          </w:tcPr>
          <w:p w14:paraId="7C255A31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  <w:tr w14:paraId="1602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279A4D75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659A42B1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10文体发展</w:t>
            </w:r>
          </w:p>
        </w:tc>
        <w:tc>
          <w:tcPr>
            <w:tcW w:w="2662" w:type="dxa"/>
            <w:vAlign w:val="center"/>
          </w:tcPr>
          <w:p w14:paraId="69FD5B30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662" w:type="dxa"/>
            <w:vAlign w:val="center"/>
          </w:tcPr>
          <w:p w14:paraId="37A026F1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  <w:tr w14:paraId="2D8D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restart"/>
            <w:vAlign w:val="center"/>
          </w:tcPr>
          <w:p w14:paraId="00648125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群众基础</w:t>
            </w:r>
          </w:p>
        </w:tc>
        <w:tc>
          <w:tcPr>
            <w:tcW w:w="1701" w:type="dxa"/>
            <w:vAlign w:val="center"/>
          </w:tcPr>
          <w:p w14:paraId="2ABB2942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11群众评议</w:t>
            </w:r>
          </w:p>
        </w:tc>
        <w:tc>
          <w:tcPr>
            <w:tcW w:w="2662" w:type="dxa"/>
            <w:vAlign w:val="center"/>
          </w:tcPr>
          <w:p w14:paraId="692A8106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1EA4A650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</w:tr>
      <w:tr w14:paraId="172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1" w:type="dxa"/>
            <w:vMerge w:val="continue"/>
          </w:tcPr>
          <w:p w14:paraId="16D6D13F">
            <w:pPr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4A260DD7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12其他表现</w:t>
            </w:r>
          </w:p>
        </w:tc>
        <w:tc>
          <w:tcPr>
            <w:tcW w:w="2662" w:type="dxa"/>
            <w:vAlign w:val="center"/>
          </w:tcPr>
          <w:p w14:paraId="30EDD489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662" w:type="dxa"/>
            <w:vAlign w:val="center"/>
          </w:tcPr>
          <w:p w14:paraId="2EFF6709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</w:tr>
    </w:tbl>
    <w:p w14:paraId="54FD5C48">
      <w:pPr>
        <w:spacing w:line="360" w:lineRule="auto"/>
        <w:ind w:firstLine="420" w:firstLineChars="200"/>
        <w:rPr>
          <w:rFonts w:hint="eastAsia" w:ascii="宋体" w:hAnsi="宋体" w:eastAsia="宋体"/>
        </w:rPr>
      </w:pPr>
    </w:p>
    <w:p w14:paraId="475E96F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综合正向评价与负向评价得分情况，得出该生的综合评价得分：</w:t>
      </w:r>
    </w:p>
    <w:p w14:paraId="4FB1F352">
      <w:pPr>
        <w:spacing w:line="360" w:lineRule="auto"/>
        <w:ind w:firstLine="480" w:firstLineChars="200"/>
        <w:rPr>
          <w:rFonts w:hint="eastAsia" w:ascii="宋体" w:hAnsi="宋体" w:eastAsia="宋体"/>
          <w:i/>
          <w:sz w:val="24"/>
          <w:szCs w:val="24"/>
        </w:rPr>
      </w:pPr>
      <m:oMathPara>
        <m:oMath>
          <m:r>
            <m:rPr/>
            <w:rPr>
              <w:rFonts w:ascii="Cambria Math" w:hAnsi="Cambria Math" w:eastAsia="宋体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b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</m:oMath>
      </m:oMathPara>
    </w:p>
    <w:p w14:paraId="66A08A4B">
      <w:pPr>
        <w:spacing w:line="360" w:lineRule="auto"/>
        <w:ind w:firstLine="480" w:firstLineChars="200"/>
        <w:rPr>
          <w:rFonts w:hint="eastAsia"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将学生综合评价得分进行层级划分，当综合得分</w:t>
      </w:r>
      <m:oMath>
        <m:r>
          <m:rPr/>
          <w:rPr>
            <w:rFonts w:ascii="Cambria Math" w:hAnsi="Cambria Math" w:eastAsia="宋体"/>
            <w:sz w:val="24"/>
            <w:szCs w:val="24"/>
          </w:rPr>
          <m:t>80</m:t>
        </m:r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r>
          <m:rPr/>
          <w:rPr>
            <w:rFonts w:ascii="Cambria Math" w:hAnsi="Cambria Math" w:eastAsia="宋体"/>
            <w:sz w:val="24"/>
            <w:szCs w:val="24"/>
          </w:rPr>
          <m:t>S</m:t>
        </m:r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r>
          <m:rPr/>
          <w:rPr>
            <w:rFonts w:ascii="Cambria Math" w:hAnsi="Cambria Math" w:eastAsia="宋体"/>
            <w:sz w:val="24"/>
            <w:szCs w:val="24"/>
          </w:rPr>
          <m:t>100</m:t>
        </m:r>
      </m:oMath>
      <w:r>
        <w:rPr>
          <w:rFonts w:hint="eastAsia" w:ascii="宋体" w:hAnsi="宋体" w:eastAsia="宋体"/>
          <w:iCs/>
          <w:sz w:val="24"/>
          <w:szCs w:val="24"/>
        </w:rPr>
        <w:t>时，将该生归为“绿灯”类，认为该生表现情况较好，优先推荐发展；当综合得分</w:t>
      </w:r>
      <m:oMath>
        <m:r>
          <m:rPr/>
          <w:rPr>
            <w:rFonts w:ascii="Cambria Math" w:hAnsi="Cambria Math" w:eastAsia="宋体"/>
            <w:sz w:val="24"/>
            <w:szCs w:val="24"/>
          </w:rPr>
          <m:t>60</m:t>
        </m:r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r>
          <m:rPr/>
          <w:rPr>
            <w:rFonts w:ascii="Cambria Math" w:hAnsi="Cambria Math" w:eastAsia="宋体"/>
            <w:sz w:val="24"/>
            <w:szCs w:val="24"/>
          </w:rPr>
          <m:t>S&lt;80</m:t>
        </m:r>
      </m:oMath>
      <w:r>
        <w:rPr>
          <w:rFonts w:hint="eastAsia" w:ascii="宋体" w:hAnsi="宋体" w:eastAsia="宋体"/>
          <w:iCs/>
          <w:sz w:val="24"/>
          <w:szCs w:val="24"/>
        </w:rPr>
        <w:t>时，将该生归为“黄灯”类，认为该生表现情况中等，能否继续发展有待考察；当综合得分</w:t>
      </w:r>
      <m:oMath>
        <m:r>
          <m:rPr/>
          <w:rPr>
            <w:rFonts w:ascii="Cambria Math" w:hAnsi="Cambria Math" w:eastAsia="宋体"/>
            <w:sz w:val="24"/>
            <w:szCs w:val="24"/>
          </w:rPr>
          <m:t>S&lt;60</m:t>
        </m:r>
      </m:oMath>
      <w:r>
        <w:rPr>
          <w:rFonts w:hint="eastAsia" w:ascii="宋体" w:hAnsi="宋体" w:eastAsia="宋体"/>
          <w:iCs/>
          <w:sz w:val="24"/>
          <w:szCs w:val="24"/>
        </w:rPr>
        <w:t>时，将该生归为“红灯”类，认为该生表现情况较差，不宜继续发展，需进行批评教育、责令反思整改。</w:t>
      </w:r>
    </w:p>
    <w:p w14:paraId="37E64693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1、正向指标的加分规则</w:t>
      </w:r>
    </w:p>
    <w:p w14:paraId="182E3B6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为更加客观规范衡量学生在二级指标7-10中的正向表现情况，现将学生参加该类型比赛或活动的次数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与正向评价打分分子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之间构建下述计算方式：</w:t>
      </w:r>
    </w:p>
    <w:p w14:paraId="40A9117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100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4"/>
                    </w:rPr>
                    <m:t>ln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Name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501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func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en>
          </m:f>
          <m:func>
            <m:func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宋体"/>
                  <w:sz w:val="24"/>
                </w:rPr>
                <m:t>ln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fName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(50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+1)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func>
          <m:r>
            <m:rPr/>
            <w:rPr>
              <w:rFonts w:ascii="Cambria Math" w:hAnsi="Cambria Math" w:eastAsia="宋体"/>
              <w:sz w:val="24"/>
              <w:szCs w:val="24"/>
            </w:rPr>
            <m:t>,i=7,8,9,10.</m:t>
          </m:r>
        </m:oMath>
      </m:oMathPara>
    </w:p>
    <w:p w14:paraId="310FED87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其中，为了体现在同类型活动中，打分分子增长速度随参加次数的增加而减缓的需求，引入对数函数，为保证该项打分分子为百分制，引入系数</w:t>
      </w:r>
      <m:oMath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100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func>
              <m:func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</w:rPr>
                  <m:t>ln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501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/>
          <w:sz w:val="24"/>
          <w:szCs w:val="24"/>
        </w:rPr>
        <w:t>，活动参加次数</w:t>
      </w:r>
      <m:oMath>
        <m:r>
          <m:rPr/>
          <w:rPr>
            <w:rFonts w:ascii="Cambria Math" w:hAnsi="Cambria Math" w:eastAsia="宋体"/>
            <w:sz w:val="24"/>
            <w:szCs w:val="24"/>
          </w:rPr>
          <m:t>0</m:t>
        </m:r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r>
          <m:rPr/>
          <w:rPr>
            <w:rFonts w:ascii="Cambria Math" w:hAnsi="Cambria Math" w:eastAsia="宋体"/>
            <w:sz w:val="24"/>
            <w:szCs w:val="24"/>
          </w:rPr>
          <m:t>10</m:t>
        </m:r>
      </m:oMath>
      <w:r>
        <w:rPr>
          <w:rFonts w:hint="eastAsia" w:ascii="宋体" w:hAnsi="宋体" w:eastAsia="宋体"/>
          <w:sz w:val="24"/>
          <w:szCs w:val="24"/>
        </w:rPr>
        <w:t>，当活动参加次数超过10次时，按照10次计算，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四舍五入保留两位小数。例：当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63.25</m:t>
        </m:r>
      </m:oMath>
      <w:r>
        <w:rPr>
          <w:rFonts w:hint="eastAsia" w:ascii="宋体" w:hAnsi="宋体" w:eastAsia="宋体"/>
          <w:sz w:val="24"/>
          <w:szCs w:val="24"/>
        </w:rPr>
        <w:t>，当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=2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74.24</m:t>
        </m:r>
      </m:oMath>
      <w:r>
        <w:rPr>
          <w:rFonts w:hint="eastAsia" w:ascii="宋体" w:hAnsi="宋体" w:eastAsia="宋体"/>
          <w:sz w:val="24"/>
          <w:szCs w:val="24"/>
        </w:rPr>
        <w:t>，当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=3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80.71</m:t>
        </m:r>
      </m:oMath>
      <w:r>
        <w:rPr>
          <w:rFonts w:hint="eastAsia" w:ascii="宋体" w:hAnsi="宋体" w:eastAsia="宋体"/>
          <w:sz w:val="24"/>
          <w:szCs w:val="24"/>
        </w:rPr>
        <w:t>，当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=9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98.31</m:t>
        </m:r>
      </m:oMath>
      <w:r>
        <w:rPr>
          <w:rFonts w:hint="eastAsia" w:ascii="宋体" w:hAnsi="宋体" w:eastAsia="宋体"/>
          <w:sz w:val="24"/>
          <w:szCs w:val="24"/>
        </w:rPr>
        <w:t>，当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=10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=100</m:t>
        </m:r>
      </m:oMath>
      <w:r>
        <w:rPr>
          <w:rFonts w:hint="eastAsia" w:ascii="宋体" w:hAnsi="宋体" w:eastAsia="宋体"/>
          <w:sz w:val="24"/>
          <w:szCs w:val="24"/>
        </w:rPr>
        <w:t>。</w:t>
      </w:r>
    </w:p>
    <w:p w14:paraId="4B183214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2、负向指标的扣分规则</w:t>
      </w:r>
    </w:p>
    <w:p w14:paraId="7A46018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为更加客观规范衡量学生在二级指标中的负向表现情况，现将学生违反该项指标的次数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与负向评价打分分子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之间构建下述计算方式：</w:t>
      </w:r>
    </w:p>
    <w:p w14:paraId="6AB5973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宋体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宋体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1.5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,  0</m:t>
                  </m:r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 xml:space="preserve">100   ,                  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&gt;7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d>
        </m:oMath>
      </m:oMathPara>
    </w:p>
    <w:p w14:paraId="53763C7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其中，为了体现在同一指标中，打分分子增长速度随违反次数的增加而递增的需求，引入幂函数，违反次数</w:t>
      </w:r>
      <m:oMath>
        <m:r>
          <m:rPr/>
          <w:rPr>
            <w:rFonts w:ascii="Cambria Math" w:hAnsi="Cambria Math" w:eastAsia="宋体"/>
            <w:sz w:val="24"/>
            <w:szCs w:val="24"/>
          </w:rPr>
          <m:t>0</m:t>
        </m:r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≤</m:t>
        </m:r>
        <m:r>
          <m:rPr/>
          <w:rPr>
            <w:rFonts w:ascii="Cambria Math" w:hAnsi="Cambria Math" w:eastAsia="宋体"/>
            <w:sz w:val="24"/>
            <w:szCs w:val="24"/>
          </w:rPr>
          <m:t>10</m:t>
        </m:r>
      </m:oMath>
      <w:r>
        <w:rPr>
          <w:rFonts w:hint="eastAsia" w:ascii="宋体" w:hAnsi="宋体" w:eastAsia="宋体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四舍五入保留两位小数。例：当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=0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=0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=5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=2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14.14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=3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25.98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=4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=40</m:t>
        </m:r>
      </m:oMath>
      <w:r>
        <w:rPr>
          <w:rFonts w:hint="eastAsia" w:ascii="宋体" w:hAnsi="宋体" w:eastAsia="宋体"/>
          <w:sz w:val="24"/>
          <w:szCs w:val="24"/>
        </w:rPr>
        <w:t>。</w:t>
      </w:r>
    </w:p>
    <w:p w14:paraId="79F9AEBD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3、团队活动中的个人加分</w:t>
      </w:r>
    </w:p>
    <w:p w14:paraId="7AB173E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对于团队活动，通过调整正项指标参加次数，实现个人加分根据团队位次进行衰减的需求。团队位次越高，个人加分越多，团队位次越低，个人加分越少，但降幅逐渐减小。令学生团队位次为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n</m:t>
        </m:r>
      </m:oMath>
      <w:r>
        <w:rPr>
          <w:rFonts w:hint="eastAsia" w:ascii="宋体" w:hAnsi="宋体" w:eastAsia="宋体"/>
          <w:sz w:val="24"/>
          <w:szCs w:val="24"/>
        </w:rPr>
        <w:t>，具体公式如下：</w:t>
      </w:r>
    </w:p>
    <w:p w14:paraId="04B77C3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)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0.4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p>
          </m:sSup>
        </m:oMath>
      </m:oMathPara>
    </w:p>
    <w:p w14:paraId="0E2639F5">
      <w:pPr>
        <w:spacing w:line="360" w:lineRule="auto"/>
        <w:rPr>
          <w:rFonts w:hint="eastAsia" w:ascii="宋体" w:hAnsi="宋体" w:eastAsia="宋体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四舍五入保留两位小数。例：当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n</m:t>
        </m:r>
        <m:r>
          <m:rPr/>
          <w:rPr>
            <w:rFonts w:ascii="Cambria Math" w:hAnsi="Cambria Math" w:eastAsia="宋体"/>
            <w:sz w:val="24"/>
            <w:szCs w:val="24"/>
          </w:rPr>
          <m:t>=1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n</m:t>
        </m:r>
        <m:r>
          <m:rPr/>
          <w:rPr>
            <w:rFonts w:ascii="Cambria Math" w:hAnsi="Cambria Math" w:eastAsia="宋体"/>
            <w:sz w:val="24"/>
            <w:szCs w:val="24"/>
          </w:rPr>
          <m:t>=2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0.76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=3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0.64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=4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0.57</m:t>
        </m:r>
      </m:oMath>
      <w:r>
        <w:rPr>
          <w:rFonts w:hint="eastAsia" w:ascii="宋体" w:hAnsi="宋体" w:eastAsia="宋体"/>
          <w:sz w:val="24"/>
          <w:szCs w:val="24"/>
        </w:rPr>
        <w:t>；当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=5</m:t>
        </m:r>
      </m:oMath>
      <w:r>
        <w:rPr>
          <w:rFonts w:hint="eastAsia" w:ascii="宋体" w:hAnsi="宋体" w:eastAsia="宋体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≈</m:t>
        </m:r>
        <m:r>
          <m:rPr/>
          <w:rPr>
            <w:rFonts w:ascii="Cambria Math" w:hAnsi="Cambria Math" w:eastAsia="宋体"/>
            <w:sz w:val="24"/>
            <w:szCs w:val="24"/>
          </w:rPr>
          <m:t>0.53</m:t>
        </m:r>
      </m:oMath>
      <w:r>
        <w:rPr>
          <w:rFonts w:hint="eastAsia" w:ascii="宋体" w:hAnsi="宋体" w:eastAsia="宋体"/>
          <w:sz w:val="24"/>
          <w:szCs w:val="24"/>
        </w:rPr>
        <w:t>。</w:t>
      </w:r>
    </w:p>
    <w:p w14:paraId="7BB0E4A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1BD99AFF">
      <w:pPr>
        <w:spacing w:line="360" w:lineRule="auto"/>
        <w:ind w:firstLine="420" w:firstLineChars="200"/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132"/>
    <w:rsid w:val="00012071"/>
    <w:rsid w:val="000D02F7"/>
    <w:rsid w:val="00162343"/>
    <w:rsid w:val="00191FBA"/>
    <w:rsid w:val="001E49A0"/>
    <w:rsid w:val="001F4024"/>
    <w:rsid w:val="002C3DDB"/>
    <w:rsid w:val="002D3A44"/>
    <w:rsid w:val="00356D6A"/>
    <w:rsid w:val="003C382E"/>
    <w:rsid w:val="00422CFC"/>
    <w:rsid w:val="00425E02"/>
    <w:rsid w:val="00433BD8"/>
    <w:rsid w:val="00442A21"/>
    <w:rsid w:val="004B3763"/>
    <w:rsid w:val="0050736E"/>
    <w:rsid w:val="005275FA"/>
    <w:rsid w:val="005931CA"/>
    <w:rsid w:val="005B39FF"/>
    <w:rsid w:val="005F4566"/>
    <w:rsid w:val="006667E3"/>
    <w:rsid w:val="00667945"/>
    <w:rsid w:val="006A2D8E"/>
    <w:rsid w:val="006D1165"/>
    <w:rsid w:val="006D3215"/>
    <w:rsid w:val="006F6860"/>
    <w:rsid w:val="00777809"/>
    <w:rsid w:val="00801720"/>
    <w:rsid w:val="00847BCB"/>
    <w:rsid w:val="00847FE8"/>
    <w:rsid w:val="00885132"/>
    <w:rsid w:val="0090431D"/>
    <w:rsid w:val="0091647E"/>
    <w:rsid w:val="0092307E"/>
    <w:rsid w:val="00943509"/>
    <w:rsid w:val="00965007"/>
    <w:rsid w:val="009934C9"/>
    <w:rsid w:val="009A746B"/>
    <w:rsid w:val="009F103C"/>
    <w:rsid w:val="00A009D4"/>
    <w:rsid w:val="00A04B2D"/>
    <w:rsid w:val="00A04E28"/>
    <w:rsid w:val="00A17327"/>
    <w:rsid w:val="00A26DB9"/>
    <w:rsid w:val="00B14104"/>
    <w:rsid w:val="00B30006"/>
    <w:rsid w:val="00B76FB3"/>
    <w:rsid w:val="00B80306"/>
    <w:rsid w:val="00BF76DB"/>
    <w:rsid w:val="00C143F6"/>
    <w:rsid w:val="00C52EDD"/>
    <w:rsid w:val="00C877DC"/>
    <w:rsid w:val="00D00DBC"/>
    <w:rsid w:val="00D36839"/>
    <w:rsid w:val="00D76F51"/>
    <w:rsid w:val="00E000D1"/>
    <w:rsid w:val="00E16E57"/>
    <w:rsid w:val="00E37756"/>
    <w:rsid w:val="00F13D3C"/>
    <w:rsid w:val="00F14A89"/>
    <w:rsid w:val="00F41B2C"/>
    <w:rsid w:val="00F73DBB"/>
    <w:rsid w:val="271A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character" w:styleId="38">
    <w:name w:val="Placeholder Text"/>
    <w:basedOn w:val="17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1010</Words>
  <Characters>1023</Characters>
  <Lines>19</Lines>
  <Paragraphs>5</Paragraphs>
  <TotalTime>30</TotalTime>
  <ScaleCrop>false</ScaleCrop>
  <LinksUpToDate>false</LinksUpToDate>
  <CharactersWithSpaces>1024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2025-03-06T08:17:00Z</dcterms:created>
  <dc:creator>huawei</dc:creator>
  <cp:lastModifiedBy>余政鑫</cp:lastModifiedBy>
  <cp:lastPrinted>2025-03-06T01:41:00Z</cp:lastPrinted>
  <dcterms:modified xsi:type="dcterms:W3CDTF">2026-08-15T15:14:53Z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ProductBuildVer">
    <vt:lpwstr>2052-12.1.0.26375</vt:lpwstr>
  </property>
  <property fmtid="{D5CDD505-2E9C-101B-9397-08002B2CF9AE}" pid="4" name="ICV">
    <vt:lpwstr>3EB1BA0B1CAC454FB70D7D6A19838AD3_13</vt:lpwstr>
  </property>
</Properties>
</file>