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d-okta-idv-integration"/>
    <w:p>
      <w:pPr>
        <w:pStyle w:val="Heading1"/>
      </w:pPr>
      <w:r>
        <w:t xml:space="preserve">PRD: Okta IDV Integration</w:t>
      </w:r>
    </w:p>
    <w:p>
      <w:pPr>
        <w:pStyle w:val="FirstParagraph"/>
      </w:pPr>
      <w:r>
        <w:rPr>
          <w:b/>
          <w:bCs/>
        </w:rPr>
        <w:t xml:space="preserve">Owner:</w:t>
      </w:r>
      <w:r>
        <w:t xml:space="preserve"> </w:t>
      </w:r>
      <w:r>
        <w:t xml:space="preserve">Jeff Costa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2026-04-08 |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</w:t>
      </w:r>
    </w:p>
    <w:bookmarkStart w:id="9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Okta is the dominant IAM platform in the Fortune 500 — the exact segment KYE targets. Of the 4 key KYE moments — Hiring, Onboarding, Privileged Access, Account Recovery — three require Okta to trigger or complete the workflow: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Onboarding:</w:t>
      </w:r>
      <w:r>
        <w:t xml:space="preserve"> </w:t>
      </w:r>
      <w:r>
        <w:t xml:space="preserve">Okta account provisioning is gated on ID verification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 Recovery:</w:t>
      </w:r>
      <w:r>
        <w:t xml:space="preserve"> </w:t>
      </w:r>
      <w:r>
        <w:t xml:space="preserve">Okta is the MFA reset surface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Privileged Access:</w:t>
      </w:r>
      <w:r>
        <w:t xml:space="preserve"> </w:t>
      </w:r>
      <w:r>
        <w:t xml:space="preserve">Okta Privileged Access (OPA) is the PIM layer at most large enterprises</w:t>
      </w:r>
    </w:p>
    <w:p>
      <w:pPr>
        <w:pStyle w:val="FirstParagraph"/>
      </w:pPr>
      <w:r>
        <w:t xml:space="preserve">Without an Okta integration, every KYE deal requires custom engineering work, which extends sales cycles and creates dependencies on SE engineers. KYE is also the FY27 bridging strategy for $1.25M in NA bookings. Okta as a pre-configured, first-party, supported IDV vendor is a prerequisite to get there.</w:t>
      </w:r>
    </w:p>
    <w:p>
      <w:pPr>
        <w:pStyle w:val="BodyText"/>
      </w:pPr>
      <w:r>
        <w:t xml:space="preserve">The absence of an integration has also had a partnership cost: Entrust was downgraded in Okta’s</w:t>
      </w:r>
      <w:r>
        <w:t xml:space="preserve"> </w:t>
      </w:r>
      <w:r>
        <w:t xml:space="preserve">“Okta Elevate”</w:t>
      </w:r>
      <w:r>
        <w:t xml:space="preserve"> </w:t>
      </w:r>
      <w:r>
        <w:t xml:space="preserve">partner program due to lack of integrations. Competitors (Persona, CLEAR Verified, Incode) already have these integrations. The partner standing downgrade limits Okta-sourced pipeline, and shipping this integration recovers that standing.</w:t>
      </w:r>
    </w:p>
    <w:p>
      <w:pPr>
        <w:pStyle w:val="BodyText"/>
      </w:pPr>
      <w:r>
        <w:rPr>
          <w:b/>
          <w:bCs/>
        </w:rPr>
        <w:t xml:space="preserve">Integration mechanism context:</w:t>
      </w:r>
      <w:r>
        <w:t xml:space="preserve"> </w:t>
      </w:r>
      <w:r>
        <w:t xml:space="preserve">Okta supports a first-class IDV vendor type called</w:t>
      </w:r>
      <w:r>
        <w:t xml:space="preserve"> </w:t>
      </w:r>
      <w:r>
        <w:rPr>
          <w:rStyle w:val="VerbatimChar"/>
        </w:rPr>
        <w:t xml:space="preserve">ID_PROOFING</w:t>
      </w:r>
      <w:r>
        <w:t xml:space="preserve"> </w:t>
      </w:r>
      <w:r>
        <w:t xml:space="preserve">— a native policy step in the Okta Admin Console, not a webhook or custom integration. Persona, CLEAR Verified, and Incode have achieved this status. Entrust has not. The gap is not just</w:t>
      </w:r>
      <w:r>
        <w:t xml:space="preserve"> </w:t>
      </w:r>
      <w:r>
        <w:t xml:space="preserve">“no Okta integration”</w:t>
      </w:r>
      <w:r>
        <w:t xml:space="preserve"> </w:t>
      </w:r>
      <w:r>
        <w:t xml:space="preserve">— it is</w:t>
      </w:r>
      <w:r>
        <w:t xml:space="preserve"> </w:t>
      </w:r>
      <w:r>
        <w:t xml:space="preserve">“not in the vendor framework that makes IDV deployable by an Okta admin.”</w:t>
      </w:r>
    </w:p>
    <w:p>
      <w:pPr>
        <w:pStyle w:val="BodyText"/>
      </w:pPr>
      <w:r>
        <w:rPr>
          <w:b/>
          <w:bCs/>
        </w:rPr>
        <w:t xml:space="preserve">Competitive Evidence:</w:t>
      </w:r>
    </w:p>
    <w:p>
      <w:pPr>
        <w:pStyle w:val="Compact"/>
        <w:numPr>
          <w:ilvl w:val="0"/>
          <w:numId w:val="1002"/>
        </w:numPr>
      </w:pPr>
      <w:r>
        <w:t xml:space="preserve">State Farm: deal loss to Veriff in progress (not a native Okta integration)</w:t>
      </w:r>
    </w:p>
    <w:p>
      <w:pPr>
        <w:pStyle w:val="Compact"/>
        <w:numPr>
          <w:ilvl w:val="0"/>
          <w:numId w:val="1002"/>
        </w:numPr>
      </w:pPr>
      <w:r>
        <w:t xml:space="preserve">Active pipeline — Optum/UHG, Dell, PwC, Comcast — all likely Okta shops (confirm with AEs and Gnan before kickoff)</w:t>
      </w:r>
    </w:p>
    <w:p>
      <w:pPr>
        <w:pStyle w:val="Compact"/>
        <w:numPr>
          <w:ilvl w:val="0"/>
          <w:numId w:val="1002"/>
        </w:numPr>
      </w:pPr>
      <w:r>
        <w:t xml:space="preserve">Okta + Cisco Duo is a widely adopted and competitive integration, particularly in enterprise workforce identity scenarios</w:t>
      </w:r>
    </w:p>
    <w:p>
      <w:pPr>
        <w:pStyle w:val="Compact"/>
        <w:numPr>
          <w:ilvl w:val="0"/>
          <w:numId w:val="1002"/>
        </w:numPr>
      </w:pPr>
      <w:r>
        <w:t xml:space="preserve">Experian formally partnered with Incode (2025), giving Incode enterprise distribution to 1,800 customers via Experian Ascend and CrossCare products</w:t>
      </w:r>
    </w:p>
    <w:bookmarkEnd w:id="9"/>
    <w:bookmarkStart w:id="1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3"/>
        </w:numPr>
      </w:pPr>
      <w:r>
        <w:t xml:space="preserve">Close 3+ deals from active KYE pipeline where Okta integration was a stated requirement or objection — within 6 months of GA</w:t>
      </w:r>
    </w:p>
    <w:p>
      <w:pPr>
        <w:pStyle w:val="Compact"/>
        <w:numPr>
          <w:ilvl w:val="0"/>
          <w:numId w:val="1003"/>
        </w:numPr>
      </w:pPr>
      <w:r>
        <w:t xml:space="preserve">Reduce time-to-demo for KYE prospects from days (custom SE setup) to under 60 minutes</w:t>
      </w:r>
    </w:p>
    <w:p>
      <w:pPr>
        <w:pStyle w:val="Compact"/>
        <w:numPr>
          <w:ilvl w:val="0"/>
          <w:numId w:val="1003"/>
        </w:numPr>
      </w:pPr>
      <w:r>
        <w:t xml:space="preserve">Publish OIN marketplace listing within 90 days of GA to enable inbound pipeline from Okta ecosystem</w:t>
      </w:r>
    </w:p>
    <w:p>
      <w:pPr>
        <w:pStyle w:val="Compact"/>
        <w:numPr>
          <w:ilvl w:val="0"/>
          <w:numId w:val="1003"/>
        </w:numPr>
      </w:pPr>
      <w:r>
        <w:t xml:space="preserve">Recover Okta Elevate partner tier and activate alliances channel (Optive, WWT, Guidepoint) for KYE distribution</w:t>
      </w:r>
    </w:p>
    <w:bookmarkEnd w:id="10"/>
    <w:bookmarkStart w:id="11" w:name="target-users"/>
    <w:p>
      <w:pPr>
        <w:pStyle w:val="Heading2"/>
      </w:pPr>
      <w:r>
        <w:t xml:space="preserve">Target Users</w:t>
      </w:r>
    </w:p>
    <w:p>
      <w:pPr>
        <w:pStyle w:val="FirstParagraph"/>
      </w:pPr>
      <w:r>
        <w:rPr>
          <w:b/>
          <w:bCs/>
        </w:rPr>
        <w:t xml:space="preserve">Primary — Okta IAM Admin / IT Security lead</w:t>
      </w:r>
      <w:r>
        <w:t xml:space="preserve"> </w:t>
      </w:r>
      <w:r>
        <w:t xml:space="preserve">at a Fortune 500 company who has been asked to add IDV to an existing Okta workflow (onboarding, account recovery, or privileged access) and needs to configure it without a custom engineering project or PS engagement.</w:t>
      </w:r>
    </w:p>
    <w:p>
      <w:pPr>
        <w:pStyle w:val="BodyText"/>
      </w:pPr>
      <w:r>
        <w:rPr>
          <w:b/>
          <w:bCs/>
        </w:rPr>
        <w:t xml:space="preserve">Secondary — HR / IT Ops lead</w:t>
      </w:r>
      <w:r>
        <w:t xml:space="preserve"> </w:t>
      </w:r>
      <w:r>
        <w:t xml:space="preserve">at the same company who owns the new hire onboarding process, experiences the pain of manual identity checks, and is the internal sponsor pushing for a solution. Does not configure the integration but approves and requests it.</w:t>
      </w:r>
    </w:p>
    <w:p>
      <w:pPr>
        <w:pStyle w:val="BodyText"/>
      </w:pPr>
      <w:r>
        <w:rPr>
          <w:b/>
          <w:bCs/>
        </w:rPr>
        <w:t xml:space="preserve">Tertiary — Entrust AE / SE</w:t>
      </w:r>
      <w:r>
        <w:t xml:space="preserve"> </w:t>
      </w:r>
      <w:r>
        <w:t xml:space="preserve">who needs to demo the Okta + Entrust story in under 30 minutes without engineering on the call.</w:t>
      </w:r>
    </w:p>
    <w:p>
      <w:pPr>
        <w:pStyle w:val="BodyText"/>
      </w:pPr>
      <w:r>
        <w:t xml:space="preserve">This separates the buyer who feels the pain (HR/IT ops), the buyer who implements the fix (IAM admin), and the internal sales user (AE/SE) — three distinct jobs, three distinct success criteria.</w:t>
      </w:r>
    </w:p>
    <w:bookmarkEnd w:id="11"/>
    <w:bookmarkStart w:id="12" w:name="requirements"/>
    <w:p>
      <w:pPr>
        <w:pStyle w:val="Heading2"/>
      </w:pPr>
      <w:r>
        <w:t xml:space="preserve">Requirements</w:t>
      </w:r>
    </w:p>
    <w:p>
      <w:pPr>
        <w:pStyle w:val="FirstParagraph"/>
      </w:pPr>
      <w:r>
        <w:rPr>
          <w:b/>
          <w:bCs/>
        </w:rPr>
        <w:t xml:space="preserve">P0 — Does not ship without:</w:t>
      </w:r>
    </w:p>
    <w:p>
      <w:pPr>
        <w:pStyle w:val="BodyText"/>
      </w:pPr>
      <w:r>
        <w:rPr>
          <w:b/>
          <w:bCs/>
        </w:rPr>
        <w:t xml:space="preserve">P0.1</w:t>
      </w:r>
      <w:r>
        <w:t xml:space="preserve"> </w:t>
      </w:r>
      <w:r>
        <w:t xml:space="preserve">An Okta admin can add Entrust as an</w:t>
      </w:r>
      <w:r>
        <w:t xml:space="preserve"> </w:t>
      </w:r>
      <w:r>
        <w:rPr>
          <w:rStyle w:val="VerbatimChar"/>
        </w:rPr>
        <w:t xml:space="preserve">ID_PROOFING</w:t>
      </w:r>
      <w:r>
        <w:t xml:space="preserve"> </w:t>
      </w:r>
      <w:r>
        <w:t xml:space="preserve">provider in the Okta Admin Console and trigger an Entrust IDV flow (doc scan + biometric) from an Okta authentication policy — without writing custom code, hosting custom endpoints, or involving Entrust PS.</w:t>
      </w:r>
    </w:p>
    <w:p>
      <w:pPr>
        <w:pStyle w:val="BodyText"/>
      </w:pPr>
      <w:r>
        <w:rPr>
          <w:b/>
          <w:bCs/>
        </w:rPr>
        <w:t xml:space="preserve">P0.2</w:t>
      </w:r>
      <w:r>
        <w:t xml:space="preserve"> </w:t>
      </w:r>
      <w:r>
        <w:t xml:space="preserve">Verification result is returned to Okta as a signed JWT (</w:t>
      </w:r>
      <w:r>
        <w:rPr>
          <w:rStyle w:val="VerbatimChar"/>
        </w:rPr>
        <w:t xml:space="preserve">id_token</w:t>
      </w:r>
      <w:r>
        <w:t xml:space="preserve">) containing</w:t>
      </w:r>
      <w:r>
        <w:t xml:space="preserve"> </w:t>
      </w:r>
      <w:r>
        <w:rPr>
          <w:rStyle w:val="VerbatimChar"/>
        </w:rPr>
        <w:t xml:space="preserve">verified_claims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assurance_level: VERIFIED or FAILED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trust_framework: IDV-DELEGATED</w:t>
      </w:r>
      <w:r>
        <w:t xml:space="preserve">. Okta uses this claim to gate the policy outcome. A confidence score or intermediate state is not sufficient — Okta’s policy engine resolves on VERIFIED or FAILED only.</w:t>
      </w:r>
    </w:p>
    <w:p>
      <w:pPr>
        <w:pStyle w:val="BodyText"/>
      </w:pPr>
      <w:r>
        <w:rPr>
          <w:b/>
          <w:bCs/>
        </w:rPr>
        <w:t xml:space="preserve">P0.3</w:t>
      </w:r>
      <w:r>
        <w:t xml:space="preserve"> </w:t>
      </w:r>
      <w:r>
        <w:t xml:space="preserve">Integration covers at least 2 of 4 KYE moments: New Hire Onboarding and Account Recovery / MFA Reset.</w:t>
      </w:r>
    </w:p>
    <w:p>
      <w:pPr>
        <w:pStyle w:val="BodyText"/>
      </w:pPr>
      <w:r>
        <w:rPr>
          <w:b/>
          <w:bCs/>
        </w:rPr>
        <w:t xml:space="preserve">P0.4</w:t>
      </w:r>
      <w:r>
        <w:t xml:space="preserve"> </w:t>
      </w:r>
      <w:r>
        <w:t xml:space="preserve">End-user IDV flow is completable on mobile (iOS + Android) — many employees complete onboarding on phone.</w:t>
      </w:r>
    </w:p>
    <w:p>
      <w:pPr>
        <w:pStyle w:val="BodyText"/>
      </w:pPr>
      <w:r>
        <w:rPr>
          <w:b/>
          <w:bCs/>
        </w:rPr>
        <w:t xml:space="preserve">P0.5</w:t>
      </w:r>
      <w:r>
        <w:t xml:space="preserve"> </w:t>
      </w:r>
      <w:r>
        <w:t xml:space="preserve">Studio prebuilt template for Okta onboarding flow — removes SE setup time per deal and is required for the AE/SE demo motion to be repeatable without engineering on the call.</w:t>
      </w:r>
    </w:p>
    <w:p>
      <w:pPr>
        <w:pStyle w:val="BodyText"/>
      </w:pPr>
      <w:r>
        <w:rPr>
          <w:b/>
          <w:bCs/>
        </w:rPr>
        <w:t xml:space="preserve">P1 — Ships without, but materially degrades the KYE story:</w:t>
      </w:r>
    </w:p>
    <w:p>
      <w:pPr>
        <w:pStyle w:val="BodyText"/>
      </w:pPr>
      <w:r>
        <w:rPr>
          <w:b/>
          <w:bCs/>
        </w:rPr>
        <w:t xml:space="preserve">P1.1</w:t>
      </w:r>
      <w:r>
        <w:t xml:space="preserve"> </w:t>
      </w:r>
      <w:r>
        <w:t xml:space="preserve">Entrust listed in Okta Integration Network (OIN) marketplace — enables customer self-serve discovery.</w:t>
      </w:r>
      <w:r>
        <w:t xml:space="preserve"> </w:t>
      </w:r>
      <w:r>
        <w:rPr>
          <w:i/>
          <w:iCs/>
        </w:rPr>
        <w:t xml:space="preserve">Current assessment: likely Phase 2. OIN certification timeline unknown (see Open Question 5); certification process may be 2 weeks or 6 months. The core OIDC integration is a prerequisite regardless — OIN listing is the packaging step on top of a working integration, not a separate build.</w:t>
      </w:r>
    </w:p>
    <w:p>
      <w:pPr>
        <w:pStyle w:val="BodyText"/>
      </w:pPr>
      <w:r>
        <w:rPr>
          <w:b/>
          <w:bCs/>
        </w:rPr>
        <w:t xml:space="preserve">P1.2</w:t>
      </w:r>
      <w:r>
        <w:t xml:space="preserve"> </w:t>
      </w:r>
      <w:r>
        <w:t xml:space="preserve">Integration supports Privileged Access (PIM role elevation) trigger, required for Gov Cloud IAL-2 use case.</w:t>
      </w:r>
    </w:p>
    <w:p>
      <w:pPr>
        <w:pStyle w:val="BodyText"/>
      </w:pPr>
      <w:r>
        <w:rPr>
          <w:b/>
          <w:bCs/>
        </w:rPr>
        <w:t xml:space="preserve">P1.3</w:t>
      </w:r>
      <w:r>
        <w:t xml:space="preserve"> </w:t>
      </w:r>
      <w:r>
        <w:t xml:space="preserve">Entrust’s inline hook endpoint authenticates incoming Okta calls via OAuth 2.0 access tokens, per Okta’s published inline hook security guidance. This allows the integration to present as a higher-assurance security component in the Okta auth path, not just another webhook consumer — a meaningful positioning advantage for KYE deals where security posture is a buying criterion.</w:t>
      </w:r>
    </w:p>
    <w:p>
      <w:pPr>
        <w:pStyle w:val="BodyText"/>
      </w:pPr>
      <w:r>
        <w:rPr>
          <w:b/>
          <w:bCs/>
        </w:rPr>
        <w:t xml:space="preserve">P2 — Nice to haves:</w:t>
      </w:r>
    </w:p>
    <w:p>
      <w:pPr>
        <w:pStyle w:val="BodyText"/>
      </w:pPr>
      <w:r>
        <w:rPr>
          <w:b/>
          <w:bCs/>
        </w:rPr>
        <w:t xml:space="preserve">P2.1</w:t>
      </w:r>
      <w:r>
        <w:t xml:space="preserve"> </w:t>
      </w:r>
      <w:r>
        <w:t xml:space="preserve">Okta-consistent UI for the IDV experience</w:t>
      </w:r>
    </w:p>
    <w:p>
      <w:pPr>
        <w:pStyle w:val="BodyText"/>
      </w:pPr>
      <w:r>
        <w:rPr>
          <w:b/>
          <w:bCs/>
        </w:rPr>
        <w:t xml:space="preserve">P2.2</w:t>
      </w:r>
      <w:r>
        <w:t xml:space="preserve"> </w:t>
      </w:r>
      <w:r>
        <w:t xml:space="preserve">Webhook-based real-time verification status back to Okta</w:t>
      </w:r>
    </w:p>
    <w:p>
      <w:pPr>
        <w:pStyle w:val="BodyText"/>
      </w:pPr>
      <w:r>
        <w:rPr>
          <w:b/>
          <w:bCs/>
        </w:rPr>
        <w:t xml:space="preserve">P2.3</w:t>
      </w:r>
      <w:r>
        <w:t xml:space="preserve"> </w:t>
      </w:r>
      <w:r>
        <w:t xml:space="preserve">Support for Okta Verify (passkey) as a downstream step post-IDV</w:t>
      </w:r>
    </w:p>
    <w:bookmarkEnd w:id="12"/>
    <w:bookmarkStart w:id="15" w:name="integration-architecture-data-flow"/>
    <w:p>
      <w:pPr>
        <w:pStyle w:val="Heading2"/>
      </w:pPr>
      <w:r>
        <w:t xml:space="preserve">Integration Architecture &amp; Data Flow</w:t>
      </w:r>
    </w:p>
    <w:p>
      <w:pPr>
        <w:pStyle w:val="FirstParagraph"/>
      </w:pPr>
      <w:r>
        <w:rPr>
          <w:i/>
          <w:iCs/>
        </w:rPr>
        <w:t xml:space="preserve">Sourced from the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Okta IDV Integration Guide</w:t>
        </w:r>
      </w:hyperlink>
      <w:r>
        <w:rPr>
          <w:i/>
          <w:iCs/>
        </w:rPr>
        <w:t xml:space="preserve">. Full endpoint specs, JWT claim definitions, Admin Console configuration steps, and error codes: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references/okta-integration-spec.md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Entrust must implement four endpoints:</w:t>
      </w:r>
      <w:r>
        <w:t xml:space="preserve"> </w:t>
      </w:r>
      <w:r>
        <w:rPr>
          <w:rStyle w:val="VerbatimChar"/>
        </w:rPr>
        <w:t xml:space="preserve">POST /oauth2/par</w:t>
      </w:r>
      <w:r>
        <w:t xml:space="preserve"> </w:t>
      </w:r>
      <w:r>
        <w:t xml:space="preserve">(receives Okta’s server-side authorization request and returns a</w:t>
      </w:r>
      <w:r>
        <w:t xml:space="preserve"> </w:t>
      </w:r>
      <w:r>
        <w:rPr>
          <w:rStyle w:val="VerbatimChar"/>
        </w:rPr>
        <w:t xml:space="preserve">request_uri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/oauth2/authorize</w:t>
      </w:r>
      <w:r>
        <w:t xml:space="preserve"> </w:t>
      </w:r>
      <w:r>
        <w:t xml:space="preserve">(receives the</w:t>
      </w:r>
      <w:r>
        <w:t xml:space="preserve"> </w:t>
      </w:r>
      <w:r>
        <w:rPr>
          <w:rStyle w:val="VerbatimChar"/>
        </w:rPr>
        <w:t xml:space="preserve">request_uri</w:t>
      </w:r>
      <w:r>
        <w:t xml:space="preserve"> </w:t>
      </w:r>
      <w:r>
        <w:t xml:space="preserve">and launches the IDV ceremony),</w:t>
      </w:r>
      <w:r>
        <w:t xml:space="preserve"> </w:t>
      </w:r>
      <w:r>
        <w:rPr>
          <w:rStyle w:val="VerbatimChar"/>
        </w:rPr>
        <w:t xml:space="preserve">POST /oauth2/token</w:t>
      </w:r>
      <w:r>
        <w:t xml:space="preserve"> </w:t>
      </w:r>
      <w:r>
        <w:t xml:space="preserve">(exchanges the authorization code for a signed ID token using PKCE/S256), and a JWKS endpoint so Okta can verify the token signature. The flow is always PAR-first: Okta sends parameters server-to-server, gets back a short-lived</w:t>
      </w:r>
      <w:r>
        <w:t xml:space="preserve"> </w:t>
      </w:r>
      <w:r>
        <w:rPr>
          <w:rStyle w:val="VerbatimChar"/>
        </w:rPr>
        <w:t xml:space="preserve">request_uri</w:t>
      </w:r>
      <w:r>
        <w:t xml:space="preserve">, then redirects the user’s browser carrying only that reference. The user completes doc scan and biometric, Entrust redirects to Okta’s fixed callback URI, and Okta completes the code-for-token exchange.</w:t>
      </w:r>
    </w:p>
    <w:p>
      <w:pPr>
        <w:pStyle w:val="BodyText"/>
      </w:pPr>
      <w:r>
        <w:t xml:space="preserve">The ID token Entrust returns must contain a</w:t>
      </w:r>
      <w:r>
        <w:t xml:space="preserve"> </w:t>
      </w:r>
      <w:r>
        <w:rPr>
          <w:rStyle w:val="VerbatimChar"/>
        </w:rPr>
        <w:t xml:space="preserve">verified_claims</w:t>
      </w:r>
      <w:r>
        <w:t xml:space="preserve"> </w:t>
      </w:r>
      <w:r>
        <w:t xml:space="preserve">object with two required fields:</w:t>
      </w:r>
      <w:r>
        <w:t xml:space="preserve"> </w:t>
      </w:r>
      <w:r>
        <w:rPr>
          <w:rStyle w:val="VerbatimChar"/>
        </w:rPr>
        <w:t xml:space="preserve">trust_framework: "IDV-DELEGATED"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assurance_level: "VERIFIED" | "FAILED"</w:t>
      </w:r>
      <w:r>
        <w:t xml:space="preserve">. Okta’s policy engine resolves on</w:t>
      </w:r>
      <w:r>
        <w:t xml:space="preserve"> </w:t>
      </w:r>
      <w:r>
        <w:rPr>
          <w:rStyle w:val="VerbatimChar"/>
        </w:rPr>
        <w:t xml:space="preserve">assurance_level</w:t>
      </w:r>
      <w:r>
        <w:t xml:space="preserve"> </w:t>
      </w:r>
      <w:r>
        <w:t xml:space="preserve">only — VERIFIED allows the step, FAILED denies it. Entrust does not send the full verification payload to Okta; the audit record stays in Entrust’s system. One implementation edge case:</w:t>
      </w:r>
      <w:r>
        <w:t xml:space="preserve"> </w:t>
      </w:r>
      <w:r>
        <w:rPr>
          <w:rStyle w:val="VerbatimChar"/>
        </w:rPr>
        <w:t xml:space="preserve">given_name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family_name</w:t>
      </w:r>
      <w:r>
        <w:t xml:space="preserve"> </w:t>
      </w:r>
      <w:r>
        <w:t xml:space="preserve">are required claims by default in the PAR request — if a user’s Okta profile is missing these fields, the PAR request fails before the ceremony starts.</w:t>
      </w:r>
    </w:p>
    <w:p>
      <w:r>
        <w:pict>
          <v:rect style="width:0;height:1.5pt" o:hralign="center" o:hrstd="t" o:hr="t"/>
        </w:pict>
      </w:r>
    </w:p>
    <w:bookmarkEnd w:id="15"/>
    <w:bookmarkStart w:id="16" w:name="technical-considerations"/>
    <w:p>
      <w:pPr>
        <w:pStyle w:val="Heading2"/>
      </w:pPr>
      <w:r>
        <w:t xml:space="preserve">Technical Considerations</w:t>
      </w:r>
    </w:p>
    <w:p>
      <w:pPr>
        <w:pStyle w:val="FirstParagraph"/>
      </w:pPr>
      <w:r>
        <w:rPr>
          <w:b/>
          <w:bCs/>
        </w:rPr>
        <w:t xml:space="preserve">Integration architecture: why Okta chose OIDC</w:t>
      </w:r>
    </w:p>
    <w:p>
      <w:pPr>
        <w:pStyle w:val="BodyText"/>
      </w:pPr>
      <w:r>
        <w:t xml:space="preserve">IDV is a user-facing flow. A webhook can notify a backend — it cannot redirect a browser, run a verification ceremony, or return control to Okta. OIDC’s authorization code flow is built for exactly this: send the user to a vendor, run a ceremony, come back with a result. That result is a signed JWT (ID token) — cryptographically verifiable by Okta, with a standardized claims structure. Webhooks return JSON over HTTP with no built-in trust model. OIDC is a portable trust container; webhooks are a notification layer with no user interaction, no redirect flow, and no clean policy integration.</w:t>
      </w:r>
    </w:p>
    <w:p>
      <w:pPr>
        <w:pStyle w:val="BodyText"/>
      </w:pPr>
      <w:r>
        <w:t xml:space="preserve">PAR (Pushed Authorization Requests) adds enterprise hardening: authorization parameters travel server-to-server first; the browser only carries a short-lived reference. The downstream effect: Okta’s policy engine treats Entrust like any other authenticator — MFA, WebAuthn, risk-based step-up.</w:t>
      </w:r>
      <w:r>
        <w:t xml:space="preserve"> </w:t>
      </w:r>
      <w:r>
        <w:t xml:space="preserve">“Require IDV if risk is high”</w:t>
      </w:r>
      <w:r>
        <w:t xml:space="preserve"> </w:t>
      </w:r>
      <w:r>
        <w:t xml:space="preserve">becomes a policy rule, not a custom integration.</w:t>
      </w:r>
    </w:p>
    <w:p>
      <w:pPr>
        <w:pStyle w:val="BodyText"/>
      </w:pPr>
      <w:r>
        <w:t xml:space="preserve">We are not building an API integration. We are building a standards-compliant identity system component. This distinction matters in security reviews and in how AEs position KYE against competitors.</w:t>
      </w:r>
    </w:p>
    <w:p>
      <w:pPr>
        <w:pStyle w:val="BodyText"/>
      </w:pPr>
      <w:r>
        <w:rPr>
          <w:b/>
          <w:bCs/>
        </w:rPr>
        <w:t xml:space="preserve">Inline hook security model:</w:t>
      </w:r>
      <w:r>
        <w:t xml:space="preserve"> </w:t>
      </w:r>
      <w:r>
        <w:t xml:space="preserve">Okta’s inline and event hooks are outbound calls from Okta to Entrust’s service, not inbound. Okta has published best-practice guidance for securing these integrations, including OAuth 2.0 access-token-based authentication on inline hook requests. If Entrust implements that auth model, the integration presents as a higher-assurance security component in the Okta auth path. This positioning matters in deals where the security team scrutinizes the integration and is the basis for P1.4.</w:t>
      </w:r>
    </w:p>
    <w:bookmarkEnd w:id="16"/>
    <w:bookmarkStart w:id="17" w:name="success-metrics"/>
    <w:p>
      <w:pPr>
        <w:pStyle w:val="Heading2"/>
      </w:pPr>
      <w:r>
        <w:t xml:space="preserve">Success Metrics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Counter-metric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KYE pipeline deals closed citing Okta</w:t>
            </w:r>
          </w:p>
        </w:tc>
        <w:tc>
          <w:tcPr/>
          <w:p>
            <w:pPr>
              <w:pStyle w:val="Compact"/>
            </w:pPr>
            <w:r>
              <w:t xml:space="preserve">3 within 6 months of GA</w:t>
            </w:r>
          </w:p>
        </w:tc>
        <w:tc>
          <w:tcPr/>
          <w:p>
            <w:pPr>
              <w:pStyle w:val="Compact"/>
            </w:pPr>
            <w:r>
              <w:t xml:space="preserve">Without increasing avg time-to-close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demo setup time</w:t>
            </w:r>
          </w:p>
        </w:tc>
        <w:tc>
          <w:tcPr/>
          <w:p>
            <w:pPr>
              <w:pStyle w:val="Compact"/>
            </w:pPr>
            <w:r>
              <w:t xml:space="preserve">&lt; 30 min from scratch</w:t>
            </w:r>
          </w:p>
        </w:tc>
        <w:tc>
          <w:tcPr/>
          <w:p>
            <w:pPr>
              <w:pStyle w:val="Compact"/>
            </w:pPr>
            <w:r>
              <w:t xml:space="preserve">Without requiring SE to modify customer Okta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OIN listing published</w:t>
            </w:r>
          </w:p>
        </w:tc>
        <w:tc>
          <w:tcPr/>
          <w:p>
            <w:pPr>
              <w:pStyle w:val="Compact"/>
            </w:pPr>
            <w:r>
              <w:t xml:space="preserve">Within 90 days of GA</w:t>
            </w:r>
          </w:p>
        </w:tc>
        <w:tc>
          <w:tcPr/>
          <w:p>
            <w:pPr>
              <w:pStyle w:val="Compact"/>
            </w:pPr>
            <w:r>
              <w:t xml:space="preserve">Okta certification requirements met — not bypassed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unblocked</w:t>
            </w:r>
          </w:p>
        </w:tc>
        <w:tc>
          <w:tcPr/>
          <w:p>
            <w:pPr>
              <w:pStyle w:val="Compact"/>
            </w:pPr>
            <w:r>
              <w:t xml:space="preserve">50%+ of active KYE deals no longer cite Okta as a gap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 pipeline sourced via Okta Elevate / resellers</w:t>
            </w:r>
          </w:p>
        </w:tc>
        <w:tc>
          <w:tcPr/>
          <w:p>
            <w:pPr>
              <w:pStyle w:val="Compact"/>
            </w:pPr>
            <w:r>
              <w:t xml:space="preserve">TBD with John Parish</w:t>
            </w:r>
          </w:p>
        </w:tc>
        <w:tc>
          <w:tcPr/>
          <w:p>
            <w:pPr>
              <w:pStyle w:val="Compact"/>
            </w:pPr>
            <w:r>
              <w:t xml:space="preserve">Within 6 months of GA</w:t>
            </w:r>
          </w:p>
        </w:tc>
      </w:tr>
    </w:tbl>
    <w:bookmarkEnd w:id="17"/>
    <w:bookmarkStart w:id="18" w:name="out-of-scope"/>
    <w:p>
      <w:pPr>
        <w:pStyle w:val="Heading2"/>
      </w:pPr>
      <w:r>
        <w:t xml:space="preserve">Out of Scope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CIAM / customer-facing Okta use cases</w:t>
      </w:r>
      <w:r>
        <w:t xml:space="preserve"> </w:t>
      </w:r>
      <w:r>
        <w:t xml:space="preserve">— different buyer, different motion; this PRD covers KYE/workforce only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Custom per-customer Okta workflow engineering</w:t>
      </w:r>
      <w:r>
        <w:t xml:space="preserve"> </w:t>
      </w:r>
      <w:r>
        <w:t xml:space="preserve">— eliminating this pattern is the point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Inline hooks / token enrichment model</w:t>
      </w:r>
      <w:r>
        <w:t xml:space="preserve"> </w:t>
      </w:r>
      <w:r>
        <w:t xml:space="preserve">— Entrust acting as a risk/enrichment signal injected into Okta token claims via inline hook. Different positioning (decision provider vs. step provider), different buyer motion. Deferred.</w:t>
      </w:r>
    </w:p>
    <w:bookmarkEnd w:id="18"/>
    <w:bookmarkStart w:id="19" w:name="open-questions"/>
    <w:p>
      <w:pPr>
        <w:pStyle w:val="Heading2"/>
      </w:pPr>
      <w:r>
        <w:t xml:space="preserve">Open Questions</w:t>
      </w:r>
    </w:p>
    <w:p>
      <w:pPr>
        <w:pStyle w:val="FirstParagraph"/>
      </w:pPr>
      <w:r>
        <w:rPr>
          <w:b/>
          <w:bCs/>
        </w:rPr>
        <w:t xml:space="preserve">1. Customer pain validation:</w:t>
      </w:r>
      <w:r>
        <w:t xml:space="preserve"> </w:t>
      </w:r>
      <w:r>
        <w:t xml:space="preserve">No documented evidence validating the problem statement, customer interest, or customers’ preferred implementation methods.</w:t>
      </w:r>
    </w:p>
    <w:p>
      <w:pPr>
        <w:pStyle w:val="BodyText"/>
      </w:pPr>
      <w:r>
        <w:rPr>
          <w:b/>
          <w:bCs/>
        </w:rPr>
        <w:t xml:space="preserve">2. Integration path:</w:t>
      </w:r>
      <w:r>
        <w:t xml:space="preserve"> </w:t>
      </w:r>
      <w:r>
        <w:t xml:space="preserve">The native OIN listing path and the OIDC path are the same path. To register as an Okta</w:t>
      </w:r>
      <w:r>
        <w:t xml:space="preserve"> </w:t>
      </w:r>
      <w:r>
        <w:rPr>
          <w:rStyle w:val="VerbatimChar"/>
        </w:rPr>
        <w:t xml:space="preserve">ID_PROOFING</w:t>
      </w:r>
      <w:r>
        <w:t xml:space="preserve"> </w:t>
      </w:r>
      <w:r>
        <w:t xml:space="preserve">vendor, Entrust must implement OIDC Authorization Code flow with PAR. The three required endpoints are:</w:t>
      </w:r>
      <w:r>
        <w:t xml:space="preserve"> </w:t>
      </w:r>
      <w:r>
        <w:rPr>
          <w:rStyle w:val="VerbatimChar"/>
        </w:rPr>
        <w:t xml:space="preserve">POST /oauth2/par</w:t>
      </w:r>
      <w:r>
        <w:t xml:space="preserve"> </w:t>
      </w:r>
      <w:r>
        <w:t xml:space="preserve">(back-channel session creation),</w:t>
      </w:r>
      <w:r>
        <w:t xml:space="preserve"> </w:t>
      </w:r>
      <w:r>
        <w:rPr>
          <w:rStyle w:val="VerbatimChar"/>
        </w:rPr>
        <w:t xml:space="preserve">GET /oauth2/idv-authorize</w:t>
      </w:r>
      <w:r>
        <w:t xml:space="preserve"> </w:t>
      </w:r>
      <w:r>
        <w:t xml:space="preserve">(browser-facing IDV UX entry), and</w:t>
      </w:r>
      <w:r>
        <w:t xml:space="preserve"> </w:t>
      </w:r>
      <w:r>
        <w:rPr>
          <w:rStyle w:val="VerbatimChar"/>
        </w:rPr>
        <w:t xml:space="preserve">POST /oauth2/token</w:t>
      </w:r>
      <w:r>
        <w:t xml:space="preserve"> </w:t>
      </w:r>
      <w:r>
        <w:t xml:space="preserve">(code-for-JWT exchange). Entrust also needs a JWKS endpoint for token verification. The Studio task option is a separate, non-native workaround — it may unblock early deals but does not achieve OIN listing or admin-configurable policy integration. These are different outcomes. Decision needed: ship Studio task as interim, or go straight to OIDC/OIN?</w:t>
      </w:r>
    </w:p>
    <w:p>
      <w:pPr>
        <w:pStyle w:val="BodyText"/>
      </w:pPr>
      <w:r>
        <w:rPr>
          <w:b/>
          <w:bCs/>
        </w:rPr>
        <w:t xml:space="preserve">3. Fail-open vs. fail-closed:</w:t>
      </w:r>
      <w:r>
        <w:t xml:space="preserve"> </w:t>
      </w:r>
      <w:r>
        <w:t xml:space="preserve">Once Entrust is in the Okta auth path via</w:t>
      </w:r>
      <w:r>
        <w:t xml:space="preserve"> </w:t>
      </w:r>
      <w:r>
        <w:rPr>
          <w:rStyle w:val="VerbatimChar"/>
        </w:rPr>
        <w:t xml:space="preserve">ID_PROOFING</w:t>
      </w:r>
      <w:r>
        <w:t xml:space="preserve">, it becomes a synchronous, blocking dependency. If Entrust is slow or unavailable, Okta waits. Decision needed before GA: does the flow fail the verification (fail-closed) or skip it (fail-open) if Entrust times out? This affects SLO commitments, latency budgets, and customer trust. Engineering must define this before the integration is production-certified.</w:t>
      </w:r>
    </w:p>
    <w:p>
      <w:pPr>
        <w:pStyle w:val="BodyText"/>
      </w:pPr>
      <w:r>
        <w:rPr>
          <w:b/>
          <w:bCs/>
        </w:rPr>
        <w:t xml:space="preserve">4. MGM prototype (Andrew):</w:t>
      </w:r>
      <w:r>
        <w:t xml:space="preserve"> </w:t>
      </w:r>
      <w:r>
        <w:t xml:space="preserve">Jeff Hickman built an Okta integration for MGM in 2023/2024. Docs lost in OneDrive migration. Recovery or reconstruction could reduce build scope significantly and help directionally.</w:t>
      </w:r>
    </w:p>
    <w:p>
      <w:pPr>
        <w:pStyle w:val="BodyText"/>
      </w:pPr>
      <w:r>
        <w:rPr>
          <w:b/>
          <w:bCs/>
        </w:rPr>
        <w:t xml:space="preserve">5. OIN certification timeline (Jeff + Nicole Lam):</w:t>
      </w:r>
      <w:r>
        <w:t xml:space="preserve"> </w:t>
      </w:r>
      <w:r>
        <w:t xml:space="preserve">Is this a 2-week or 6-month process? Determines whether OIN listing is P1 this cycle or gets pushed.</w:t>
      </w:r>
    </w:p>
    <w:p>
      <w:pPr>
        <w:pStyle w:val="BodyText"/>
      </w:pPr>
      <w:r>
        <w:rPr>
          <w:b/>
          <w:bCs/>
        </w:rPr>
        <w:t xml:space="preserve">6. Engineering resource confirmation (Gnan):</w:t>
      </w:r>
      <w:r>
        <w:t xml:space="preserve"> </w:t>
      </w:r>
      <w:r>
        <w:t xml:space="preserve">Engineering does not have Okta work on committed roadmap. Gates all external commitments.</w:t>
      </w:r>
    </w:p>
    <w:p>
      <w:pPr>
        <w:pStyle w:val="BodyText"/>
      </w:pPr>
      <w:r>
        <w:rPr>
          <w:b/>
          <w:bCs/>
        </w:rPr>
        <w:t xml:space="preserve">7. Pipeline validation (AEs):</w:t>
      </w:r>
      <w:r>
        <w:t xml:space="preserve"> </w:t>
      </w:r>
      <w:r>
        <w:t xml:space="preserve">Confirm which active accounts specifically require Okta integration vs. just being Okta shops. Pull from Salesforce / recent call notes before kickoff.</w:t>
      </w:r>
    </w:p>
    <w:p>
      <w:pPr>
        <w:pStyle w:val="BodyText"/>
      </w:pPr>
      <w:r>
        <w:rPr>
          <w:b/>
          <w:bCs/>
        </w:rPr>
        <w:t xml:space="preserve">8. Architecture customer validation:</w:t>
      </w:r>
      <w:r>
        <w:t xml:space="preserve"> </w:t>
      </w:r>
      <w:r>
        <w:t xml:space="preserve">OIDC or Studio task? API or native integration?</w:t>
      </w:r>
    </w:p>
    <w:p>
      <w:pPr>
        <w:pStyle w:val="BodyText"/>
      </w:pPr>
      <w:r>
        <w:rPr>
          <w:b/>
          <w:bCs/>
        </w:rPr>
        <w:t xml:space="preserve">9. Nimble:</w:t>
      </w:r>
      <w:r>
        <w:t xml:space="preserve"> </w:t>
      </w:r>
      <w:r>
        <w:t xml:space="preserve">Nimble claims to have already built the Okta integration. Gnan recommends caution; prefers internal resources via Wipro. Evaluate: what did they build, does it meet P0 requirements, does it reduce internal build scope?</w:t>
      </w:r>
    </w:p>
    <w:p>
      <w:pPr>
        <w:pStyle w:val="BodyText"/>
      </w:pPr>
      <w:r>
        <w:rPr>
          <w:b/>
          <w:bCs/>
        </w:rPr>
        <w:t xml:space="preserve">10. MVI:</w:t>
      </w:r>
      <w:r>
        <w:t xml:space="preserve"> </w:t>
      </w:r>
      <w:r>
        <w:t xml:space="preserve">Define the minimum viable integration. Do not try to integrate everything. Select one critical use case (</w:t>
      </w:r>
      <w:r>
        <w:t xml:space="preserve">“step-up auth during account recovery”</w:t>
      </w:r>
      <w:r>
        <w:t xml:space="preserve">) and scope it to the absolute minimum required for a successful, demonstrable flow within Okta’s framework.</w:t>
      </w:r>
    </w:p>
    <w:p>
      <w:pPr>
        <w:pStyle w:val="BodyText"/>
      </w:pPr>
      <w:r>
        <w:rPr>
          <w:b/>
          <w:bCs/>
        </w:rPr>
        <w:t xml:space="preserve">11. Okta Marketplace:</w:t>
      </w:r>
      <w:r>
        <w:t xml:space="preserve"> </w:t>
      </w:r>
      <w:r>
        <w:t xml:space="preserve">Customers use the Okta/Auth0 marketplace primarily for discovery but request direct access to executable code during implementation. Clarify whether achieving a low-friction marketplace listing requires materially more investment to meet new</w:t>
      </w:r>
      <w:r>
        <w:t xml:space="preserve"> </w:t>
      </w:r>
      <w:r>
        <w:t xml:space="preserve">“uniform integration standards,”</w:t>
      </w:r>
      <w:r>
        <w:t xml:space="preserve"> </w:t>
      </w:r>
      <w:r>
        <w:t xml:space="preserve">and whether that effort aligns with actual customer adoption behavior.</w:t>
      </w:r>
    </w:p>
    <w:bookmarkEnd w:id="19"/>
    <w:bookmarkStart w:id="20" w:name="notable-not-doing"/>
    <w:p>
      <w:pPr>
        <w:pStyle w:val="Heading2"/>
      </w:pPr>
      <w:r>
        <w:t xml:space="preserve">Notable Not Doing</w:t>
      </w:r>
    </w:p>
    <w:p>
      <w:pPr>
        <w:pStyle w:val="FirstParagraph"/>
      </w:pPr>
      <w:r>
        <w:rPr>
          <w:b/>
          <w:bCs/>
        </w:rPr>
        <w:t xml:space="preserve">SSF as a future expansion path:</w:t>
      </w:r>
      <w:r>
        <w:t xml:space="preserve"> </w:t>
      </w:r>
      <w:r>
        <w:t xml:space="preserve">Okta’s Shared Signals Framework (SSF) supports continuous risk signal ingestion from third-party security providers (CrowdStrike, Omnissa). This is a separate integration model from</w:t>
      </w:r>
      <w:r>
        <w:t xml:space="preserve"> </w:t>
      </w:r>
      <w:r>
        <w:rPr>
          <w:rStyle w:val="VerbatimChar"/>
        </w:rPr>
        <w:t xml:space="preserve">ID_PROOFING</w:t>
      </w:r>
      <w:r>
        <w:t xml:space="preserve"> </w:t>
      </w:r>
      <w:r>
        <w:t xml:space="preserve">— asynchronous, background, and security-posture-based rather than point-in-time verification. Worth flagging to Mark Lewin as a potential Phase 2 partnership angle. Not in scope for this cycle.</w:t>
      </w:r>
    </w:p>
    <w:bookmarkEnd w:id="20"/>
    <w:bookmarkStart w:id="22" w:name="appendix"/>
    <w:p>
      <w:pPr>
        <w:pStyle w:val="Heading2"/>
      </w:pPr>
      <w:r>
        <w:t xml:space="preserve">Appendix</w:t>
      </w:r>
    </w:p>
    <w:bookmarkStart w:id="21" w:name="stakeholders"/>
    <w:p>
      <w:pPr>
        <w:pStyle w:val="Heading3"/>
      </w:pPr>
      <w:r>
        <w:t xml:space="preserve">Stakeholders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Involvement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Gnan Gowda</w:t>
            </w:r>
          </w:p>
        </w:tc>
        <w:tc>
          <w:tcPr/>
          <w:p>
            <w:pPr>
              <w:pStyle w:val="Compact"/>
            </w:pPr>
            <w:r>
              <w:t xml:space="preserve">Jeff’s manager</w:t>
            </w:r>
          </w:p>
        </w:tc>
        <w:tc>
          <w:tcPr/>
          <w:p>
            <w:pPr>
              <w:pStyle w:val="Compact"/>
            </w:pPr>
            <w:r>
              <w:t xml:space="preserve">Engineering resource confirmation; roadmap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Summer Gaasedelen</w:t>
            </w:r>
          </w:p>
        </w:tc>
        <w:tc>
          <w:tcPr/>
          <w:p>
            <w:pPr>
              <w:pStyle w:val="Compact"/>
            </w:pPr>
            <w:r>
              <w:t xml:space="preserve">Customer Onboarding / PS</w:t>
            </w:r>
          </w:p>
        </w:tc>
        <w:tc>
          <w:tcPr/>
          <w:p>
            <w:pPr>
              <w:pStyle w:val="Compact"/>
            </w:pPr>
            <w:r>
              <w:t xml:space="preserve">Requirements input before Andrew engagement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MacCuaig</w:t>
            </w:r>
          </w:p>
        </w:tc>
        <w:tc>
          <w:tcPr/>
          <w:p>
            <w:pPr>
              <w:pStyle w:val="Compact"/>
            </w:pPr>
            <w:r>
              <w:t xml:space="preserve">Engineering Manager, Studio</w:t>
            </w:r>
          </w:p>
        </w:tc>
        <w:tc>
          <w:tcPr/>
          <w:p>
            <w:pPr>
              <w:pStyle w:val="Compact"/>
            </w:pPr>
            <w:r>
              <w:t xml:space="preserve">Build scoping — only after Summer’s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 Lewin</w:t>
            </w:r>
          </w:p>
        </w:tc>
        <w:tc>
          <w:tcPr/>
          <w:p>
            <w:pPr>
              <w:pStyle w:val="Compact"/>
            </w:pPr>
            <w:r>
              <w:t xml:space="preserve">BizDev &amp; Partnerships</w:t>
            </w:r>
          </w:p>
        </w:tc>
        <w:tc>
          <w:tcPr/>
          <w:p>
            <w:pPr>
              <w:pStyle w:val="Compact"/>
            </w:pPr>
            <w:r>
              <w:t xml:space="preserve">Okta partner relationship; warm intro to Nicole Lam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John Parish</w:t>
            </w:r>
          </w:p>
        </w:tc>
        <w:tc>
          <w:tcPr/>
          <w:p>
            <w:pPr>
              <w:pStyle w:val="Compact"/>
            </w:pPr>
            <w:r>
              <w:t xml:space="preserve">Alliances</w:t>
            </w:r>
          </w:p>
        </w:tc>
        <w:tc>
          <w:tcPr/>
          <w:p>
            <w:pPr>
              <w:pStyle w:val="Compact"/>
            </w:pPr>
            <w:r>
              <w:t xml:space="preserve">Reseller channel activation post-GA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Nicole Lam</w:t>
            </w:r>
          </w:p>
        </w:tc>
        <w:tc>
          <w:tcPr/>
          <w:p>
            <w:pPr>
              <w:pStyle w:val="Compact"/>
            </w:pPr>
            <w:r>
              <w:t xml:space="preserve">Okta — Partnership Program</w:t>
            </w:r>
          </w:p>
        </w:tc>
        <w:tc>
          <w:tcPr/>
          <w:p>
            <w:pPr>
              <w:pStyle w:val="Compact"/>
            </w:pPr>
            <w:r>
              <w:t xml:space="preserve">External partner contact; intro pending eng resource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Yelena Tarbuck</w:t>
            </w:r>
          </w:p>
        </w:tc>
        <w:tc>
          <w:tcPr/>
          <w:p>
            <w:pPr>
              <w:pStyle w:val="Compact"/>
            </w:pPr>
            <w:r>
              <w:t xml:space="preserve">AE, New Customers</w:t>
            </w:r>
          </w:p>
        </w:tc>
        <w:tc>
          <w:tcPr/>
          <w:p>
            <w:pPr>
              <w:pStyle w:val="Compact"/>
            </w:pPr>
            <w:r>
              <w:t xml:space="preserve">Pipeline validation; customer demand 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Reed Schroeder</w:t>
            </w:r>
          </w:p>
        </w:tc>
        <w:tc>
          <w:tcPr/>
          <w:p>
            <w:pPr>
              <w:pStyle w:val="Compact"/>
            </w:pPr>
            <w:r>
              <w:t xml:space="preserve">AE</w:t>
            </w:r>
          </w:p>
        </w:tc>
        <w:tc>
          <w:tcPr/>
          <w:p>
            <w:pPr>
              <w:pStyle w:val="Compact"/>
            </w:pPr>
            <w:r>
              <w:t xml:space="preserve">State Farm deal; Okta customer discovery</w:t>
            </w:r>
          </w:p>
        </w:tc>
      </w:tr>
    </w:tbl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https://developer.okta.com/docs/guides/idv-integration/main/" TargetMode="External"/><Relationship Id="rId14" Type="http://schemas.openxmlformats.org/officeDocument/2006/relationships/hyperlink" Target="references/okta-integration-spec.md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s://developer.okta.com/docs/guides/idv-integration/main/" TargetMode="External"/><Relationship Id="rId14" Type="http://schemas.openxmlformats.org/officeDocument/2006/relationships/hyperlink" Target="references/okta-integration-spe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2026-04-08T21:47:13Z</dcterms:created>
  <dcterms:modified xsi:type="dcterms:W3CDTF">2026-04-08T21:47:13Z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