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200" w:line="360"/>
        <w:jc w:val="center"/>
      </w:pPr>
      <w:r>
        <w:rPr>
          <w:rFonts w:ascii="Georgia" w:cs="Georgia" w:eastAsia="Georgia" w:hAnsi="Georgia"/>
          <w:b w:val="false"/>
          <w:bCs w:val="false"/>
          <w:i/>
          <w:iCs/>
          <w:color w:val="FF3300"/>
          <w:sz w:val="56"/>
          <w:szCs w:val="56"/>
        </w:rPr>
        <w:t xml:space="preserve">iyi ki</w:t>
      </w:r>
    </w:p>
    <w:p>
      <w:pPr>
        <w:spacing w:after="0" w:before="100"/>
      </w:pPr>
    </w:p>
    <w:p>
      <w:pPr>
        <w:spacing w:after="80" w:before="80" w:line="360"/>
        <w:jc w:val="center"/>
      </w:pPr>
      <w:r>
        <w:rPr>
          <w:rFonts w:ascii="Georgia" w:cs="Georgia" w:eastAsia="Georgia" w:hAnsi="Georgia"/>
          <w:b/>
          <w:bCs/>
          <w:i w:val="false"/>
          <w:iCs w:val="false"/>
          <w:color w:val="0D0D0F"/>
          <w:sz w:val="36"/>
          <w:szCs w:val="36"/>
        </w:rPr>
        <w:t xml:space="preserve">Fikri Mulkiyet Koruma Stratejisi</w:t>
      </w:r>
    </w:p>
    <w:p>
      <w:pPr>
        <w:spacing w:after="0" w:before="40"/>
      </w:pPr>
    </w:p>
    <w:p>
      <w:pPr>
        <w:spacing w:after="80" w:before="80" w:line="360"/>
        <w:jc w:val="center"/>
      </w:pPr>
      <w:r>
        <w:rPr>
          <w:rFonts w:ascii="Calibri" w:cs="Calibri" w:eastAsia="Calibri" w:hAnsi="Calibri"/>
          <w:b w:val="false"/>
          <w:bCs w:val="false"/>
          <w:i w:val="false"/>
          <w:iCs w:val="false"/>
          <w:color w:val="6B7280"/>
          <w:sz w:val="22"/>
          <w:szCs w:val="22"/>
        </w:rPr>
        <w:t xml:space="preserve">Turkiye ve Dunya Capinda Kapsamli IP Yol Haritasi</w:t>
      </w:r>
    </w:p>
    <w:p>
      <w:pPr>
        <w:spacing w:after="0" w:before="200"/>
      </w:pPr>
    </w:p>
    <w:p>
      <w:pPr>
        <w:spacing w:after="80" w:before="80" w:line="360"/>
        <w:jc w:val="center"/>
      </w:pPr>
      <w:r>
        <w:rPr>
          <w:rFonts w:ascii="Calibri" w:cs="Calibri" w:eastAsia="Calibri" w:hAnsi="Calibri"/>
          <w:b/>
          <w:bCs/>
          <w:i w:val="false"/>
          <w:iCs w:val="false"/>
          <w:color w:val="FF3300"/>
          <w:sz w:val="18"/>
          <w:szCs w:val="18"/>
        </w:rPr>
        <w:t xml:space="preserve">Gizli — Yalnizca Yonetim Kurulu Icin</w:t>
      </w:r>
    </w:p>
    <w:p>
      <w:pPr>
        <w:spacing w:after="80" w:before="80" w:line="360"/>
        <w:jc w:val="center"/>
      </w:pPr>
      <w:r>
        <w:rPr>
          <w:rFonts w:ascii="Calibri" w:cs="Calibri" w:eastAsia="Calibri" w:hAnsi="Calibri"/>
          <w:b w:val="false"/>
          <w:bCs w:val="false"/>
          <w:i w:val="false"/>
          <w:iCs w:val="false"/>
          <w:color w:val="6B7280"/>
          <w:sz w:val="18"/>
          <w:szCs w:val="18"/>
        </w:rPr>
        <w:t xml:space="preserve">Nisan 2026</w:t>
      </w:r>
    </w:p>
    <w:p>
      <w:r>
        <w:br/>
      </w:r>
    </w:p>
    <w:p>
      <w:r>
        <w:br w:type="page"/>
      </w:r>
    </w:p>
    <w:p>
      <w:pPr>
        <w:pStyle w:val="Heading1"/>
        <w:spacing w:after="200" w:before="400"/>
      </w:pPr>
      <w:r>
        <w:rPr>
          <w:rFonts w:ascii="Georgia" w:cs="Georgia" w:eastAsia="Georgia" w:hAnsi="Georgia"/>
          <w:b/>
          <w:bCs/>
          <w:color w:val="0D0D0F"/>
          <w:sz w:val="32"/>
          <w:szCs w:val="32"/>
        </w:rPr>
        <w:t xml:space="preserve">1. Marka Tescili — Turkiye</w:t>
      </w:r>
    </w:p>
    <w:p>
      <w:pPr>
        <w:pStyle w:val="Heading2"/>
        <w:spacing w:after="160" w:before="320"/>
      </w:pPr>
      <w:r>
        <w:rPr>
          <w:rFonts w:ascii="Georgia" w:cs="Georgia" w:eastAsia="Georgia" w:hAnsi="Georgia"/>
          <w:b/>
          <w:bCs/>
          <w:color w:val="FF3300"/>
          <w:sz w:val="26"/>
          <w:szCs w:val="26"/>
        </w:rPr>
        <w:t xml:space="preserve">1.1. Yasal Cerceve</w:t>
      </w:r>
    </w:p>
    <w:p>
      <w:pPr>
        <w:spacing w:after="80" w:before="80" w:line="360"/>
        <w:jc w:val="left"/>
      </w:pPr>
      <w:r>
        <w:rPr>
          <w:rFonts w:ascii="Calibri" w:cs="Calibri" w:eastAsia="Calibri" w:hAnsi="Calibri"/>
          <w:b w:val="false"/>
          <w:bCs w:val="false"/>
          <w:i w:val="false"/>
          <w:iCs w:val="false"/>
          <w:color w:val="374151"/>
          <w:sz w:val="22"/>
          <w:szCs w:val="22"/>
        </w:rPr>
        <w:t xml:space="preserve">6769 sayili Sinai Mulkiyet Kanunu (SMK), 10.01.2017 tarihinde yururluge girmis olup marka korumasinin temel yasal dayanagidir. SMK Madde 4 uyarinca marka; kisi adlari, sozcukler, sekiller, renkler, harfler, sayilar, sesler ve ambalaj bicimleri dahil olmak uzere ayirt edici nitelige sahip her turlu isaretten olusabilir. Koruma tescil yoluyla kazanilir (SMK Madde 7).</w:t>
      </w:r>
    </w:p>
    <w:p>
      <w:pPr>
        <w:spacing w:after="80" w:before="80" w:line="360"/>
        <w:jc w:val="left"/>
      </w:pPr>
      <w:r>
        <w:rPr>
          <w:rFonts w:ascii="Calibri" w:cs="Calibri" w:eastAsia="Calibri" w:hAnsi="Calibri"/>
          <w:b w:val="false"/>
          <w:bCs w:val="false"/>
          <w:i w:val="false"/>
          <w:iCs w:val="false"/>
          <w:color w:val="374151"/>
          <w:sz w:val="22"/>
          <w:szCs w:val="22"/>
        </w:rPr>
        <w:t xml:space="preserve">TURKPATENT'e yapilan basvuru su asamalardan gecer: sekli inceleme, mutlak ret nedenleri incelemesi (SMK Madde 5), Marka Bulteni'nde yayin, 2 aylik itiraz suresi, tescil karari. Itiraz yoksa surec yaklasik 6 ay, itiraz halinde 1,5-2 yil surebilir. Koruma suresi basvuru tarihinden itibaren 10 yil olup suresiz olarak 10'ar yillik donemlerle yenilenebilir (SMK Madde 23).</w:t>
      </w:r>
    </w:p>
    <w:p>
      <w:pPr>
        <w:spacing w:after="80" w:before="80" w:line="360"/>
        <w:jc w:val="left"/>
      </w:pPr>
      <w:r>
        <w:rPr>
          <w:rFonts w:ascii="Calibri" w:cs="Calibri" w:eastAsia="Calibri" w:hAnsi="Calibri"/>
          <w:b w:val="false"/>
          <w:bCs w:val="false"/>
          <w:i/>
          <w:iCs/>
          <w:color w:val="2563EB"/>
          <w:sz w:val="18"/>
          <w:szCs w:val="18"/>
        </w:rPr>
        <w:t xml:space="preserve">Kaynak: mevzuat.gov.tr/MevzuatMetin/1.5.6769.pdf | turkpatent.gov.tr/marka</w:t>
      </w:r>
    </w:p>
    <w:p>
      <w:pPr>
        <w:pStyle w:val="Heading2"/>
        <w:spacing w:after="160" w:before="320"/>
      </w:pPr>
      <w:r>
        <w:rPr>
          <w:rFonts w:ascii="Georgia" w:cs="Georgia" w:eastAsia="Georgia" w:hAnsi="Georgia"/>
          <w:b/>
          <w:bCs/>
          <w:color w:val="FF3300"/>
          <w:sz w:val="26"/>
          <w:szCs w:val="26"/>
        </w:rPr>
        <w:t xml:space="preserve">1.2. Nice Siniflandirmasi</w:t>
      </w:r>
    </w:p>
    <w:p>
      <w:pPr>
        <w:spacing w:after="80" w:before="80" w:line="360"/>
        <w:jc w:val="left"/>
      </w:pPr>
      <w:r>
        <w:rPr>
          <w:rFonts w:ascii="Calibri" w:cs="Calibri" w:eastAsia="Calibri" w:hAnsi="Calibri"/>
          <w:b w:val="false"/>
          <w:bCs w:val="false"/>
          <w:i w:val="false"/>
          <w:iCs w:val="false"/>
          <w:color w:val="374151"/>
          <w:sz w:val="22"/>
          <w:szCs w:val="22"/>
        </w:rPr>
        <w:t xml:space="preserve">iyi ki platformunun kapsamli korunmasi icin asagidaki Nice siniflarinda tescil yapilmalidir: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Nice Sinifi</w:t>
            </w:r>
          </w:p>
        </w:tc>
        <w:tc>
          <w:tcPr>
            <w:tcW w:type="dxa" w:w="36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Kapsam</w:t>
            </w:r>
          </w:p>
        </w:tc>
        <w:tc>
          <w:tcPr>
            <w:tcW w:type="dxa" w:w="36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Platform ile Ilgi</w:t>
            </w:r>
          </w:p>
        </w:tc>
      </w:tr>
      <w:tr>
        <w:tc>
          <w:tcPr>
            <w:tcW w:type="dxa" w:w="1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Sinif 9</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Yazilim, indirilebilir mobil uygulamalar</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Mobil uygulamanin kendisi</w:t>
            </w:r>
          </w:p>
        </w:tc>
      </w:tr>
      <w:tr>
        <w:tc>
          <w:tcPr>
            <w:tcW w:type="dxa" w:w="1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Sinif 35</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Reklamcilik, is yonetimi, cevrimici perakende</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E-ticaret hizmetleri, sponsor reklam platformu</w:t>
            </w:r>
          </w:p>
        </w:tc>
      </w:tr>
      <w:tr>
        <w:tc>
          <w:tcPr>
            <w:tcW w:type="dxa" w:w="1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Sinif 36</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Finansal hizmetler, parasal islemler</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Odeme isleme, dijital cuzdan</w:t>
            </w:r>
          </w:p>
        </w:tc>
      </w:tr>
      <w:tr>
        <w:tc>
          <w:tcPr>
            <w:tcW w:type="dxa" w:w="1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Sinif 38</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Telekomünikasyon</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Elektronik mesajlasma, veri iletimi</w:t>
            </w:r>
          </w:p>
        </w:tc>
      </w:tr>
      <w:tr>
        <w:tc>
          <w:tcPr>
            <w:tcW w:type="dxa" w:w="1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Sinif 42</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BT hizmetleri, SaaS, bulut bilisim</w:t>
            </w:r>
          </w:p>
        </w:tc>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Platform barindirma, yazilim gelistirme</w:t>
            </w:r>
          </w:p>
        </w:tc>
      </w:tr>
    </w:tbl>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2026 TURKPATENT ucret tarifesine gore 5 sinifta basvuru maliyeti yaklasik 15.090 TL (basvuru ucreti), tescil belgesi ucreti 7.010 TL, yenileme ucreti 8.730 TL'dir.</w:t>
      </w:r>
    </w:p>
    <w:p>
      <w:pPr>
        <w:spacing w:after="80" w:before="80" w:line="360"/>
        <w:jc w:val="left"/>
      </w:pPr>
      <w:r>
        <w:rPr>
          <w:rFonts w:ascii="Calibri" w:cs="Calibri" w:eastAsia="Calibri" w:hAnsi="Calibri"/>
          <w:b w:val="false"/>
          <w:bCs w:val="false"/>
          <w:i/>
          <w:iCs/>
          <w:color w:val="2563EB"/>
          <w:sz w:val="18"/>
          <w:szCs w:val="18"/>
        </w:rPr>
        <w:t xml:space="preserve">Kaynak: turkpatent.gov.tr/marka-islem-ucretleri</w:t>
      </w:r>
    </w:p>
    <w:p>
      <w:pPr>
        <w:pStyle w:val="Heading2"/>
        <w:spacing w:after="160" w:before="320"/>
      </w:pPr>
      <w:r>
        <w:rPr>
          <w:rFonts w:ascii="Georgia" w:cs="Georgia" w:eastAsia="Georgia" w:hAnsi="Georgia"/>
          <w:b/>
          <w:bCs/>
          <w:color w:val="FF3300"/>
          <w:sz w:val="26"/>
          <w:szCs w:val="26"/>
        </w:rPr>
        <w:t xml:space="preserve">1.3. 'iyi ki' Ayirt Edicilik Analizi</w:t>
      </w:r>
    </w:p>
    <w:p>
      <w:pPr>
        <w:spacing w:after="80" w:before="80" w:line="360"/>
        <w:jc w:val="left"/>
      </w:pPr>
      <w:r>
        <w:rPr>
          <w:rFonts w:ascii="Calibri" w:cs="Calibri" w:eastAsia="Calibri" w:hAnsi="Calibri"/>
          <w:b w:val="false"/>
          <w:bCs w:val="false"/>
          <w:i w:val="false"/>
          <w:iCs w:val="false"/>
          <w:color w:val="374151"/>
          <w:sz w:val="22"/>
          <w:szCs w:val="22"/>
        </w:rPr>
        <w:t xml:space="preserve">'iyi ki' gunluk Turkcede yaygin kullanilan bir baglac olup tescil edilebilirlik acisindan kritik bir degerlendirme gerektirir:</w:t>
      </w:r>
    </w:p>
    <w:p>
      <w:pPr>
        <w:pBdr>
          <w:left w:val="single" w:color="FF3300" w:sz="6" w:space="12"/>
        </w:pBdr>
        <w:spacing w:after="80" w:before="80" w:line="360"/>
        <w:jc w:val="left"/>
      </w:pPr>
      <w:r>
        <w:rPr>
          <w:rFonts w:ascii="Georgia" w:cs="Georgia" w:eastAsia="Georgia" w:hAnsi="Georgia"/>
          <w:b w:val="false"/>
          <w:bCs w:val="false"/>
          <w:i/>
          <w:iCs/>
          <w:color w:val="374151"/>
          <w:sz w:val="22"/>
          <w:szCs w:val="22"/>
        </w:rPr>
        <w:t xml:space="preserve">SMK Madde 5/1-b (somut ayirt edicilik eksikligi) en riskli ret gerekçesidir. SMK Madde 5/1-d (gunluk dilde yerlesmis isaretler) ikinci risk unsurudur. Ancak SMK Madde 5/1-c (dogrudan tanimlayicilik) engel olusturmayabilir — 'iyi ki' yazilim veya finansal hizmetlerin herhangi bir niteligini dogrudan tanimlamaz.</w:t>
      </w:r>
    </w:p>
    <w:p>
      <w:pPr>
        <w:spacing w:after="80" w:before="80" w:line="360"/>
        <w:jc w:val="left"/>
      </w:pPr>
      <w:r>
        <w:rPr>
          <w:rFonts w:ascii="Calibri" w:cs="Calibri" w:eastAsia="Calibri" w:hAnsi="Calibri"/>
          <w:b w:val="false"/>
          <w:bCs w:val="false"/>
          <w:i w:val="false"/>
          <w:iCs w:val="false"/>
          <w:color w:val="374151"/>
          <w:sz w:val="22"/>
          <w:szCs w:val="22"/>
        </w:rPr>
        <w:t xml:space="preserve">Stratejik oneri: Tek basina kelime markasi basvurusunda orta-yuksek ret riski bulunurken, ayirt edici grafik unsur iceren karma marka (logo + kelime) basvurusu basari sansini onemli olcude artirir. Ayrica SMK Madde 5/2 uyarinca, kullanim yoluyla kazanilmis ayirt edicilik (acquired distinctiveness) ispatlanarak baslangicta ayirt edici olmayan ifadeler dahi tescil edilebilir.</w:t>
      </w:r>
    </w:p>
    <w:p>
      <w:pPr>
        <w:spacing w:after="80" w:before="80" w:line="360"/>
        <w:jc w:val="left"/>
      </w:pPr>
      <w:r>
        <w:rPr>
          <w:rFonts w:ascii="Calibri" w:cs="Calibri" w:eastAsia="Calibri" w:hAnsi="Calibri"/>
          <w:b/>
          <w:bCs/>
          <w:i w:val="false"/>
          <w:iCs w:val="false"/>
          <w:color w:val="374151"/>
          <w:sz w:val="22"/>
          <w:szCs w:val="22"/>
        </w:rPr>
        <w:t xml:space="preserve">En guclu strateji: Hem kelime markasi hem logo/karma marka olarak ayri ayri basvuru yapilmasidir.</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2. Uluslararasi Marka Korumasi</w:t>
      </w:r>
    </w:p>
    <w:p>
      <w:pPr>
        <w:pStyle w:val="Heading2"/>
        <w:spacing w:after="160" w:before="320"/>
      </w:pPr>
      <w:r>
        <w:rPr>
          <w:rFonts w:ascii="Georgia" w:cs="Georgia" w:eastAsia="Georgia" w:hAnsi="Georgia"/>
          <w:b/>
          <w:bCs/>
          <w:color w:val="FF3300"/>
          <w:sz w:val="26"/>
          <w:szCs w:val="26"/>
        </w:rPr>
        <w:t xml:space="preserve">2.1. Madrid Protokolu</w:t>
      </w:r>
    </w:p>
    <w:p>
      <w:pPr>
        <w:spacing w:after="80" w:before="80" w:line="360"/>
        <w:jc w:val="left"/>
      </w:pPr>
      <w:r>
        <w:rPr>
          <w:rFonts w:ascii="Calibri" w:cs="Calibri" w:eastAsia="Calibri" w:hAnsi="Calibri"/>
          <w:b w:val="false"/>
          <w:bCs w:val="false"/>
          <w:i w:val="false"/>
          <w:iCs w:val="false"/>
          <w:color w:val="374151"/>
          <w:sz w:val="22"/>
          <w:szCs w:val="22"/>
        </w:rPr>
        <w:t xml:space="preserve">Turkiye 1999'dan bu yana Madrid Protokolu uyesidir. TURKPATENT mense ofisi olarak tek bir uluslararasi basvuruyla 132 ulkede koruma saglanabilir. Surec: TURKPATENT'teki temel basvuruya/tescile dayali olarak uluslararasi basvuru yapilir → TURKPATENT onaylar ve WIPO'ya iletir → WIPO kayit yapar → belirlenen ulkelere bildirir → her ulke kendi mevzuatina gore 12-18 ay icinde inceler.</w:t>
      </w:r>
    </w:p>
    <w:p>
      <w:pPr>
        <w:spacing w:after="80" w:before="80" w:line="360"/>
        <w:jc w:val="left"/>
      </w:pPr>
      <w:r>
        <w:rPr>
          <w:rFonts w:ascii="Calibri" w:cs="Calibri" w:eastAsia="Calibri" w:hAnsi="Calibri"/>
          <w:b w:val="false"/>
          <w:bCs w:val="false"/>
          <w:i w:val="false"/>
          <w:iCs w:val="false"/>
          <w:color w:val="374151"/>
          <w:sz w:val="22"/>
          <w:szCs w:val="22"/>
        </w:rPr>
        <w:t xml:space="preserve">WIPO ucretleri (CHF): Temel ucret 653 (siyah-beyaz) / 903 (renkli); 3. siniftan sonra her ek sinif icin 100. TURKPATENT islem ucreti 3.850 TL.</w:t>
      </w:r>
    </w:p>
    <w:p>
      <w:pPr>
        <w:pBdr>
          <w:left w:val="single" w:color="D4850A" w:sz="6" w:space="12"/>
        </w:pBdr>
        <w:spacing w:after="80" w:before="80" w:line="360"/>
        <w:jc w:val="left"/>
      </w:pPr>
      <w:r>
        <w:rPr>
          <w:rFonts w:ascii="Georgia" w:cs="Georgia" w:eastAsia="Georgia" w:hAnsi="Georgia"/>
          <w:b w:val="false"/>
          <w:bCs w:val="false"/>
          <w:i/>
          <w:iCs/>
          <w:color w:val="374151"/>
          <w:sz w:val="22"/>
          <w:szCs w:val="22"/>
        </w:rPr>
        <w:t xml:space="preserve">Kritik kural — 5 yil bagimlilik: Uluslararasi tescil, ilk 5 yil boyunca Turk temel basvurusuna/tesciline baglidir. Turk markasi iptal edilirse uluslararasi tescil de dusebilir.</w:t>
      </w:r>
    </w:p>
    <w:p>
      <w:pPr>
        <w:spacing w:after="80" w:before="80" w:line="360"/>
        <w:jc w:val="left"/>
      </w:pPr>
      <w:r>
        <w:rPr>
          <w:rFonts w:ascii="Calibri" w:cs="Calibri" w:eastAsia="Calibri" w:hAnsi="Calibri"/>
          <w:b w:val="false"/>
          <w:bCs w:val="false"/>
          <w:i/>
          <w:iCs/>
          <w:color w:val="2563EB"/>
          <w:sz w:val="18"/>
          <w:szCs w:val="18"/>
        </w:rPr>
        <w:t xml:space="preserve">Kaynak: wipo.int/en/web/madrid-system | wipo.int/en/web/madrid-system/fees/sched</w:t>
      </w:r>
    </w:p>
    <w:p>
      <w:pPr>
        <w:pStyle w:val="Heading2"/>
        <w:spacing w:after="160" w:before="320"/>
      </w:pPr>
      <w:r>
        <w:rPr>
          <w:rFonts w:ascii="Georgia" w:cs="Georgia" w:eastAsia="Georgia" w:hAnsi="Georgia"/>
          <w:b/>
          <w:bCs/>
          <w:color w:val="FF3300"/>
          <w:sz w:val="26"/>
          <w:szCs w:val="26"/>
        </w:rPr>
        <w:t xml:space="preserve">2.2. AB ve ABD Tescili</w:t>
      </w:r>
    </w:p>
    <w:p>
      <w:pPr>
        <w:spacing w:after="80" w:before="80" w:line="360"/>
        <w:jc w:val="left"/>
      </w:pPr>
      <w:r>
        <w:rPr>
          <w:rFonts w:ascii="Calibri" w:cs="Calibri" w:eastAsia="Calibri" w:hAnsi="Calibri"/>
          <w:b w:val="false"/>
          <w:bCs w:val="false"/>
          <w:i w:val="false"/>
          <w:iCs w:val="false"/>
          <w:color w:val="374151"/>
          <w:sz w:val="22"/>
          <w:szCs w:val="22"/>
        </w:rPr>
        <w:t xml:space="preserve">EUIPO (AB): Tek basvuruyla 27 AB uye ulkesinde koruma saglar. Cevrimici basvuru ucreti tek sinif icin 850 EUR. Fast Track ile itiraz yoksa 4-5 ayda tescil mumkundur.</w:t>
      </w:r>
    </w:p>
    <w:p>
      <w:pPr>
        <w:spacing w:after="80" w:before="80" w:line="360"/>
        <w:jc w:val="left"/>
      </w:pPr>
      <w:r>
        <w:rPr>
          <w:rFonts w:ascii="Calibri" w:cs="Calibri" w:eastAsia="Calibri" w:hAnsi="Calibri"/>
          <w:b w:val="false"/>
          <w:bCs w:val="false"/>
          <w:i w:val="false"/>
          <w:iCs w:val="false"/>
          <w:color w:val="374151"/>
          <w:sz w:val="22"/>
          <w:szCs w:val="22"/>
        </w:rPr>
        <w:t xml:space="preserve">USPTO (ABD): Yabanci basvuru sahipleri ABD'de lisansli bir avukat ile temsil edilmek zorundadir. Elektronik basvuru ucreti sinif basina 350 USD. Intent-to-Use basvurusu yapiabilir; ancak tescil icin ABD ticaretinde fiili kullanim kaniti gerekir.</w:t>
      </w:r>
    </w:p>
    <w:p>
      <w:pPr>
        <w:pStyle w:val="Heading2"/>
        <w:spacing w:after="160" w:before="320"/>
      </w:pPr>
      <w:r>
        <w:rPr>
          <w:rFonts w:ascii="Georgia" w:cs="Georgia" w:eastAsia="Georgia" w:hAnsi="Georgia"/>
          <w:b/>
          <w:bCs/>
          <w:color w:val="FF3300"/>
          <w:sz w:val="26"/>
          <w:szCs w:val="26"/>
        </w:rPr>
        <w:t xml:space="preserve">2.3. Paris Sozlesmesi Oncelik Hakki</w:t>
      </w:r>
    </w:p>
    <w:p>
      <w:pPr>
        <w:spacing w:after="80" w:before="80" w:line="360"/>
        <w:jc w:val="left"/>
      </w:pPr>
      <w:r>
        <w:rPr>
          <w:rFonts w:ascii="Calibri" w:cs="Calibri" w:eastAsia="Calibri" w:hAnsi="Calibri"/>
          <w:b w:val="false"/>
          <w:bCs w:val="false"/>
          <w:i w:val="false"/>
          <w:iCs w:val="false"/>
          <w:color w:val="374151"/>
          <w:sz w:val="22"/>
          <w:szCs w:val="22"/>
        </w:rPr>
        <w:t xml:space="preserve">Paris Sozlesmesi Madde 4 uyarinca, Turkiye'de yapilan ilk basvurudan itibaren 6 ay icinde diger uye ulkelerde yapilan basvurular Turk basvuru tarihinden itibaren gecerli sayilir. Bu 6 aylik pencere stratejik olarak kullanilmalidir.</w:t>
      </w:r>
    </w:p>
    <w:p>
      <w:pPr>
        <w:spacing w:after="80" w:before="80" w:line="360"/>
        <w:jc w:val="left"/>
      </w:pPr>
      <w:r>
        <w:rPr>
          <w:rFonts w:ascii="Calibri" w:cs="Calibri" w:eastAsia="Calibri" w:hAnsi="Calibri"/>
          <w:b w:val="false"/>
          <w:bCs w:val="false"/>
          <w:i/>
          <w:iCs/>
          <w:color w:val="2563EB"/>
          <w:sz w:val="18"/>
          <w:szCs w:val="18"/>
        </w:rPr>
        <w:t xml:space="preserve">Kaynak: wipo.int/en/web/treaties/ip/paris/summary_paris</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3. Patent ve Faydali Model</w:t>
      </w:r>
    </w:p>
    <w:p>
      <w:pPr>
        <w:pStyle w:val="Heading2"/>
        <w:spacing w:after="160" w:before="320"/>
      </w:pPr>
      <w:r>
        <w:rPr>
          <w:rFonts w:ascii="Georgia" w:cs="Georgia" w:eastAsia="Georgia" w:hAnsi="Georgia"/>
          <w:b/>
          <w:bCs/>
          <w:color w:val="FF3300"/>
          <w:sz w:val="26"/>
          <w:szCs w:val="26"/>
        </w:rPr>
        <w:t xml:space="preserve">3.1. Is Yontemi Istisnasi</w:t>
      </w:r>
    </w:p>
    <w:p>
      <w:pPr>
        <w:spacing w:after="80" w:before="80" w:line="360"/>
        <w:jc w:val="left"/>
      </w:pPr>
      <w:r>
        <w:rPr>
          <w:rFonts w:ascii="Calibri" w:cs="Calibri" w:eastAsia="Calibri" w:hAnsi="Calibri"/>
          <w:b w:val="false"/>
          <w:bCs w:val="false"/>
          <w:i w:val="false"/>
          <w:iCs w:val="false"/>
          <w:color w:val="374151"/>
          <w:sz w:val="22"/>
          <w:szCs w:val="22"/>
        </w:rPr>
        <w:t xml:space="preserve">SMK Madde 82/2(b), 'is faaliyetlerine iliskin plan, kural ve yontemler'i acikca patent kapsami disinda tutar. Ancak maddenin giris cumlesi kritik bir nuans icerir: bu istisna yalnizca 'konu veya faaliyetlerin kendisi' icindir ('as such' kurali). Bu ifade, Avrupa Patent Sozlesmesi (EPC) Madde 52(2)-(3) ile paraleldir ve bilgisayar uygulamali buluslara (computer-implemented inventions — CII) kapiyi acik birakir.</w:t>
      </w:r>
    </w:p>
    <w:p>
      <w:pPr>
        <w:spacing w:after="80" w:before="80" w:line="360"/>
        <w:jc w:val="left"/>
      </w:pPr>
      <w:r>
        <w:rPr>
          <w:rFonts w:ascii="Calibri" w:cs="Calibri" w:eastAsia="Calibri" w:hAnsi="Calibri"/>
          <w:b w:val="false"/>
          <w:bCs w:val="false"/>
          <w:i w:val="false"/>
          <w:iCs w:val="false"/>
          <w:color w:val="374151"/>
          <w:sz w:val="22"/>
          <w:szCs w:val="22"/>
        </w:rPr>
        <w:t xml:space="preserve">Turkiye'de TURKPATENT uygulamasi EPO yaklasimiyla uyumludur: yazilim tek basina patentlenemez ancak bir bilgisayar sistemiyle butunlestiginde ve teknik karakter tasidiginda — yani 'normal program calistirmanin otesinde bir ileri teknik etki' (further technical effect) urettiginde — patentlenebilir hale gelir.</w:t>
      </w:r>
    </w:p>
    <w:p>
      <w:pPr>
        <w:spacing w:after="80" w:before="80" w:line="360"/>
        <w:jc w:val="left"/>
      </w:pPr>
      <w:r>
        <w:rPr>
          <w:rFonts w:ascii="Calibri" w:cs="Calibri" w:eastAsia="Calibri" w:hAnsi="Calibri"/>
          <w:b w:val="false"/>
          <w:bCs w:val="false"/>
          <w:i/>
          <w:iCs/>
          <w:color w:val="2563EB"/>
          <w:sz w:val="18"/>
          <w:szCs w:val="18"/>
        </w:rPr>
        <w:t xml:space="preserve">Kaynak: sinaimulkiyetkanunu.com/sinai-mulkiyet-kanunu-madde-82-patent/ | mevzuat.gov.tr SMK 6769</w:t>
      </w:r>
    </w:p>
    <w:p>
      <w:pPr>
        <w:pStyle w:val="Heading2"/>
        <w:spacing w:after="160" w:before="320"/>
      </w:pPr>
      <w:r>
        <w:rPr>
          <w:rFonts w:ascii="Georgia" w:cs="Georgia" w:eastAsia="Georgia" w:hAnsi="Georgia"/>
          <w:b/>
          <w:bCs/>
          <w:color w:val="FF3300"/>
          <w:sz w:val="26"/>
          <w:szCs w:val="26"/>
        </w:rPr>
        <w:t xml:space="preserve">3.2. iyi ki Ozelliklerinin Patentlenebilirlik Analizi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Teknik Unsur</w:t>
            </w:r>
          </w:p>
        </w:tc>
        <w:tc>
          <w:tcPr>
            <w:tcW w:type="dxa" w:w="12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Deger</w:t>
            </w:r>
          </w:p>
        </w:tc>
        <w:tc>
          <w:tcPr>
            <w:tcW w:type="dxa" w:w="48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Degerlendirme</w:t>
            </w:r>
          </w:p>
        </w:tc>
      </w:tr>
      <w:tr>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AI tabanli oneri algoritmasi</w:t>
            </w:r>
          </w:p>
        </w:tc>
        <w:tc>
          <w:tcPr>
            <w:tcW w:type="dxa" w:w="1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00802B"/>
                <w:sz w:val="20"/>
                <w:szCs w:val="20"/>
              </w:rPr>
              <w:t xml:space="preserve">Yuksek</w:t>
            </w:r>
          </w:p>
        </w:tc>
        <w:tc>
          <w:tcPr>
            <w:tcW w:type="dxa" w:w="4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Ozgun sinir agi mimarisi, egitim yontemi patentlenebilir</w:t>
            </w:r>
          </w:p>
        </w:tc>
      </w:tr>
      <w:tr>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QR dogrulama mekanizmasi</w:t>
            </w:r>
          </w:p>
        </w:tc>
        <w:tc>
          <w:tcPr>
            <w:tcW w:type="dxa" w:w="1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D4850A"/>
                <w:sz w:val="20"/>
                <w:szCs w:val="20"/>
              </w:rPr>
              <w:t xml:space="preserve">Orta-iyi</w:t>
            </w:r>
          </w:p>
        </w:tc>
        <w:tc>
          <w:tcPr>
            <w:tcW w:type="dxa" w:w="4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Kriptografik token uretimi veya cok faktorlu dogrulama gerekli</w:t>
            </w:r>
          </w:p>
        </w:tc>
      </w:tr>
      <w:tr>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Havuz-dagitim algoritmasi</w:t>
            </w:r>
          </w:p>
        </w:tc>
        <w:tc>
          <w:tcPr>
            <w:tcW w:type="dxa" w:w="1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6B7280"/>
                <w:sz w:val="20"/>
                <w:szCs w:val="20"/>
              </w:rPr>
              <w:t xml:space="preserve">Dusuk-orta</w:t>
            </w:r>
          </w:p>
        </w:tc>
        <w:tc>
          <w:tcPr>
            <w:tcW w:type="dxa" w:w="4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Dagitik isleme, gercek zamanli senkronizasyon varsa mumkun</w:t>
            </w:r>
          </w:p>
        </w:tc>
      </w:tr>
      <w:tr>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color w:val="374151"/>
                <w:sz w:val="20"/>
                <w:szCs w:val="20"/>
              </w:rPr>
              <w:t xml:space="preserve">72 saat geri donus mekanizmasi</w:t>
            </w:r>
          </w:p>
        </w:tc>
        <w:tc>
          <w:tcPr>
            <w:tcW w:type="dxa" w:w="1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6B7280"/>
                <w:sz w:val="20"/>
                <w:szCs w:val="20"/>
              </w:rPr>
              <w:t xml:space="preserve">Dusuk</w:t>
            </w:r>
          </w:p>
        </w:tc>
        <w:tc>
          <w:tcPr>
            <w:tcW w:type="dxa" w:w="48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Temelde is kurali; genel bilgisayar uygulamasi yeterli degil</w:t>
            </w:r>
          </w:p>
        </w:tc>
      </w:tr>
    </w:tbl>
    <w:p>
      <w:pPr>
        <w:pStyle w:val="Heading2"/>
        <w:spacing w:after="160" w:before="320"/>
      </w:pPr>
      <w:r>
        <w:rPr>
          <w:rFonts w:ascii="Georgia" w:cs="Georgia" w:eastAsia="Georgia" w:hAnsi="Georgia"/>
          <w:b/>
          <w:bCs/>
          <w:color w:val="FF3300"/>
          <w:sz w:val="26"/>
          <w:szCs w:val="26"/>
        </w:rPr>
        <w:t xml:space="preserve">3.3. Faydali Model ve PCT</w:t>
      </w:r>
    </w:p>
    <w:p>
      <w:pPr>
        <w:spacing w:after="80" w:before="80" w:line="360"/>
        <w:jc w:val="left"/>
      </w:pPr>
      <w:r>
        <w:rPr>
          <w:rFonts w:ascii="Calibri" w:cs="Calibri" w:eastAsia="Calibri" w:hAnsi="Calibri"/>
          <w:b w:val="false"/>
          <w:bCs w:val="false"/>
          <w:i w:val="false"/>
          <w:iCs w:val="false"/>
          <w:color w:val="374151"/>
          <w:sz w:val="22"/>
          <w:szCs w:val="22"/>
        </w:rPr>
        <w:t xml:space="preserve">Faydali model (SMK Madde 142-145): 10 yil koruma, bulus basamagi sarti aranmaz. Ancak kritik kisitlama: Turkiye'de faydali model ile yontem/surec talepleri korunamaz (SMK Madde 142/3). Bu nedenle iyi ki'nin yazilim tabanli ozellikleri faydali model korumasina uygun degildir.</w:t>
      </w:r>
    </w:p>
    <w:p>
      <w:pPr>
        <w:spacing w:after="80" w:before="80" w:line="360"/>
        <w:jc w:val="left"/>
      </w:pPr>
      <w:r>
        <w:rPr>
          <w:rFonts w:ascii="Calibri" w:cs="Calibri" w:eastAsia="Calibri" w:hAnsi="Calibri"/>
          <w:b w:val="false"/>
          <w:bCs w:val="false"/>
          <w:i w:val="false"/>
          <w:iCs w:val="false"/>
          <w:color w:val="374151"/>
          <w:sz w:val="22"/>
          <w:szCs w:val="22"/>
        </w:rPr>
        <w:t xml:space="preserve">PCT uluslararasi patent basvurusu: TURKPATENT uzerinden dosyalanir; uluslararasi asama maliyeti yaklasik 3.500-4.500 USD. Ulusal asamaya giris suresi oncelik tarihinden itibaren 30 aydir.</w:t>
      </w:r>
    </w:p>
    <w:p>
      <w:pPr>
        <w:spacing w:after="80" w:before="80" w:line="360"/>
        <w:jc w:val="left"/>
      </w:pPr>
      <w:r>
        <w:rPr>
          <w:rFonts w:ascii="Calibri" w:cs="Calibri" w:eastAsia="Calibri" w:hAnsi="Calibri"/>
          <w:b/>
          <w:bCs/>
          <w:i w:val="false"/>
          <w:iCs w:val="false"/>
          <w:color w:val="374151"/>
          <w:sz w:val="22"/>
          <w:szCs w:val="22"/>
        </w:rPr>
        <w:t xml:space="preserve">Onerilen hibrit strateji: AI algoritmasi ve QR mekanizmasi icin patent basvurusu; diger ozellikler icin savunmaci yayin (defensive publication) yaparak rakiplerin patentlemesini engellemek.</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4. Telif Hakki (Copyright)</w:t>
      </w:r>
    </w:p>
    <w:p>
      <w:pPr>
        <w:pStyle w:val="Heading2"/>
        <w:spacing w:after="160" w:before="320"/>
      </w:pPr>
      <w:r>
        <w:rPr>
          <w:rFonts w:ascii="Georgia" w:cs="Georgia" w:eastAsia="Georgia" w:hAnsi="Georgia"/>
          <w:b/>
          <w:bCs/>
          <w:color w:val="FF3300"/>
          <w:sz w:val="26"/>
          <w:szCs w:val="26"/>
        </w:rPr>
        <w:t xml:space="preserve">4.1. FSEK 5846 Kapsaminda Yazilim Korumasi</w:t>
      </w:r>
    </w:p>
    <w:p>
      <w:pPr>
        <w:spacing w:after="80" w:before="80" w:line="360"/>
        <w:jc w:val="left"/>
      </w:pPr>
      <w:r>
        <w:rPr>
          <w:rFonts w:ascii="Calibri" w:cs="Calibri" w:eastAsia="Calibri" w:hAnsi="Calibri"/>
          <w:b w:val="false"/>
          <w:bCs w:val="false"/>
          <w:i w:val="false"/>
          <w:iCs w:val="false"/>
          <w:color w:val="374151"/>
          <w:sz w:val="22"/>
          <w:szCs w:val="22"/>
        </w:rPr>
        <w:t xml:space="preserve">5846 sayili Fikir ve Sanat Eserleri Kanunu (FSEK) Madde 2/1, bilgisayar programlarini 'ilim ve edebiyat eseri' olarak siniflandirir. Kaynak kod, nesne kodu, program akisi, is akis semalari, gorsel materyaller, icerikler ve veritabani yapisi korunur.</w:t>
      </w:r>
    </w:p>
    <w:p>
      <w:pPr>
        <w:spacing w:after="80" w:before="80" w:line="360"/>
        <w:jc w:val="left"/>
      </w:pPr>
      <w:r>
        <w:rPr>
          <w:rFonts w:ascii="Calibri" w:cs="Calibri" w:eastAsia="Calibri" w:hAnsi="Calibri"/>
          <w:b w:val="false"/>
          <w:bCs w:val="false"/>
          <w:i w:val="false"/>
          <w:iCs w:val="false"/>
          <w:color w:val="374151"/>
          <w:sz w:val="22"/>
          <w:szCs w:val="22"/>
        </w:rPr>
        <w:t xml:space="preserve">Telif hakki eser yaratildigi anda otomatik olarak dogar — tescil sarti yoktur. Bu ilke hem FSEK hem de Bern Sozlesmesi'nin temel prensibidir. Turkiye, Bern Sozlesmesi'ne 1 Ocak 1996 tarihinde taraf olmustur; dolayisiyla Turkiye'de yaratilan yazilim otomatik olarak 180+ Bern uyesi ulkede korunur.</w:t>
      </w:r>
    </w:p>
    <w:p>
      <w:pPr>
        <w:spacing w:after="80" w:before="80" w:line="360"/>
        <w:jc w:val="left"/>
      </w:pPr>
      <w:r>
        <w:rPr>
          <w:rFonts w:ascii="Calibri" w:cs="Calibri" w:eastAsia="Calibri" w:hAnsi="Calibri"/>
          <w:b w:val="false"/>
          <w:bCs w:val="false"/>
          <w:i/>
          <w:iCs/>
          <w:color w:val="2563EB"/>
          <w:sz w:val="18"/>
          <w:szCs w:val="18"/>
        </w:rPr>
        <w:t xml:space="preserve">Kaynak: mevzuat.gov.tr/MevzuatMetin/5.3.5846.pdf | wipo.int/treaties/en/notifications/berne/treaty_berne_171.html</w:t>
      </w:r>
    </w:p>
    <w:p>
      <w:pPr>
        <w:pStyle w:val="Heading2"/>
        <w:spacing w:after="160" w:before="320"/>
      </w:pPr>
      <w:r>
        <w:rPr>
          <w:rFonts w:ascii="Georgia" w:cs="Georgia" w:eastAsia="Georgia" w:hAnsi="Georgia"/>
          <w:b/>
          <w:bCs/>
          <w:color w:val="FF3300"/>
          <w:sz w:val="26"/>
          <w:szCs w:val="26"/>
        </w:rPr>
        <w:t xml:space="preserve">4.2. Ispat Yontemleri</w:t>
      </w:r>
    </w:p>
    <w:p>
      <w:pPr>
        <w:spacing w:after="80" w:before="80" w:line="360"/>
        <w:jc w:val="left"/>
      </w:pPr>
      <w:r>
        <w:rPr>
          <w:rFonts w:ascii="Calibri" w:cs="Calibri" w:eastAsia="Calibri" w:hAnsi="Calibri"/>
          <w:b w:val="false"/>
          <w:bCs w:val="false"/>
          <w:i w:val="false"/>
          <w:iCs w:val="false"/>
          <w:color w:val="374151"/>
          <w:sz w:val="22"/>
          <w:szCs w:val="22"/>
        </w:rPr>
        <w:t xml:space="preserve">Yaratim tarihini ispat etmek icin: noter tasdiki ile kaynak kod/dokumantasyon tevdiasi, Git commit gecmisi ve versiyon kontrol kayitlari, yazilim escrow hizmeti ile tarihli depozito onayi, App Store/Play Store yayin tarihleri.</w:t>
      </w:r>
    </w:p>
    <w:p>
      <w:pPr>
        <w:spacing w:after="80" w:before="80" w:line="360"/>
        <w:jc w:val="left"/>
      </w:pPr>
      <w:r>
        <w:rPr>
          <w:rFonts w:ascii="Calibri" w:cs="Calibri" w:eastAsia="Calibri" w:hAnsi="Calibri"/>
          <w:b w:val="false"/>
          <w:bCs w:val="false"/>
          <w:i w:val="false"/>
          <w:iCs w:val="false"/>
          <w:color w:val="374151"/>
          <w:sz w:val="22"/>
          <w:szCs w:val="22"/>
        </w:rPr>
        <w:t xml:space="preserve">Yazilim escrow: Kaynak kodun bagimsiz ucuncu tarafta guvenli muhafazasini saglar; yatirimci guvenini artirir ve is surekliligi garanti eder.</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5. Ticari Sir Korumasi</w:t>
      </w:r>
    </w:p>
    <w:p>
      <w:pPr>
        <w:spacing w:after="80" w:before="80" w:line="360"/>
        <w:jc w:val="left"/>
      </w:pPr>
      <w:r>
        <w:rPr>
          <w:rFonts w:ascii="Calibri" w:cs="Calibri" w:eastAsia="Calibri" w:hAnsi="Calibri"/>
          <w:b w:val="false"/>
          <w:bCs w:val="false"/>
          <w:i w:val="false"/>
          <w:iCs w:val="false"/>
          <w:color w:val="374151"/>
          <w:sz w:val="22"/>
          <w:szCs w:val="22"/>
        </w:rPr>
        <w:t xml:space="preserve">TTK Madde 55/1(d), uretim ve is sirlarinin hukuka aykiri ifsasini haksiz rekabet olarak nitelendirir. TCK Madde 239 ayrica ticari sir ifsasini bagimsiz bir suc olarak duzenler: 1-3 yil hapis ve 5.000 gune kadar adli para cezasi. Sirlar yurt disina ifsa edilirse ceza ucte bir oraninda artirilir.</w:t>
      </w:r>
    </w:p>
    <w:p>
      <w:pPr>
        <w:spacing w:after="80" w:before="80" w:line="360"/>
        <w:jc w:val="left"/>
      </w:pPr>
      <w:r>
        <w:rPr>
          <w:rFonts w:ascii="Calibri" w:cs="Calibri" w:eastAsia="Calibri" w:hAnsi="Calibri"/>
          <w:b w:val="false"/>
          <w:bCs w:val="false"/>
          <w:i w:val="false"/>
          <w:iCs w:val="false"/>
          <w:color w:val="374151"/>
          <w:sz w:val="22"/>
          <w:szCs w:val="22"/>
        </w:rPr>
        <w:t xml:space="preserve">Ticari sir olarak korunabilecek varliklar: algoritmalar ve veri modelleri, sponsor eslestirme mantigi, fiyatlandirma formulleri (kademeli komisyon tablosu), kullanici davranis verileri, is stratejileri, teknik know-how ve API yapilandirmalari.</w:t>
      </w:r>
    </w:p>
    <w:p>
      <w:pPr>
        <w:pStyle w:val="Heading2"/>
        <w:spacing w:after="160" w:before="320"/>
      </w:pPr>
      <w:r>
        <w:rPr>
          <w:rFonts w:ascii="Georgia" w:cs="Georgia" w:eastAsia="Georgia" w:hAnsi="Georgia"/>
          <w:b/>
          <w:bCs/>
          <w:color w:val="FF3300"/>
          <w:sz w:val="26"/>
          <w:szCs w:val="26"/>
        </w:rPr>
        <w:t xml:space="preserve">5.1. NDA ve Rekabet Yasagi</w:t>
      </w:r>
    </w:p>
    <w:p>
      <w:pPr>
        <w:spacing w:after="80" w:before="80" w:line="360"/>
        <w:jc w:val="left"/>
      </w:pPr>
      <w:r>
        <w:rPr>
          <w:rFonts w:ascii="Calibri" w:cs="Calibri" w:eastAsia="Calibri" w:hAnsi="Calibri"/>
          <w:b w:val="false"/>
          <w:bCs w:val="false"/>
          <w:i w:val="false"/>
          <w:iCs w:val="false"/>
          <w:color w:val="374151"/>
          <w:sz w:val="22"/>
          <w:szCs w:val="22"/>
        </w:rPr>
        <w:t xml:space="preserve">TBK Madde 396: calisanin hizmet iliskisi suresince ogrendigi is sirlarini kullanma ve aciklama yasagi. Is sozlesmesi sonrasi rekabet yasagi (TBK Madde 444-447): yazili sekil zorunlulugu, en fazla 2 yil, cografi ve is turu bakimindan sinirlandirilmalidir.</w:t>
      </w:r>
    </w:p>
    <w:p>
      <w:pPr>
        <w:spacing w:after="80" w:before="80" w:line="360"/>
        <w:jc w:val="left"/>
      </w:pPr>
      <w:r>
        <w:rPr>
          <w:rFonts w:ascii="Calibri" w:cs="Calibri" w:eastAsia="Calibri" w:hAnsi="Calibri"/>
          <w:b w:val="false"/>
          <w:bCs w:val="false"/>
          <w:i/>
          <w:iCs/>
          <w:color w:val="2563EB"/>
          <w:sz w:val="18"/>
          <w:szCs w:val="18"/>
        </w:rPr>
        <w:t xml:space="preserve">Kaynak: mevzuat.gov.tr/mevzuatmetin/1.5.6102.pdf (TTK) | mevzuat.gov.tr/mevzuatmetin/1.5.6098.pdf (TBK)</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6. Tasarim Tescili</w:t>
      </w:r>
    </w:p>
    <w:p>
      <w:pPr>
        <w:spacing w:after="80" w:before="80" w:line="360"/>
        <w:jc w:val="left"/>
      </w:pPr>
      <w:r>
        <w:rPr>
          <w:rFonts w:ascii="Calibri" w:cs="Calibri" w:eastAsia="Calibri" w:hAnsi="Calibri"/>
          <w:b w:val="false"/>
          <w:bCs w:val="false"/>
          <w:i w:val="false"/>
          <w:iCs w:val="false"/>
          <w:color w:val="374151"/>
          <w:sz w:val="22"/>
          <w:szCs w:val="22"/>
        </w:rPr>
        <w:t xml:space="preserve">SMK Madde 55 kapsaminda UI/UX ekran tasarimlari TURKPATENT'te tescil edilebilir. Locarno Siniflandirmasi 14-04 (Ekran Gosterimleri ve Ikonlar) altinda dosyalanir. Tescilli tasarim 5 yil sureyle korunur, toplam 25 yila kadar yenilenebilir. Tescilsiz tasarim ise ilk kamuya sunumdan itibaren 3 yil boyunca yalnizca kopyalamaya karsi korunur.</w:t>
      </w:r>
    </w:p>
    <w:p>
      <w:pPr>
        <w:spacing w:after="80" w:before="80" w:line="360"/>
        <w:jc w:val="left"/>
      </w:pPr>
      <w:r>
        <w:rPr>
          <w:rFonts w:ascii="Calibri" w:cs="Calibri" w:eastAsia="Calibri" w:hAnsi="Calibri"/>
          <w:b w:val="false"/>
          <w:bCs w:val="false"/>
          <w:i w:val="false"/>
          <w:iCs w:val="false"/>
          <w:color w:val="374151"/>
          <w:sz w:val="22"/>
          <w:szCs w:val="22"/>
        </w:rPr>
        <w:t xml:space="preserve">Basvuru ucreti tek tasarim icin 2.070 TL. Uluslararasi Hague Sistemi ile WIPO uzerinden tek basvuruyla 90+ ulkede tasarim korumasi saglanabilir.</w:t>
      </w:r>
    </w:p>
    <w:p>
      <w:pPr>
        <w:spacing w:after="80" w:before="80" w:line="360"/>
        <w:jc w:val="left"/>
      </w:pPr>
      <w:r>
        <w:rPr>
          <w:rFonts w:ascii="Calibri" w:cs="Calibri" w:eastAsia="Calibri" w:hAnsi="Calibri"/>
          <w:b w:val="false"/>
          <w:bCs w:val="false"/>
          <w:i/>
          <w:iCs/>
          <w:color w:val="2563EB"/>
          <w:sz w:val="18"/>
          <w:szCs w:val="18"/>
        </w:rPr>
        <w:t xml:space="preserve">Kaynak: turkpatent.gov.tr/tasarim-bilgilendirme | wipo.int/hague/en/</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7. Alan Adi Korumasi</w:t>
      </w:r>
    </w:p>
    <w:p>
      <w:pPr>
        <w:spacing w:after="80" w:before="80" w:line="360"/>
        <w:jc w:val="left"/>
      </w:pPr>
      <w:r>
        <w:rPr>
          <w:rFonts w:ascii="Calibri" w:cs="Calibri" w:eastAsia="Calibri" w:hAnsi="Calibri"/>
          <w:b w:val="false"/>
          <w:bCs w:val="false"/>
          <w:i w:val="false"/>
          <w:iCs w:val="false"/>
          <w:color w:val="374151"/>
          <w:sz w:val="22"/>
          <w:szCs w:val="22"/>
        </w:rPr>
        <w:t xml:space="preserve">Tescil edilmesi gereken alan adlari: iyiki.com (kritik), iyiki.com.tr (kritik), iyiki.app (yuksek), iyiki.tr (yuksek), iyiki.co (orta-yuksek), iyiki.net ve .org (orta). 14 Eylul 2022 itibariyla .tr alan adi yonetimi TRABIS sistemine gecmistir.</w:t>
      </w:r>
    </w:p>
    <w:p>
      <w:pPr>
        <w:spacing w:after="80" w:before="80" w:line="360"/>
        <w:jc w:val="left"/>
      </w:pPr>
      <w:r>
        <w:rPr>
          <w:rFonts w:ascii="Calibri" w:cs="Calibri" w:eastAsia="Calibri" w:hAnsi="Calibri"/>
          <w:b w:val="false"/>
          <w:bCs w:val="false"/>
          <w:i w:val="false"/>
          <w:iCs w:val="false"/>
          <w:color w:val="374151"/>
          <w:sz w:val="22"/>
          <w:szCs w:val="22"/>
        </w:rPr>
        <w:t xml:space="preserve">Uyusmazlik cozumu: .com/.net/.app icin ICANN UDRP uygulanir (tek hakem 1.500 USD, surec ~2 ay). .tr alan adlari icin TRABIS DRSP uygulanir (tek hakem ~4.500 TL, surec 3-4 hafta).</w:t>
      </w:r>
    </w:p>
    <w:p>
      <w:pPr>
        <w:spacing w:after="80" w:before="80" w:line="360"/>
        <w:jc w:val="left"/>
      </w:pPr>
      <w:r>
        <w:rPr>
          <w:rFonts w:ascii="Calibri" w:cs="Calibri" w:eastAsia="Calibri" w:hAnsi="Calibri"/>
          <w:b w:val="false"/>
          <w:bCs w:val="false"/>
          <w:i/>
          <w:iCs/>
          <w:color w:val="2563EB"/>
          <w:sz w:val="18"/>
          <w:szCs w:val="18"/>
        </w:rPr>
        <w:t xml:space="preserve">Kaynak: icann.org UDRP politikasi | trabis.gov.tr</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8. Savunmaci Stratejiler</w:t>
      </w:r>
    </w:p>
    <w:p>
      <w:pPr>
        <w:spacing w:after="80" w:before="80" w:line="360"/>
        <w:jc w:val="left"/>
      </w:pPr>
      <w:r>
        <w:rPr>
          <w:rFonts w:ascii="Calibri" w:cs="Calibri" w:eastAsia="Calibri" w:hAnsi="Calibri"/>
          <w:b w:val="false"/>
          <w:bCs w:val="false"/>
          <w:i w:val="false"/>
          <w:iCs w:val="false"/>
          <w:color w:val="374151"/>
          <w:sz w:val="22"/>
          <w:szCs w:val="22"/>
        </w:rPr>
        <w:t xml:space="preserve">Savunmaci marka tescilleri: tum olasi yazim varyasyonlari (iyiki, iyi-ki, iyiki). Savunmaci yayin: IP.com Prior Art Database veya Research Disclosure platformlarinda yayin yaparak rakiplerin ayni yenilikleri patentlemesini engellemek.</w:t>
      </w:r>
    </w:p>
    <w:p>
      <w:pPr>
        <w:spacing w:after="80" w:before="80" w:line="360"/>
        <w:jc w:val="left"/>
      </w:pPr>
      <w:r>
        <w:rPr>
          <w:rFonts w:ascii="Calibri" w:cs="Calibri" w:eastAsia="Calibri" w:hAnsi="Calibri"/>
          <w:b w:val="false"/>
          <w:bCs w:val="false"/>
          <w:i w:val="false"/>
          <w:iCs w:val="false"/>
          <w:color w:val="374151"/>
          <w:sz w:val="22"/>
          <w:szCs w:val="22"/>
        </w:rPr>
        <w:t xml:space="preserve">Acik kaynak karari: Cekirdek eslestirme/oneri motoru, odeme isleme ve kullanici veri yonetimi kapali/tescilli tutulmalidir. API istemci kutuphaneleri ekosistem benimsenmesini tesvik etmek icin Apache 2.0 veya MIT lisansiyla acik kaynak yapilabilir.</w:t>
      </w:r>
    </w:p>
    <w:p>
      <w:pPr>
        <w:spacing w:after="80" w:before="80" w:line="360"/>
        <w:jc w:val="left"/>
      </w:pPr>
      <w:r>
        <w:rPr>
          <w:rFonts w:ascii="Calibri" w:cs="Calibri" w:eastAsia="Calibri" w:hAnsi="Calibri"/>
          <w:b/>
          <w:bCs/>
          <w:i w:val="false"/>
          <w:iCs w:val="false"/>
          <w:color w:val="374151"/>
          <w:sz w:val="22"/>
          <w:szCs w:val="22"/>
        </w:rPr>
        <w:t xml:space="preserve">Yatirimci sozlesmelerinde IP klozlari: sirketin tum IP varliklarina sahip oldugu garantisi, ucuncu taraf ihlali bulunmadigi beyani, acik kaynak bilesenlerinin ifsasi, kaynak kod escrow duzenlemesi.</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9. Dijital Platform Korumasi</w:t>
      </w:r>
    </w:p>
    <w:p>
      <w:pPr>
        <w:spacing w:after="80" w:before="80" w:line="360"/>
        <w:jc w:val="left"/>
      </w:pPr>
      <w:r>
        <w:rPr>
          <w:rFonts w:ascii="Calibri" w:cs="Calibri" w:eastAsia="Calibri" w:hAnsi="Calibri"/>
          <w:b w:val="false"/>
          <w:bCs w:val="false"/>
          <w:i w:val="false"/>
          <w:iCs w:val="false"/>
          <w:color w:val="374151"/>
          <w:sz w:val="22"/>
          <w:szCs w:val="22"/>
        </w:rPr>
        <w:t xml:space="preserve">Apple App Store Connect uzerinden uygulama adi hemen rezerve edilmelidir. Google Play ad rezervasyonu yapmaz — tescilli marka birincil savunma aracidir. Sosyal medya hesaplari (@iyiki, @iyikiapp) Instagram, X, TikTok, YouTube ve LinkedIn'de derhal guvenli altina alinmalidir.</w:t>
      </w:r>
    </w:p>
    <w:p>
      <w:pPr>
        <w:spacing w:after="80" w:before="80" w:line="360"/>
        <w:jc w:val="left"/>
      </w:pPr>
      <w:r>
        <w:rPr>
          <w:rFonts w:ascii="Calibri" w:cs="Calibri" w:eastAsia="Calibri" w:hAnsi="Calibri"/>
          <w:b w:val="false"/>
          <w:bCs w:val="false"/>
          <w:i w:val="false"/>
          <w:iCs w:val="false"/>
          <w:color w:val="374151"/>
          <w:sz w:val="22"/>
          <w:szCs w:val="22"/>
        </w:rPr>
        <w:t xml:space="preserve">API korumasi: sinirli, devredilmez, geri alinabilir lisans; tersine muhendislik, derleme cozme ve rekabetci kullanim yasagi; hiz sinarlama ve OAuth tabanli erisim kontrolu.</w:t>
      </w: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10. Zamanlama ve Oncelik Plani</w:t>
      </w:r>
    </w:p>
    <w:p>
      <w:pPr>
        <w:pStyle w:val="Heading2"/>
        <w:spacing w:after="160" w:before="320"/>
      </w:pPr>
      <w:r>
        <w:rPr>
          <w:rFonts w:ascii="Georgia" w:cs="Georgia" w:eastAsia="Georgia" w:hAnsi="Georgia"/>
          <w:b/>
          <w:bCs/>
          <w:color w:val="FF3300"/>
          <w:sz w:val="26"/>
          <w:szCs w:val="26"/>
        </w:rPr>
        <w:t xml:space="preserve">10.1. Lansman Oncesi — Gun 1</w:t>
      </w:r>
    </w:p>
    <w:p>
      <w:pPr>
        <w:spacing w:after="80" w:before="80" w:line="360"/>
        <w:jc w:val="left"/>
      </w:pPr>
      <w:r>
        <w:rPr>
          <w:rFonts w:ascii="Calibri" w:cs="Calibri" w:eastAsia="Calibri" w:hAnsi="Calibri"/>
          <w:b/>
          <w:bCs/>
          <w:i w:val="false"/>
          <w:iCs w:val="false"/>
          <w:color w:val="374151"/>
          <w:sz w:val="22"/>
          <w:szCs w:val="22"/>
        </w:rPr>
        <w:t xml:space="preserve">TURKPATENT'te marka arastirmasi ve basvurusu (Sinif 9, 35, 36, 38, 42; kelime + logo markasi). Tum kritik alan adlarinin tescili. Sosyal medya hesaplarinin guvence altina alinmasi. Tum ekip uyeleri, danismanlar ve yuklenicilerle NDA imzalatilmasi. Kurucu IP devir sozlesmesinin yurutulmesi. Apple App Store Connect'te uygulama adi rezervasyonu. Kaynak kod telif belgelerinin noter tasdiki.</w:t>
      </w:r>
    </w:p>
    <w:p>
      <w:pPr>
        <w:pStyle w:val="Heading2"/>
        <w:spacing w:after="160" w:before="320"/>
      </w:pPr>
      <w:r>
        <w:rPr>
          <w:rFonts w:ascii="Georgia" w:cs="Georgia" w:eastAsia="Georgia" w:hAnsi="Georgia"/>
          <w:b/>
          <w:bCs/>
          <w:color w:val="FF3300"/>
          <w:sz w:val="26"/>
          <w:szCs w:val="26"/>
        </w:rPr>
        <w:t xml:space="preserve">10.2. Ilk 6 Ay</w:t>
      </w:r>
    </w:p>
    <w:p>
      <w:pPr>
        <w:spacing w:after="80" w:before="80" w:line="360"/>
        <w:jc w:val="left"/>
      </w:pPr>
      <w:r>
        <w:rPr>
          <w:rFonts w:ascii="Calibri" w:cs="Calibri" w:eastAsia="Calibri" w:hAnsi="Calibri"/>
          <w:b w:val="false"/>
          <w:bCs w:val="false"/>
          <w:i w:val="false"/>
          <w:iCs w:val="false"/>
          <w:color w:val="374151"/>
          <w:sz w:val="22"/>
          <w:szCs w:val="22"/>
        </w:rPr>
        <w:t xml:space="preserve">Ay 1-3: TURKPATENT basvuru takibi. Paris Sozlesmesi oncelik hakki kullanilarak EUIPO ve USPTO'ya uluslararasi marka basvurusu. UI ekranlari icin TURKPATENT'te tasarim tescili basvurusu. AI algoritmasi icin patent basvurusu degerlendirmesi.</w:t>
      </w:r>
    </w:p>
    <w:p>
      <w:pPr>
        <w:spacing w:after="80" w:before="80" w:line="360"/>
        <w:jc w:val="left"/>
      </w:pPr>
      <w:r>
        <w:rPr>
          <w:rFonts w:ascii="Calibri" w:cs="Calibri" w:eastAsia="Calibri" w:hAnsi="Calibri"/>
          <w:b w:val="false"/>
          <w:bCs w:val="false"/>
          <w:i w:val="false"/>
          <w:iCs w:val="false"/>
          <w:color w:val="374151"/>
          <w:sz w:val="22"/>
          <w:szCs w:val="22"/>
        </w:rPr>
        <w:t xml:space="preserve">Ay 4-6: Trade dress ispat dosyasinin olusturulmasi. Acik kaynak SBOM denetimi. Uygulama magazasi ihlal izleme, sosyal medya taklit izleme, alan adi squatting izleme ve kuresel marka gozlem servisi kurulumu.</w:t>
      </w:r>
    </w:p>
    <w:p>
      <w:pPr>
        <w:pStyle w:val="Heading2"/>
        <w:spacing w:after="160" w:before="320"/>
      </w:pPr>
      <w:r>
        <w:rPr>
          <w:rFonts w:ascii="Georgia" w:cs="Georgia" w:eastAsia="Georgia" w:hAnsi="Georgia"/>
          <w:b/>
          <w:bCs/>
          <w:color w:val="FF3300"/>
          <w:sz w:val="26"/>
          <w:szCs w:val="26"/>
        </w:rPr>
        <w:t xml:space="preserve">10.3. 12 Ay ve Sonrasi</w:t>
      </w:r>
    </w:p>
    <w:p>
      <w:pPr>
        <w:spacing w:after="80" w:before="80" w:line="360"/>
        <w:jc w:val="left"/>
      </w:pPr>
      <w:r>
        <w:rPr>
          <w:rFonts w:ascii="Calibri" w:cs="Calibri" w:eastAsia="Calibri" w:hAnsi="Calibri"/>
          <w:b w:val="false"/>
          <w:bCs w:val="false"/>
          <w:i w:val="false"/>
          <w:iCs w:val="false"/>
          <w:color w:val="374151"/>
          <w:sz w:val="22"/>
          <w:szCs w:val="22"/>
        </w:rPr>
        <w:t xml:space="preserve">Madrid Protokolu uzerinden ek ulkeleri kapsayan uluslararasi marka basvurusu. PCT patent basvurusu (oncelik tarihinden itibaren 12 ay icinde). Bagimsiz IP danismaniyla kapsamli IP denetimi. Yatirim turu icin IP degerleme raporu. Kaynak kod escrow duzenlemesi.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Faaliyet</w:t>
            </w:r>
          </w:p>
        </w:tc>
        <w:tc>
          <w:tcPr>
            <w:tcW w:type="dxa" w:w="24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Siklik</w:t>
            </w:r>
          </w:p>
        </w:tc>
        <w:tc>
          <w:tcPr>
            <w:tcW w:type="dxa" w:w="30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color w:val="FFFFFF"/>
                <w:sz w:val="20"/>
                <w:szCs w:val="20"/>
              </w:rPr>
              <w:t xml:space="preserve">Not</w:t>
            </w:r>
          </w:p>
        </w:tc>
      </w:tr>
      <w:tr>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Marka yenilemeleri</w:t>
            </w:r>
          </w:p>
        </w:tc>
        <w:tc>
          <w:tcPr>
            <w:tcW w:type="dxa" w:w="24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10 yilda bir (TR)</w:t>
            </w:r>
          </w:p>
        </w:tc>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6 ay oncesinden hatirlatma</w:t>
            </w:r>
          </w:p>
        </w:tc>
      </w:tr>
      <w:tr>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IP portfoy incelemesi</w:t>
            </w:r>
          </w:p>
        </w:tc>
        <w:tc>
          <w:tcPr>
            <w:tcW w:type="dxa" w:w="24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6 ayda bir</w:t>
            </w:r>
          </w:p>
        </w:tc>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Is stratejisiyle uyum</w:t>
            </w:r>
          </w:p>
        </w:tc>
      </w:tr>
      <w:tr>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Izleme ve uygulama</w:t>
            </w:r>
          </w:p>
        </w:tc>
        <w:tc>
          <w:tcPr>
            <w:tcW w:type="dxa" w:w="24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Surekli</w:t>
            </w:r>
          </w:p>
        </w:tc>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Otomatik araclar + manuel</w:t>
            </w:r>
          </w:p>
        </w:tc>
      </w:tr>
      <w:tr>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Calisan IP egitimi</w:t>
            </w:r>
          </w:p>
        </w:tc>
        <w:tc>
          <w:tcPr>
            <w:tcW w:type="dxa" w:w="24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Yillik</w:t>
            </w:r>
          </w:p>
        </w:tc>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Yeni ise alimlar + tazeleme</w:t>
            </w:r>
          </w:p>
        </w:tc>
      </w:tr>
      <w:tr>
        <w:tc>
          <w:tcPr>
            <w:tcW w:type="dxa" w:w="36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Acik kaynak denetimi</w:t>
            </w:r>
          </w:p>
        </w:tc>
        <w:tc>
          <w:tcPr>
            <w:tcW w:type="dxa" w:w="24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3 ayda bir</w:t>
            </w:r>
          </w:p>
        </w:tc>
        <w:tc>
          <w:tcPr>
            <w:tcW w:type="dxa" w:w="30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color w:val="374151"/>
                <w:sz w:val="20"/>
                <w:szCs w:val="20"/>
              </w:rPr>
              <w:t xml:space="preserve">SBOM guncelleme</w:t>
            </w:r>
          </w:p>
        </w:tc>
      </w:tr>
    </w:tbl>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Sonuc</w:t>
      </w:r>
    </w:p>
    <w:p>
      <w:pPr>
        <w:pBdr>
          <w:left w:val="single" w:color="FF3300" w:sz="6" w:space="12"/>
        </w:pBdr>
        <w:spacing w:after="80" w:before="80" w:line="360"/>
        <w:jc w:val="left"/>
      </w:pPr>
      <w:r>
        <w:rPr>
          <w:rFonts w:ascii="Georgia" w:cs="Georgia" w:eastAsia="Georgia" w:hAnsi="Georgia"/>
          <w:b w:val="false"/>
          <w:bCs w:val="false"/>
          <w:i/>
          <w:iCs/>
          <w:color w:val="374151"/>
          <w:sz w:val="22"/>
          <w:szCs w:val="22"/>
        </w:rPr>
        <w:t xml:space="preserve">iyi ki platformu icin en etkili IP stratejisi, tek bir koruma aracina bel baglamak yerine katmanli bir yaklasim benimsemektir. Marka tescili ticari kimligi, telif hakki yazilim kodunu, ticari sir algoritmalari ve is mantigini, tasarim tescili gorsel arayuzu, patent ise teknik buluslari korur.</w:t>
      </w:r>
    </w:p>
    <w:p>
      <w:pPr>
        <w:spacing w:after="0" w:before="40"/>
      </w:pPr>
    </w:p>
    <w:p>
      <w:pPr>
        <w:spacing w:after="80" w:before="80" w:line="360"/>
        <w:jc w:val="left"/>
      </w:pPr>
      <w:r>
        <w:rPr>
          <w:rFonts w:ascii="Calibri" w:cs="Calibri" w:eastAsia="Calibri" w:hAnsi="Calibri"/>
          <w:b/>
          <w:bCs/>
          <w:i w:val="false"/>
          <w:iCs w:val="false"/>
          <w:color w:val="374151"/>
          <w:sz w:val="22"/>
          <w:szCs w:val="22"/>
        </w:rPr>
        <w:t xml:space="preserve">Tum bu koruma mekanizmalarinin etkililigi zamanlamaya baglidir: kamuya aciklama oncesi basvuru, alti aylik Paris oncelik penceresinin stratejik kullanimi ve sistematik izleme, IP portfoyunun degerini belirleyen temel faktorlerdir.</w:t>
      </w:r>
    </w:p>
    <w:p>
      <w:pPr>
        <w:spacing w:after="0" w:before="200"/>
      </w:pPr>
    </w:p>
    <w:p>
      <w:pPr>
        <w:pBdr>
          <w:bottom w:val="single" w:color="FF3300" w:sz="2" w:space="8"/>
        </w:pBdr>
        <w:spacing w:after="300" w:before="300"/>
      </w:pPr>
    </w:p>
    <w:p>
      <w:pPr>
        <w:pStyle w:val="Heading1"/>
        <w:spacing w:after="200" w:before="400"/>
      </w:pPr>
      <w:r>
        <w:rPr>
          <w:rFonts w:ascii="Georgia" w:cs="Georgia" w:eastAsia="Georgia" w:hAnsi="Georgia"/>
          <w:b/>
          <w:bCs/>
          <w:color w:val="0D0D0F"/>
          <w:sz w:val="32"/>
          <w:szCs w:val="32"/>
        </w:rPr>
        <w:t xml:space="preserve">Kaynaklar ve Referanslar</w:t>
      </w:r>
    </w:p>
    <w:p>
      <w:pPr>
        <w:pStyle w:val="Heading2"/>
        <w:spacing w:after="160" w:before="320"/>
      </w:pPr>
      <w:r>
        <w:rPr>
          <w:rFonts w:ascii="Georgia" w:cs="Georgia" w:eastAsia="Georgia" w:hAnsi="Georgia"/>
          <w:b/>
          <w:bCs/>
          <w:color w:val="FF3300"/>
          <w:sz w:val="26"/>
          <w:szCs w:val="26"/>
        </w:rPr>
        <w:t xml:space="preserve">Mevzuat</w:t>
      </w:r>
    </w:p>
    <w:p>
      <w:pPr>
        <w:spacing w:after="80" w:before="80" w:line="360"/>
        <w:jc w:val="left"/>
      </w:pPr>
      <w:r>
        <w:rPr>
          <w:rFonts w:ascii="Calibri" w:cs="Calibri" w:eastAsia="Calibri" w:hAnsi="Calibri"/>
          <w:b w:val="false"/>
          <w:bCs w:val="false"/>
          <w:i w:val="false"/>
          <w:iCs w:val="false"/>
          <w:color w:val="374151"/>
          <w:sz w:val="22"/>
          <w:szCs w:val="22"/>
        </w:rPr>
        <w:t xml:space="preserve">6769 sayili Sinai Mulkiyet Kanunu (SMK) — mevzuat.gov.tr/MevzuatMetin/1.5.6769.pdf</w:t>
      </w:r>
    </w:p>
    <w:p>
      <w:pPr>
        <w:spacing w:after="80" w:before="80" w:line="360"/>
        <w:jc w:val="left"/>
      </w:pPr>
      <w:r>
        <w:rPr>
          <w:rFonts w:ascii="Calibri" w:cs="Calibri" w:eastAsia="Calibri" w:hAnsi="Calibri"/>
          <w:b w:val="false"/>
          <w:bCs w:val="false"/>
          <w:i w:val="false"/>
          <w:iCs w:val="false"/>
          <w:color w:val="374151"/>
          <w:sz w:val="22"/>
          <w:szCs w:val="22"/>
        </w:rPr>
        <w:t xml:space="preserve">5846 sayili Fikir ve Sanat Eserleri Kanunu (FSEK) — mevzuat.gov.tr/MevzuatMetin/5.3.5846.pdf</w:t>
      </w:r>
    </w:p>
    <w:p>
      <w:pPr>
        <w:spacing w:after="80" w:before="80" w:line="360"/>
        <w:jc w:val="left"/>
      </w:pPr>
      <w:r>
        <w:rPr>
          <w:rFonts w:ascii="Calibri" w:cs="Calibri" w:eastAsia="Calibri" w:hAnsi="Calibri"/>
          <w:b w:val="false"/>
          <w:bCs w:val="false"/>
          <w:i w:val="false"/>
          <w:iCs w:val="false"/>
          <w:color w:val="374151"/>
          <w:sz w:val="22"/>
          <w:szCs w:val="22"/>
        </w:rPr>
        <w:t xml:space="preserve">6102 sayili Turk Ticaret Kanunu (TTK) — mevzuat.gov.tr/mevzuatmetin/1.5.6102.pdf</w:t>
      </w:r>
    </w:p>
    <w:p>
      <w:pPr>
        <w:spacing w:after="80" w:before="80" w:line="360"/>
        <w:jc w:val="left"/>
      </w:pPr>
      <w:r>
        <w:rPr>
          <w:rFonts w:ascii="Calibri" w:cs="Calibri" w:eastAsia="Calibri" w:hAnsi="Calibri"/>
          <w:b w:val="false"/>
          <w:bCs w:val="false"/>
          <w:i w:val="false"/>
          <w:iCs w:val="false"/>
          <w:color w:val="374151"/>
          <w:sz w:val="22"/>
          <w:szCs w:val="22"/>
        </w:rPr>
        <w:t xml:space="preserve">6098 sayili Turk Borclar Kanunu (TBK) — mevzuat.gov.tr/mevzuatmetin/1.5.6098.pdf</w:t>
      </w:r>
    </w:p>
    <w:p>
      <w:pPr>
        <w:spacing w:after="80" w:before="80" w:line="360"/>
        <w:jc w:val="left"/>
      </w:pPr>
      <w:r>
        <w:rPr>
          <w:rFonts w:ascii="Calibri" w:cs="Calibri" w:eastAsia="Calibri" w:hAnsi="Calibri"/>
          <w:b w:val="false"/>
          <w:bCs w:val="false"/>
          <w:i w:val="false"/>
          <w:iCs w:val="false"/>
          <w:color w:val="374151"/>
          <w:sz w:val="22"/>
          <w:szCs w:val="22"/>
        </w:rPr>
        <w:t xml:space="preserve">5237 sayili Turk Ceza Kanunu (TCK) Madde 239 — ticari sir ifsasi</w:t>
      </w:r>
    </w:p>
    <w:p>
      <w:pPr>
        <w:pStyle w:val="Heading2"/>
        <w:spacing w:after="160" w:before="320"/>
      </w:pPr>
      <w:r>
        <w:rPr>
          <w:rFonts w:ascii="Georgia" w:cs="Georgia" w:eastAsia="Georgia" w:hAnsi="Georgia"/>
          <w:b/>
          <w:bCs/>
          <w:color w:val="FF3300"/>
          <w:sz w:val="26"/>
          <w:szCs w:val="26"/>
        </w:rPr>
        <w:t xml:space="preserve">Uluslararasi Antlasmalar</w:t>
      </w:r>
    </w:p>
    <w:p>
      <w:pPr>
        <w:spacing w:after="80" w:before="80" w:line="360"/>
        <w:jc w:val="left"/>
      </w:pPr>
      <w:r>
        <w:rPr>
          <w:rFonts w:ascii="Calibri" w:cs="Calibri" w:eastAsia="Calibri" w:hAnsi="Calibri"/>
          <w:b w:val="false"/>
          <w:bCs w:val="false"/>
          <w:i w:val="false"/>
          <w:iCs w:val="false"/>
          <w:color w:val="374151"/>
          <w:sz w:val="22"/>
          <w:szCs w:val="22"/>
        </w:rPr>
        <w:t xml:space="preserve">Paris Sozlesmesi — wipo.int/en/web/treaties/ip/paris/summary_paris</w:t>
      </w:r>
    </w:p>
    <w:p>
      <w:pPr>
        <w:spacing w:after="80" w:before="80" w:line="360"/>
        <w:jc w:val="left"/>
      </w:pPr>
      <w:r>
        <w:rPr>
          <w:rFonts w:ascii="Calibri" w:cs="Calibri" w:eastAsia="Calibri" w:hAnsi="Calibri"/>
          <w:b w:val="false"/>
          <w:bCs w:val="false"/>
          <w:i w:val="false"/>
          <w:iCs w:val="false"/>
          <w:color w:val="374151"/>
          <w:sz w:val="22"/>
          <w:szCs w:val="22"/>
        </w:rPr>
        <w:t xml:space="preserve">Bern Sozlesmesi — wipo.int/treaties/en/notifications/berne/treaty_berne_171.html</w:t>
      </w:r>
    </w:p>
    <w:p>
      <w:pPr>
        <w:spacing w:after="80" w:before="80" w:line="360"/>
        <w:jc w:val="left"/>
      </w:pPr>
      <w:r>
        <w:rPr>
          <w:rFonts w:ascii="Calibri" w:cs="Calibri" w:eastAsia="Calibri" w:hAnsi="Calibri"/>
          <w:b w:val="false"/>
          <w:bCs w:val="false"/>
          <w:i w:val="false"/>
          <w:iCs w:val="false"/>
          <w:color w:val="374151"/>
          <w:sz w:val="22"/>
          <w:szCs w:val="22"/>
        </w:rPr>
        <w:t xml:space="preserve">Patent Cooperation Treaty (PCT) — wipo.int/en/web/pct-system</w:t>
      </w:r>
    </w:p>
    <w:p>
      <w:pPr>
        <w:spacing w:after="80" w:before="80" w:line="360"/>
        <w:jc w:val="left"/>
      </w:pPr>
      <w:r>
        <w:rPr>
          <w:rFonts w:ascii="Calibri" w:cs="Calibri" w:eastAsia="Calibri" w:hAnsi="Calibri"/>
          <w:b w:val="false"/>
          <w:bCs w:val="false"/>
          <w:i w:val="false"/>
          <w:iCs w:val="false"/>
          <w:color w:val="374151"/>
          <w:sz w:val="22"/>
          <w:szCs w:val="22"/>
        </w:rPr>
        <w:t xml:space="preserve">Madrid Protokolu — wipo.int/en/web/madrid-system</w:t>
      </w:r>
    </w:p>
    <w:p>
      <w:pPr>
        <w:spacing w:after="80" w:before="80" w:line="360"/>
        <w:jc w:val="left"/>
      </w:pPr>
      <w:r>
        <w:rPr>
          <w:rFonts w:ascii="Calibri" w:cs="Calibri" w:eastAsia="Calibri" w:hAnsi="Calibri"/>
          <w:b w:val="false"/>
          <w:bCs w:val="false"/>
          <w:i w:val="false"/>
          <w:iCs w:val="false"/>
          <w:color w:val="374151"/>
          <w:sz w:val="22"/>
          <w:szCs w:val="22"/>
        </w:rPr>
        <w:t xml:space="preserve">Hague Sistemi (Tasarim) — wipo.int/hague/en/</w:t>
      </w:r>
    </w:p>
    <w:p>
      <w:pPr>
        <w:pStyle w:val="Heading2"/>
        <w:spacing w:after="160" w:before="320"/>
      </w:pPr>
      <w:r>
        <w:rPr>
          <w:rFonts w:ascii="Georgia" w:cs="Georgia" w:eastAsia="Georgia" w:hAnsi="Georgia"/>
          <w:b/>
          <w:bCs/>
          <w:color w:val="FF3300"/>
          <w:sz w:val="26"/>
          <w:szCs w:val="26"/>
        </w:rPr>
        <w:t xml:space="preserve">Kurumlar</w:t>
      </w:r>
    </w:p>
    <w:p>
      <w:pPr>
        <w:spacing w:after="80" w:before="80" w:line="360"/>
        <w:jc w:val="left"/>
      </w:pPr>
      <w:r>
        <w:rPr>
          <w:rFonts w:ascii="Calibri" w:cs="Calibri" w:eastAsia="Calibri" w:hAnsi="Calibri"/>
          <w:b w:val="false"/>
          <w:bCs w:val="false"/>
          <w:i w:val="false"/>
          <w:iCs w:val="false"/>
          <w:color w:val="374151"/>
          <w:sz w:val="22"/>
          <w:szCs w:val="22"/>
        </w:rPr>
        <w:t xml:space="preserve">TURKPATENT — turkpatent.gov.tr</w:t>
      </w:r>
    </w:p>
    <w:p>
      <w:pPr>
        <w:spacing w:after="80" w:before="80" w:line="360"/>
        <w:jc w:val="left"/>
      </w:pPr>
      <w:r>
        <w:rPr>
          <w:rFonts w:ascii="Calibri" w:cs="Calibri" w:eastAsia="Calibri" w:hAnsi="Calibri"/>
          <w:b w:val="false"/>
          <w:bCs w:val="false"/>
          <w:i w:val="false"/>
          <w:iCs w:val="false"/>
          <w:color w:val="374151"/>
          <w:sz w:val="22"/>
          <w:szCs w:val="22"/>
        </w:rPr>
        <w:t xml:space="preserve">EUIPO — euipo.europa.eu</w:t>
      </w:r>
    </w:p>
    <w:p>
      <w:pPr>
        <w:spacing w:after="80" w:before="80" w:line="360"/>
        <w:jc w:val="left"/>
      </w:pPr>
      <w:r>
        <w:rPr>
          <w:rFonts w:ascii="Calibri" w:cs="Calibri" w:eastAsia="Calibri" w:hAnsi="Calibri"/>
          <w:b w:val="false"/>
          <w:bCs w:val="false"/>
          <w:i w:val="false"/>
          <w:iCs w:val="false"/>
          <w:color w:val="374151"/>
          <w:sz w:val="22"/>
          <w:szCs w:val="22"/>
        </w:rPr>
        <w:t xml:space="preserve">USPTO — uspto.gov</w:t>
      </w:r>
    </w:p>
    <w:p>
      <w:pPr>
        <w:spacing w:after="80" w:before="80" w:line="360"/>
        <w:jc w:val="left"/>
      </w:pPr>
      <w:r>
        <w:rPr>
          <w:rFonts w:ascii="Calibri" w:cs="Calibri" w:eastAsia="Calibri" w:hAnsi="Calibri"/>
          <w:b w:val="false"/>
          <w:bCs w:val="false"/>
          <w:i w:val="false"/>
          <w:iCs w:val="false"/>
          <w:color w:val="374151"/>
          <w:sz w:val="22"/>
          <w:szCs w:val="22"/>
        </w:rPr>
        <w:t xml:space="preserve">WIPO — wipo.int</w:t>
      </w:r>
    </w:p>
    <w:p>
      <w:pPr>
        <w:spacing w:after="80" w:before="80" w:line="360"/>
        <w:jc w:val="left"/>
      </w:pPr>
      <w:r>
        <w:rPr>
          <w:rFonts w:ascii="Calibri" w:cs="Calibri" w:eastAsia="Calibri" w:hAnsi="Calibri"/>
          <w:b w:val="false"/>
          <w:bCs w:val="false"/>
          <w:i w:val="false"/>
          <w:iCs w:val="false"/>
          <w:color w:val="374151"/>
          <w:sz w:val="22"/>
          <w:szCs w:val="22"/>
        </w:rPr>
        <w:t xml:space="preserve">TRABIS — trabis.gov.tr</w:t>
      </w:r>
    </w:p>
    <w:p>
      <w:pPr>
        <w:spacing w:after="80" w:before="80" w:line="360"/>
        <w:jc w:val="left"/>
      </w:pPr>
      <w:r>
        <w:rPr>
          <w:rFonts w:ascii="Calibri" w:cs="Calibri" w:eastAsia="Calibri" w:hAnsi="Calibri"/>
          <w:b w:val="false"/>
          <w:bCs w:val="false"/>
          <w:i w:val="false"/>
          <w:iCs w:val="false"/>
          <w:color w:val="374151"/>
          <w:sz w:val="22"/>
          <w:szCs w:val="22"/>
        </w:rPr>
        <w:t xml:space="preserve">ICANN UDRP — icann.org/resources/pages/udrp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B1FBD38020C4D54987E4A0113C02364A" ma:contentTypeVersion="13" ma:contentTypeDescription="Yeni belge oluşturun." ma:contentTypeScope="" ma:versionID="5e59ebce84092db270c7bb3b7bc1c30e">
  <xsd:schema xmlns:xsd="http://www.w3.org/2001/XMLSchema" xmlns:xs="http://www.w3.org/2001/XMLSchema" xmlns:p="http://schemas.microsoft.com/office/2006/metadata/properties" xmlns:ns2="440456e3-d705-4d3a-96db-197d298ed411" xmlns:ns3="3600ea45-c3f0-4f93-8cb7-c12fe39669b1" targetNamespace="http://schemas.microsoft.com/office/2006/metadata/properties" ma:root="true" ma:fieldsID="9e10631fae9303c6fa52d2d34fb5a074" ns2:_="" ns3:_="">
    <xsd:import namespace="440456e3-d705-4d3a-96db-197d298ed411"/>
    <xsd:import namespace="3600ea45-c3f0-4f93-8cb7-c12fe39669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_Flow_Signoff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456e3-d705-4d3a-96db-197d298ed4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Flow_SignoffStatus" ma:index="12" nillable="true" ma:displayName="Onay durumu" ma:internalName="_x0024_Resources_x003a_core_x002c_Signoff_Status">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Resim Etiketleri" ma:readOnly="false" ma:fieldId="{5cf76f15-5ced-4ddc-b409-7134ff3c332f}" ma:taxonomyMulti="true" ma:sspId="36bd854f-1948-4f99-978a-38efe6c92f5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00ea45-c3f0-4f93-8cb7-c12fe39669b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39429c4-ac62-4af5-8e8c-5c343eeec0cc}" ma:internalName="TaxCatchAll" ma:showField="CatchAllData" ma:web="3600ea45-c3f0-4f93-8cb7-c12fe39669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40456e3-d705-4d3a-96db-197d298ed411" xsi:nil="true"/>
    <TaxCatchAll xmlns="3600ea45-c3f0-4f93-8cb7-c12fe39669b1" xsi:nil="true"/>
    <lcf76f155ced4ddcb4097134ff3c332f xmlns="440456e3-d705-4d3a-96db-197d298ed4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B07BDE-3230-4FAD-A3EB-373FED79CDAD}"/>
</file>

<file path=customXml/itemProps2.xml><?xml version="1.0" encoding="utf-8"?>
<ds:datastoreItem xmlns:ds="http://schemas.openxmlformats.org/officeDocument/2006/customXml" ds:itemID="{08CEBE94-FEAE-47E4-AADD-624BF7F917F5}"/>
</file>

<file path=customXml/itemProps3.xml><?xml version="1.0" encoding="utf-8"?>
<ds:datastoreItem xmlns:ds="http://schemas.openxmlformats.org/officeDocument/2006/customXml" ds:itemID="{90A84043-E315-49C7-B9CA-1CF72FFF5D9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2026-04-06T06:25:14Z</dcterms:created>
  <dcterms:modified xsi:type="dcterms:W3CDTF">2026-04-06T06:25:14Z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0x010100B1FBD38020C4D54987E4A0113C02364A</vt:lpwstr>
  </property>
</Properties>
</file>