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left"/>
      </w:pPr>
      <w:r>
        <w:rPr>
          <w:rFonts w:ascii="Arial" w:hAnsi="Arial"/>
          <w:b/>
          <w:color w:val="E31837"/>
          <w:sz w:val="76"/>
        </w:rPr>
        <w:t>TECH MAHINDRA</w:t>
      </w:r>
    </w:p>
    <w:p>
      <w:pPr>
        <w:jc w:val="left"/>
      </w:pPr>
      <w:r>
        <w:rPr>
          <w:rFonts w:ascii="Arial" w:hAnsi="Arial"/>
          <w:b/>
          <w:color w:val="00205B"/>
          <w:sz w:val="44"/>
        </w:rPr>
        <w:t>STRATEGIC CONSULTING</w:t>
      </w:r>
    </w:p>
    <w:p>
      <w:r>
        <w:br/>
        <w:br/>
        <w:br/>
      </w:r>
    </w:p>
    <w:p>
      <w:pPr>
        <w:jc w:val="left"/>
      </w:pPr>
      <w:r>
        <w:rPr>
          <w:b/>
          <w:color w:val="00205B"/>
          <w:sz w:val="52"/>
        </w:rPr>
        <w:t>Solution Proposal &amp; Strategic Blueprint</w:t>
      </w:r>
    </w:p>
    <w:p>
      <w:pPr>
        <w:jc w:val="left"/>
      </w:pPr>
      <w:r>
        <w:rPr>
          <w:color w:val="696969"/>
          <w:sz w:val="28"/>
        </w:rPr>
        <w:t>Prepared exclusively for: AlphaCorp</w:t>
      </w:r>
    </w:p>
    <w:p>
      <w:r>
        <w:br/>
        <w:br/>
        <w:br/>
        <w:br/>
        <w:br/>
        <w:br/>
      </w:r>
    </w:p>
    <w:p>
      <w:pPr>
        <w:jc w:val="left"/>
      </w:pPr>
      <w:r>
        <w:rPr>
          <w:b/>
          <w:color w:val="E31837"/>
          <w:sz w:val="24"/>
        </w:rPr>
        <w:t>STRICTLY CONFIDENTIAL</w:t>
      </w:r>
    </w:p>
    <w:p>
      <w:pPr>
        <w:jc w:val="left"/>
      </w:pPr>
      <w:r>
        <w:rPr>
          <w:color w:val="696969"/>
          <w:sz w:val="22"/>
        </w:rPr>
        <w:t>Date: 27 April 2026</w:t>
        <w:br/>
        <w:t>Version: 1.0 (Final Draft)</w:t>
      </w:r>
    </w:p>
    <w:p>
      <w:r>
        <w:br w:type="page"/>
      </w:r>
    </w:p>
    <w:p>
      <w:pPr>
        <w:pStyle w:val="Heading1"/>
        <w:pBdr>
          <w:bottom w:val="single" w:sz="16" w:space="1" w:color="E31837"/>
        </w:pBdr>
      </w:pPr>
      <w:r>
        <w:rPr>
          <w:rFonts w:ascii="Arial" w:hAnsi="Arial"/>
          <w:color w:val="00205B"/>
        </w:rPr>
        <w:t>Tech Mahindra – Strategic Proposal</w:t>
      </w:r>
    </w:p>
    <w:p>
      <w:pPr>
        <w:pStyle w:val="Heading1"/>
        <w:pBdr>
          <w:bottom w:val="single" w:sz="16" w:space="1" w:color="E31837"/>
        </w:pBdr>
      </w:pPr>
      <w:r>
        <w:rPr>
          <w:rFonts w:ascii="Arial" w:hAnsi="Arial"/>
          <w:color w:val="00205B"/>
        </w:rPr>
        <w:t>Executive Summary</w:t>
      </w:r>
    </w:p>
    <w:p>
      <w:pPr>
        <w:pStyle w:val="ListBullet"/>
      </w:pPr>
      <w:r>
        <w:rPr>
          <w:sz w:val="22"/>
        </w:rPr>
        <w:t>We will drive growth.</w:t>
      </w:r>
    </w:p>
    <w:p>
      <w:pPr>
        <w:pStyle w:val="Heading1"/>
        <w:pBdr>
          <w:bottom w:val="single" w:sz="16" w:space="1" w:color="E31837"/>
        </w:pBdr>
      </w:pPr>
      <w:r>
        <w:rPr>
          <w:rFonts w:ascii="Arial" w:hAnsi="Arial"/>
          <w:color w:val="00205B"/>
        </w:rPr>
        <w:t>Architecture Blueprint</w:t>
      </w:r>
    </w:p>
    <w:p>
      <w:pPr>
        <w:pStyle w:val="ListBullet"/>
      </w:pPr>
      <w:r>
        <w:rPr>
          <w:sz w:val="22"/>
        </w:rPr>
        <w:t>`mermaid</w:t>
      </w:r>
    </w:p>
    <w:p>
      <w:pPr>
        <w:pStyle w:val="ListBullet"/>
      </w:pPr>
      <w:r>
        <w:rPr>
          <w:sz w:val="22"/>
        </w:rPr>
        <w:t>flowchart TD</w:t>
      </w:r>
    </w:p>
    <w:p>
      <w:pPr>
        <w:pStyle w:val="ListBullet"/>
      </w:pPr>
      <w:r>
        <w:rPr>
          <w:sz w:val="22"/>
        </w:rPr>
        <w:t>A[Client] --&gt; B[TechM Platform]</w:t>
      </w:r>
    </w:p>
    <w:p>
      <w:pPr>
        <w:pStyle w:val="ListBullet"/>
      </w:pPr>
      <w:r>
        <w:rPr>
          <w:sz w:val="22"/>
        </w:rPr>
        <w:t>`</w:t>
      </w:r>
    </w:p>
    <w:p>
      <w:pPr>
        <w:pStyle w:val="Heading1"/>
        <w:pBdr>
          <w:bottom w:val="single" w:sz="16" w:space="1" w:color="E31837"/>
        </w:pBdr>
      </w:pPr>
      <w:r>
        <w:rPr>
          <w:rFonts w:ascii="Arial" w:hAnsi="Arial"/>
          <w:color w:val="00205B"/>
        </w:rPr>
        <w:t>Commercials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205B" w:color="auto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80"/>
            <w:shd w:fill="00205B" w:color="auto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680"/>
            <w:shd w:fill="F0F2F5" w:color="auto" w:val="clear"/>
            <w:vAlign w:val="center"/>
          </w:tcPr>
          <w:p>
            <w:r>
              <w:rPr>
                <w:rFonts w:ascii="Arial" w:hAnsi="Arial"/>
                <w:sz w:val="20"/>
              </w:rPr>
              <w:t>Architect</w:t>
            </w:r>
          </w:p>
        </w:tc>
        <w:tc>
          <w:tcPr>
            <w:tcW w:type="dxa" w:w="4680"/>
            <w:shd w:fill="F0F2F5" w:color="auto" w:val="clear"/>
            <w:vAlign w:val="center"/>
          </w:tcPr>
          <w:p>
            <w:r>
              <w:rPr>
                <w:rFonts w:ascii="Arial" w:hAnsi="Arial"/>
                <w:sz w:val="20"/>
              </w:rPr>
              <w:t>/hr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6" w:space="1" w:color="E31837"/>
        </w:pBdr>
      </w:pPr>
      <w:r>
        <w:rPr>
          <w:rFonts w:ascii="Arial" w:hAnsi="Arial"/>
          <w:color w:val="696969"/>
        </w:rPr>
        <w:t>Appendix: Detailed Diagnostic Analysis</w:t>
      </w:r>
    </w:p>
    <w:p>
      <w:pPr>
        <w:pStyle w:val="Heading2"/>
      </w:pPr>
      <w:r>
        <w:rPr>
          <w:rFonts w:ascii="Arial" w:hAnsi="Arial"/>
          <w:color w:val="00205B"/>
        </w:rPr>
        <w:t>Requirements Analysis</w:t>
      </w:r>
    </w:p>
    <w:p>
      <w:pPr>
        <w:pStyle w:val="ListBullet"/>
      </w:pPr>
      <w:r>
        <w:rPr>
          <w:sz w:val="20"/>
        </w:rPr>
        <w:t>Requirements</w:t>
      </w:r>
    </w:p>
    <w:p>
      <w:pPr>
        <w:pStyle w:val="ListBullet"/>
      </w:pPr>
      <w:r>
        <w:rPr>
          <w:sz w:val="20"/>
        </w:rPr>
        <w:t>Cloud migration</w:t>
      </w:r>
    </w:p>
    <w:p>
      <w:pPr>
        <w:pStyle w:val="ListBullet"/>
      </w:pPr>
      <w:r>
        <w:rPr>
          <w:sz w:val="20"/>
        </w:rPr>
        <w:t>6-month delivery</w:t>
      </w:r>
    </w:p>
    <w:p>
      <w:pPr>
        <w:pStyle w:val="Heading2"/>
      </w:pPr>
      <w:r>
        <w:rPr>
          <w:rFonts w:ascii="Arial" w:hAnsi="Arial"/>
          <w:color w:val="00205B"/>
        </w:rPr>
        <w:t>Architecture Blueprint</w:t>
      </w:r>
    </w:p>
    <w:p>
      <w:pPr>
        <w:pStyle w:val="ListBullet"/>
      </w:pPr>
      <w:r>
        <w:rPr>
          <w:sz w:val="20"/>
        </w:rPr>
        <w:t>Architecture</w:t>
      </w:r>
    </w:p>
    <w:p>
      <w:pPr>
        <w:pStyle w:val="ListBullet"/>
      </w:pPr>
      <w:r>
        <w:rPr>
          <w:sz w:val="20"/>
        </w:rPr>
        <w:t>Cloud-native solution.</w:t>
      </w:r>
    </w:p>
    <w:p>
      <w:pPr>
        <w:pStyle w:val="Heading2"/>
      </w:pPr>
      <w:r>
        <w:rPr>
          <w:rFonts w:ascii="Arial" w:hAnsi="Arial"/>
          <w:color w:val="00205B"/>
        </w:rPr>
        <w:t>Commercials &amp; ROI</w:t>
      </w:r>
    </w:p>
    <w:p>
      <w:pPr>
        <w:pStyle w:val="ListBullet"/>
      </w:pPr>
      <w:r>
        <w:rPr>
          <w:sz w:val="20"/>
        </w:rPr>
        <w:t>Rate Card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205B" w:color="auto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80"/>
            <w:shd w:fill="00205B" w:color="auto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680"/>
            <w:shd w:fill="F0F2F5" w:color="auto" w:val="clear"/>
            <w:vAlign w:val="center"/>
          </w:tcPr>
          <w:p>
            <w:r>
              <w:rPr>
                <w:rFonts w:ascii="Arial" w:hAnsi="Arial"/>
                <w:sz w:val="20"/>
              </w:rPr>
              <w:t>Architect</w:t>
            </w:r>
          </w:p>
        </w:tc>
        <w:tc>
          <w:tcPr>
            <w:tcW w:type="dxa" w:w="4680"/>
            <w:shd w:fill="F0F2F5" w:color="auto" w:val="clear"/>
            <w:vAlign w:val="center"/>
          </w:tcPr>
          <w:p>
            <w:r>
              <w:rPr>
                <w:rFonts w:ascii="Arial" w:hAnsi="Arial"/>
                <w:sz w:val="20"/>
              </w:rPr>
              <w:t>/hr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6"/>
      </w:rPr>
      <w:t>Proprietary and Confidential  |  Prepared strictly for AlphaCorp  |  April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96969"/>
        <w:sz w:val="16"/>
      </w:rPr>
      <w:t>TECH MAHINDRA CONSULTING | HIGHLY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