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left"/>
      </w:pPr>
      <w:r>
        <w:drawing>
          <wp:inline xmlns:a="http://schemas.openxmlformats.org/drawingml/2006/main" xmlns:pic="http://schemas.openxmlformats.org/drawingml/2006/picture">
            <wp:extent cx="3200400" cy="1232154"/>
            <wp:docPr id="1" name="Picture 1"/>
            <wp:cNvGraphicFramePr>
              <a:graphicFrameLocks noChangeAspect="1"/>
            </wp:cNvGraphicFramePr>
            <a:graphic>
              <a:graphicData uri="http://schemas.openxmlformats.org/drawingml/2006/picture">
                <pic:pic>
                  <pic:nvPicPr>
                    <pic:cNvPr id="0" name="techm_logo.jpg"/>
                    <pic:cNvPicPr/>
                  </pic:nvPicPr>
                  <pic:blipFill>
                    <a:blip r:embed="rId11"/>
                    <a:stretch>
                      <a:fillRect/>
                    </a:stretch>
                  </pic:blipFill>
                  <pic:spPr>
                    <a:xfrm>
                      <a:off x="0" y="0"/>
                      <a:ext cx="3200400" cy="1232154"/>
                    </a:xfrm>
                    <a:prstGeom prst="rect"/>
                  </pic:spPr>
                </pic:pic>
              </a:graphicData>
            </a:graphic>
          </wp:inline>
        </w:drawing>
      </w:r>
    </w:p>
    <w:p>
      <w:pPr>
        <w:jc w:val="left"/>
      </w:pPr>
      <w:r>
        <w:rPr>
          <w:rFonts w:ascii="Arial" w:hAnsi="Arial"/>
          <w:b/>
          <w:color w:val="00205B"/>
          <w:sz w:val="44"/>
        </w:rPr>
        <w:t>STRATEGIC CONSULTING</w:t>
      </w:r>
    </w:p>
    <w:p>
      <w:r>
        <w:br/>
        <w:br/>
        <w:br/>
      </w:r>
    </w:p>
    <w:p>
      <w:pPr>
        <w:jc w:val="left"/>
      </w:pPr>
      <w:r>
        <w:rPr>
          <w:b/>
          <w:color w:val="00205B"/>
          <w:sz w:val="52"/>
        </w:rPr>
        <w:t>Solution Proposal &amp; Strategic Blueprint</w:t>
      </w:r>
    </w:p>
    <w:p>
      <w:pPr>
        <w:jc w:val="left"/>
      </w:pPr>
      <w:r>
        <w:rPr>
          <w:color w:val="696969"/>
          <w:sz w:val="28"/>
        </w:rPr>
        <w:t>Prepared exclusively for: HDFC</w:t>
      </w:r>
    </w:p>
    <w:p>
      <w:r>
        <w:br/>
        <w:br/>
        <w:br/>
        <w:br/>
        <w:br/>
        <w:br/>
      </w:r>
    </w:p>
    <w:p>
      <w:pPr>
        <w:jc w:val="left"/>
      </w:pPr>
      <w:r>
        <w:rPr>
          <w:b/>
          <w:color w:val="E31837"/>
          <w:sz w:val="24"/>
        </w:rPr>
        <w:t>STRICTLY CONFIDENTIAL</w:t>
      </w:r>
    </w:p>
    <w:p>
      <w:pPr>
        <w:jc w:val="left"/>
      </w:pPr>
      <w:r>
        <w:rPr>
          <w:color w:val="696969"/>
          <w:sz w:val="22"/>
        </w:rPr>
        <w:t>Date: 27 April 2026</w:t>
        <w:br/>
        <w:t>Version: 1.0 (Final Draft)</w:t>
      </w:r>
    </w:p>
    <w:p>
      <w:r>
        <w:br w:type="page"/>
      </w:r>
    </w:p>
    <w:p>
      <w:pPr>
        <w:pStyle w:val="Heading1"/>
        <w:pBdr>
          <w:bottom w:val="single" w:sz="16" w:space="1" w:color="E31837"/>
        </w:pBdr>
      </w:pPr>
      <w:r>
        <w:rPr>
          <w:rFonts w:ascii="Arial" w:hAnsi="Arial"/>
          <w:color w:val="00205B"/>
        </w:rPr>
        <w:t>Tech Mahindra – Solution Proposal for HDFC Bank</w:t>
      </w:r>
    </w:p>
    <w:p>
      <w:pPr>
        <w:pStyle w:val="Heading1"/>
        <w:pBdr>
          <w:bottom w:val="single" w:sz="16" w:space="1" w:color="E31837"/>
        </w:pBdr>
      </w:pPr>
      <w:r>
        <w:rPr>
          <w:rFonts w:ascii="Arial" w:hAnsi="Arial"/>
          <w:color w:val="00205B"/>
        </w:rPr>
        <w:t>1. Executive Summary</w:t>
      </w:r>
    </w:p>
    <w:p>
      <w:pPr>
        <w:pStyle w:val="ListBullet"/>
      </w:pPr>
      <w:r>
        <w:rPr>
          <w:sz w:val="22"/>
        </w:rPr>
        <w:t>We are pleased to submit this proposal for HDFC Bank's Core Banking System (CBS) modernization project. Our team at Tech Mahindra has a proven track record of delivering successful digital transformation projects for leading financial institutions. We propose a cloud-native core banking platform evaluation, establishment of a long-term strategic technology partnership, and ensuring RBI regulatory compliance. Our solution will improve system uptime and reliability, enhance scalability to support HDFC Bank's growing customer base, and address digital channel gaps.</w:t>
      </w:r>
    </w:p>
    <w:p>
      <w:pPr>
        <w:pStyle w:val="ListBullet"/>
      </w:pPr>
      <w:r>
        <w:rPr>
          <w:sz w:val="22"/>
        </w:rPr>
        <w:t>Our proposed solution is designed to meet HDFC Bank's key requirements, including:</w:t>
      </w:r>
    </w:p>
    <w:p>
      <w:pPr>
        <w:pStyle w:val="ListBullet"/>
      </w:pPr>
      <w:r>
        <w:rPr>
          <w:sz w:val="22"/>
        </w:rPr>
        <w:t>Core Banking System (CBS) modernization</w:t>
      </w:r>
    </w:p>
    <w:p>
      <w:pPr>
        <w:pStyle w:val="ListBullet"/>
      </w:pPr>
      <w:r>
        <w:rPr>
          <w:sz w:val="22"/>
        </w:rPr>
        <w:t>Cloud-native core banking platforms evaluation</w:t>
      </w:r>
    </w:p>
    <w:p>
      <w:pPr>
        <w:pStyle w:val="ListBullet"/>
      </w:pPr>
      <w:r>
        <w:rPr>
          <w:sz w:val="22"/>
        </w:rPr>
        <w:t>Establishment of a long-term strategic technology partnership</w:t>
      </w:r>
    </w:p>
    <w:p>
      <w:pPr>
        <w:pStyle w:val="ListBullet"/>
      </w:pPr>
      <w:r>
        <w:rPr>
          <w:sz w:val="22"/>
        </w:rPr>
        <w:t>Ensuring RBI regulatory compliance post-upgrade</w:t>
      </w:r>
    </w:p>
    <w:p>
      <w:pPr>
        <w:pStyle w:val="ListBullet"/>
      </w:pPr>
      <w:r>
        <w:rPr>
          <w:sz w:val="22"/>
        </w:rPr>
        <w:t>We believe that our solution will provide HDFC Bank with a scalable, secure, and reliable core banking system that meets the needs of its growing customer base.</w:t>
      </w:r>
    </w:p>
    <w:p>
      <w:pPr>
        <w:pStyle w:val="Heading1"/>
        <w:pBdr>
          <w:bottom w:val="single" w:sz="16" w:space="1" w:color="E31837"/>
        </w:pBdr>
      </w:pPr>
      <w:r>
        <w:rPr>
          <w:rFonts w:ascii="Arial" w:hAnsi="Arial"/>
          <w:color w:val="00205B"/>
        </w:rPr>
        <w:t>2. Understanding Your Challenge</w:t>
      </w:r>
    </w:p>
    <w:p>
      <w:pPr>
        <w:pStyle w:val="ListBullet"/>
      </w:pPr>
      <w:r>
        <w:rPr>
          <w:sz w:val="22"/>
        </w:rPr>
        <w:t>HDFC Bank is one of India's largest private sector banks, serving over 88 million customers across 8,700+ branches and 21,000+ ATMs. With a balance sheet size exceeding ₹35 trillion and a market capitalisation of ~₹12 trillion, HDFC Bank requires a robust and scalable core banking system to support its growth. However, the existing legacy monolithic architecture is no longer able to meet the demands of digital channels and scalability.</w:t>
      </w:r>
    </w:p>
    <w:p>
      <w:pPr>
        <w:pStyle w:val="ListBullet"/>
      </w:pPr>
      <w:r>
        <w:rPr>
          <w:sz w:val="22"/>
        </w:rPr>
        <w:t>The key challenges that HDFC Bank faces include:</w:t>
      </w:r>
    </w:p>
    <w:p>
      <w:pPr>
        <w:pStyle w:val="ListBullet"/>
      </w:pPr>
      <w:r>
        <w:rPr>
          <w:sz w:val="22"/>
        </w:rPr>
        <w:t>Inability to support growing customer base and increasing transaction volumes</w:t>
      </w:r>
    </w:p>
    <w:p>
      <w:pPr>
        <w:pStyle w:val="ListBullet"/>
      </w:pPr>
      <w:r>
        <w:rPr>
          <w:sz w:val="22"/>
        </w:rPr>
        <w:t>Limited scalability and flexibility to adapt to changing business needs</w:t>
      </w:r>
    </w:p>
    <w:p>
      <w:pPr>
        <w:pStyle w:val="ListBullet"/>
      </w:pPr>
      <w:r>
        <w:rPr>
          <w:sz w:val="22"/>
        </w:rPr>
        <w:t>Compliance with RBI regulatory requirements for core banking systems</w:t>
      </w:r>
    </w:p>
    <w:p>
      <w:pPr>
        <w:pStyle w:val="ListBullet"/>
      </w:pPr>
      <w:r>
        <w:rPr>
          <w:sz w:val="22"/>
        </w:rPr>
        <w:t>High maintenance costs and downtime due to legacy system limitations</w:t>
      </w:r>
    </w:p>
    <w:p>
      <w:pPr>
        <w:pStyle w:val="Heading1"/>
        <w:pBdr>
          <w:bottom w:val="single" w:sz="16" w:space="1" w:color="E31837"/>
        </w:pBdr>
      </w:pPr>
      <w:r>
        <w:rPr>
          <w:rFonts w:ascii="Arial" w:hAnsi="Arial"/>
          <w:color w:val="00205B"/>
        </w:rPr>
        <w:t>3. Our Proposed Solution</w:t>
      </w:r>
    </w:p>
    <w:p>
      <w:pPr>
        <w:pStyle w:val="ListBullet"/>
      </w:pPr>
      <w:r>
        <w:rPr>
          <w:sz w:val="22"/>
        </w:rPr>
        <w:t>Our proposed solution for HDFC Bank's Core Banking System (CBS) modernization project is designed to address the key challenges and requirements outlined above. The solution consists of the following components:</w:t>
      </w:r>
    </w:p>
    <w:p>
      <w:pPr>
        <w:pStyle w:val="ListBullet"/>
      </w:pPr>
      <w:r>
        <w:rPr>
          <w:sz w:val="22"/>
        </w:rPr>
        <w:t>Cloud-native core banking platform evaluation: We will evaluate and recommend a cloud-native core banking platform that meets HDFC Bank's requirements for scalability, security, and reliability.</w:t>
      </w:r>
    </w:p>
    <w:p>
      <w:pPr>
        <w:pStyle w:val="ListBullet"/>
      </w:pPr>
      <w:r>
        <w:rPr>
          <w:sz w:val="22"/>
        </w:rPr>
        <w:t>Establishment of a long-term strategic technology partnership: We will establish a long-term strategic technology partnership with HDFC Bank to ensure that the core banking system is aligned with the bank's business objectives and is able to adapt to changing business needs.</w:t>
      </w:r>
    </w:p>
    <w:p>
      <w:pPr>
        <w:pStyle w:val="ListBullet"/>
      </w:pPr>
      <w:r>
        <w:rPr>
          <w:sz w:val="22"/>
        </w:rPr>
        <w:t>Ensuring RBI regulatory compliance: We will ensure that the core banking system is compliant with RBI regulatory requirements for core banking systems.</w:t>
      </w:r>
    </w:p>
    <w:p>
      <w:pPr>
        <w:pStyle w:val="ListBullet"/>
      </w:pPr>
      <w:r>
        <w:rPr>
          <w:sz w:val="22"/>
        </w:rPr>
        <w:t>Improved system uptime and reliability: We will design and implement a solution that ensures 99.999% system uptime and reliability.</w:t>
      </w:r>
    </w:p>
    <w:p>
      <w:pPr>
        <w:pStyle w:val="ListBullet"/>
      </w:pPr>
      <w:r>
        <w:rPr>
          <w:sz w:val="22"/>
        </w:rPr>
        <w:t>Enhanced scalability: We will design and implement a solution that is scalable to support HDFC Bank's growing customer base and increasing transaction volumes.</w:t>
      </w:r>
    </w:p>
    <w:p>
      <w:pPr>
        <w:pStyle w:val="Heading1"/>
        <w:pBdr>
          <w:bottom w:val="single" w:sz="16" w:space="1" w:color="E31837"/>
        </w:pBdr>
      </w:pPr>
      <w:r>
        <w:rPr>
          <w:rFonts w:ascii="Arial" w:hAnsi="Arial"/>
          <w:color w:val="00205B"/>
        </w:rPr>
        <w:t>4. Solution Architecture</w:t>
      </w:r>
    </w:p>
    <w:p>
      <w:pPr>
        <w:pStyle w:val="Heading1"/>
        <w:pBdr>
          <w:bottom w:val="single" w:sz="16" w:space="1" w:color="E31837"/>
        </w:pBdr>
      </w:pPr>
      <w:r>
        <w:rPr>
          <w:rFonts w:ascii="Arial" w:hAnsi="Arial"/>
          <w:color w:val="00205B"/>
        </w:rPr>
        <w:t>5. Team Structure &amp; Operating Model</w:t>
      </w:r>
    </w:p>
    <w:p>
      <w:pPr>
        <w:pStyle w:val="ListBullet"/>
      </w:pPr>
      <w:r>
        <w:rPr>
          <w:sz w:val="22"/>
        </w:rPr>
        <w:t>Our team will consist of the following members:</w:t>
      </w:r>
    </w:p>
    <w:p>
      <w:pPr>
        <w:pStyle w:val="ListBullet"/>
      </w:pPr>
      <w:r>
        <w:rPr>
          <w:sz w:val="22"/>
        </w:rPr>
        <w:t>Solution Architect: 1 person, onshore, 160 hours/month, $100/hour</w:t>
      </w:r>
    </w:p>
    <w:p>
      <w:pPr>
        <w:pStyle w:val="ListBullet"/>
      </w:pPr>
      <w:r>
        <w:rPr>
          <w:sz w:val="22"/>
        </w:rPr>
        <w:t>Cloud Engineer: 2 people, offshore, 240 hours/month, $30/hour</w:t>
      </w:r>
    </w:p>
    <w:p>
      <w:pPr>
        <w:pStyle w:val="ListBullet"/>
      </w:pPr>
      <w:r>
        <w:rPr>
          <w:sz w:val="22"/>
        </w:rPr>
        <w:t>Core Banking Specialist: 1 person, nearshore, 200 hours/month, $55/hour</w:t>
      </w:r>
    </w:p>
    <w:p>
      <w:pPr>
        <w:pStyle w:val="ListBullet"/>
      </w:pPr>
      <w:r>
        <w:rPr>
          <w:sz w:val="22"/>
        </w:rPr>
        <w:t>DevOps Engineer: 1 person, offshore, 200 hours/month, $28/hour</w:t>
      </w:r>
    </w:p>
    <w:p>
      <w:pPr>
        <w:pStyle w:val="ListBullet"/>
      </w:pPr>
      <w:r>
        <w:rPr>
          <w:sz w:val="22"/>
        </w:rPr>
        <w:t>Security Specialist: 1 person, onshore, 160 hours/month, $90/hour</w:t>
      </w:r>
    </w:p>
    <w:p>
      <w:pPr>
        <w:pStyle w:val="ListBullet"/>
      </w:pPr>
      <w:r>
        <w:rPr>
          <w:sz w:val="22"/>
        </w:rPr>
        <w:t>API Gateway Specialist: 1 person, offshore, 160 hours/month, $32/hour</w:t>
      </w:r>
    </w:p>
    <w:p>
      <w:pPr>
        <w:pStyle w:val="ListBullet"/>
      </w:pPr>
      <w:r>
        <w:rPr>
          <w:sz w:val="22"/>
        </w:rPr>
        <w:t>Data Storage Specialist: 1 person, nearshore, 160 hours/month, $50/hour</w:t>
      </w:r>
    </w:p>
    <w:p>
      <w:pPr>
        <w:pStyle w:val="ListBullet"/>
      </w:pPr>
      <w:r>
        <w:rPr>
          <w:sz w:val="22"/>
        </w:rPr>
        <w:t>Project Manager: 1 person, onshore, 160 hours/month, $110/hour</w:t>
      </w:r>
    </w:p>
    <w:p>
      <w:pPr>
        <w:pStyle w:val="ListBullet"/>
      </w:pPr>
      <w:r>
        <w:rPr>
          <w:sz w:val="22"/>
        </w:rPr>
        <w:t>Quality Assurance Engineer: 2 people, offshore, 240 hours/month, $25/hour</w:t>
      </w:r>
    </w:p>
    <w:p>
      <w:pPr>
        <w:pStyle w:val="ListBullet"/>
      </w:pPr>
      <w:r>
        <w:rPr>
          <w:sz w:val="22"/>
        </w:rPr>
        <w:t>Our operating model will be a hybrid model, with a combination of onshore, nearshore, and offshore resources.</w:t>
      </w:r>
    </w:p>
    <w:p>
      <w:pPr>
        <w:pStyle w:val="Heading1"/>
        <w:pBdr>
          <w:bottom w:val="single" w:sz="16" w:space="1" w:color="E31837"/>
        </w:pBdr>
      </w:pPr>
      <w:r>
        <w:rPr>
          <w:rFonts w:ascii="Arial" w:hAnsi="Arial"/>
          <w:color w:val="00205B"/>
        </w:rPr>
        <w:t>6. Delivery Roadmap</w:t>
      </w:r>
    </w:p>
    <w:p>
      <w:pPr>
        <w:pStyle w:val="ListBullet"/>
      </w:pPr>
      <w:r>
        <w:rPr>
          <w:sz w:val="22"/>
        </w:rPr>
        <w:t>Our delivery roadmap will consist of the following phases:</w:t>
      </w:r>
    </w:p>
    <w:p>
      <w:pPr>
        <w:pStyle w:val="ListBullet"/>
      </w:pPr>
      <w:r>
        <w:rPr>
          <w:sz w:val="22"/>
        </w:rPr>
        <w:t>Phase 1: Requirements gathering and solution design (4 weeks)</w:t>
      </w:r>
    </w:p>
    <w:p>
      <w:pPr>
        <w:pStyle w:val="ListBullet"/>
      </w:pPr>
      <w:r>
        <w:rPr>
          <w:sz w:val="22"/>
        </w:rPr>
        <w:t>Phase 2: Cloud-native core banking platform evaluation and selection (6 weeks)</w:t>
      </w:r>
    </w:p>
    <w:p>
      <w:pPr>
        <w:pStyle w:val="ListBullet"/>
      </w:pPr>
      <w:r>
        <w:rPr>
          <w:sz w:val="22"/>
        </w:rPr>
        <w:t>Phase 3: Core banking system implementation (16 weeks)</w:t>
      </w:r>
    </w:p>
    <w:p>
      <w:pPr>
        <w:pStyle w:val="ListBullet"/>
      </w:pPr>
      <w:r>
        <w:rPr>
          <w:sz w:val="22"/>
        </w:rPr>
        <w:t>Phase 4: Testing and quality assurance (8 weeks)</w:t>
      </w:r>
    </w:p>
    <w:p>
      <w:pPr>
        <w:pStyle w:val="ListBullet"/>
      </w:pPr>
      <w:r>
        <w:rPr>
          <w:sz w:val="22"/>
        </w:rPr>
        <w:t>Phase 5: Deployment and go-live (4 weeks)</w:t>
      </w:r>
    </w:p>
    <w:p>
      <w:pPr>
        <w:pStyle w:val="Heading1"/>
        <w:pBdr>
          <w:bottom w:val="single" w:sz="16" w:space="1" w:color="E31837"/>
        </w:pBdr>
      </w:pPr>
      <w:r>
        <w:rPr>
          <w:rFonts w:ascii="Arial" w:hAnsi="Arial"/>
          <w:color w:val="00205B"/>
        </w:rPr>
        <w:t>7. Commercial Summary</w:t>
      </w:r>
    </w:p>
    <w:p>
      <w:pPr>
        <w:pStyle w:val="ListBullet"/>
      </w:pPr>
      <w:r>
        <w:rPr>
          <w:sz w:val="22"/>
        </w:rPr>
        <w:t>Our total cost of ownership for the project will be $2.5 million, broken down as follows: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fill="00205B" w:color="auto" w:val="clear"/>
            <w:vAlign w:val="center"/>
          </w:tcPr>
          <w:p>
            <w:r>
              <w:rPr>
                <w:rFonts w:ascii="Arial" w:hAnsi="Arial"/>
                <w:b/>
                <w:color w:val="FFFFFF"/>
                <w:sz w:val="20"/>
              </w:rPr>
              <w:t>Role</w:t>
            </w:r>
          </w:p>
        </w:tc>
        <w:tc>
          <w:tcPr>
            <w:tcW w:type="dxa" w:w="1560"/>
            <w:shd w:fill="00205B" w:color="auto" w:val="clear"/>
            <w:vAlign w:val="center"/>
          </w:tcPr>
          <w:p>
            <w:r>
              <w:rPr>
                <w:rFonts w:ascii="Arial" w:hAnsi="Arial"/>
                <w:b/>
                <w:color w:val="FFFFFF"/>
                <w:sz w:val="20"/>
              </w:rPr>
              <w:t>Count</w:t>
            </w:r>
          </w:p>
        </w:tc>
        <w:tc>
          <w:tcPr>
            <w:tcW w:type="dxa" w:w="1560"/>
            <w:shd w:fill="00205B" w:color="auto" w:val="clear"/>
            <w:vAlign w:val="center"/>
          </w:tcPr>
          <w:p>
            <w:r>
              <w:rPr>
                <w:rFonts w:ascii="Arial" w:hAnsi="Arial"/>
                <w:b/>
                <w:color w:val="FFFFFF"/>
                <w:sz w:val="20"/>
              </w:rPr>
              <w:t>Location</w:t>
            </w:r>
          </w:p>
        </w:tc>
        <w:tc>
          <w:tcPr>
            <w:tcW w:type="dxa" w:w="1560"/>
            <w:shd w:fill="00205B" w:color="auto" w:val="clear"/>
            <w:vAlign w:val="center"/>
          </w:tcPr>
          <w:p>
            <w:r>
              <w:rPr>
                <w:rFonts w:ascii="Arial" w:hAnsi="Arial"/>
                <w:b/>
                <w:color w:val="FFFFFF"/>
                <w:sz w:val="20"/>
              </w:rPr>
              <w:t>Hrs/Month</w:t>
            </w:r>
          </w:p>
        </w:tc>
        <w:tc>
          <w:tcPr>
            <w:tcW w:type="dxa" w:w="1560"/>
            <w:shd w:fill="00205B" w:color="auto" w:val="clear"/>
            <w:vAlign w:val="center"/>
          </w:tcPr>
          <w:p>
            <w:r>
              <w:rPr>
                <w:rFonts w:ascii="Arial" w:hAnsi="Arial"/>
                <w:b/>
                <w:color w:val="FFFFFF"/>
                <w:sz w:val="20"/>
              </w:rPr>
              <w:t>Rate/hr</w:t>
            </w:r>
          </w:p>
        </w:tc>
        <w:tc>
          <w:tcPr>
            <w:tcW w:type="dxa" w:w="1560"/>
            <w:shd w:fill="00205B" w:color="auto" w:val="clear"/>
            <w:vAlign w:val="center"/>
          </w:tcPr>
          <w:p>
            <w:r>
              <w:rPr>
                <w:rFonts w:ascii="Arial" w:hAnsi="Arial"/>
                <w:b/>
                <w:color w:val="FFFFFF"/>
                <w:sz w:val="20"/>
              </w:rPr>
              <w:t>Monthly Cost</w:t>
            </w:r>
          </w:p>
        </w:tc>
      </w:tr>
      <w:tr>
        <w:tc>
          <w:tcPr>
            <w:tcW w:type="dxa" w:w="1560"/>
            <w:shd w:fill="F0F2F5" w:color="auto" w:val="clear"/>
            <w:vAlign w:val="center"/>
          </w:tcPr>
          <w:p>
            <w:r>
              <w:rPr>
                <w:rFonts w:ascii="Arial" w:hAnsi="Arial"/>
                <w:sz w:val="20"/>
              </w:rPr>
              <w:t>Solution Architect</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Onshore</w:t>
            </w:r>
          </w:p>
        </w:tc>
        <w:tc>
          <w:tcPr>
            <w:tcW w:type="dxa" w:w="1560"/>
            <w:shd w:fill="F0F2F5" w:color="auto" w:val="clear"/>
            <w:vAlign w:val="center"/>
          </w:tcPr>
          <w:p>
            <w:r>
              <w:rPr>
                <w:rFonts w:ascii="Arial" w:hAnsi="Arial"/>
                <w:sz w:val="20"/>
              </w:rPr>
              <w:t>160</w:t>
            </w:r>
          </w:p>
        </w:tc>
        <w:tc>
          <w:tcPr>
            <w:tcW w:type="dxa" w:w="1560"/>
            <w:shd w:fill="F0F2F5" w:color="auto" w:val="clear"/>
            <w:vAlign w:val="center"/>
          </w:tcPr>
          <w:p>
            <w:r>
              <w:rPr>
                <w:rFonts w:ascii="Arial" w:hAnsi="Arial"/>
                <w:sz w:val="20"/>
              </w:rPr>
              <w:t>$100</w:t>
            </w:r>
          </w:p>
        </w:tc>
        <w:tc>
          <w:tcPr>
            <w:tcW w:type="dxa" w:w="1560"/>
            <w:shd w:fill="F0F2F5" w:color="auto" w:val="clear"/>
            <w:vAlign w:val="center"/>
          </w:tcPr>
          <w:p>
            <w:r>
              <w:rPr>
                <w:rFonts w:ascii="Arial" w:hAnsi="Arial"/>
                <w:sz w:val="20"/>
              </w:rPr>
              <w:t>$16,000</w:t>
            </w:r>
          </w:p>
        </w:tc>
      </w:tr>
      <w:tr>
        <w:tc>
          <w:tcPr>
            <w:tcW w:type="dxa" w:w="1560"/>
            <w:vAlign w:val="center"/>
          </w:tcPr>
          <w:p>
            <w:r>
              <w:rPr>
                <w:rFonts w:ascii="Arial" w:hAnsi="Arial"/>
                <w:sz w:val="20"/>
              </w:rPr>
              <w:t>Cloud Engineer</w:t>
            </w:r>
          </w:p>
        </w:tc>
        <w:tc>
          <w:tcPr>
            <w:tcW w:type="dxa" w:w="1560"/>
            <w:vAlign w:val="center"/>
          </w:tcPr>
          <w:p>
            <w:r>
              <w:rPr>
                <w:rFonts w:ascii="Arial" w:hAnsi="Arial"/>
                <w:sz w:val="20"/>
              </w:rPr>
              <w:t>2</w:t>
            </w:r>
          </w:p>
        </w:tc>
        <w:tc>
          <w:tcPr>
            <w:tcW w:type="dxa" w:w="1560"/>
            <w:vAlign w:val="center"/>
          </w:tcPr>
          <w:p>
            <w:r>
              <w:rPr>
                <w:rFonts w:ascii="Arial" w:hAnsi="Arial"/>
                <w:sz w:val="20"/>
              </w:rPr>
              <w:t>Offshore</w:t>
            </w:r>
          </w:p>
        </w:tc>
        <w:tc>
          <w:tcPr>
            <w:tcW w:type="dxa" w:w="1560"/>
            <w:vAlign w:val="center"/>
          </w:tcPr>
          <w:p>
            <w:r>
              <w:rPr>
                <w:rFonts w:ascii="Arial" w:hAnsi="Arial"/>
                <w:sz w:val="20"/>
              </w:rPr>
              <w:t>240</w:t>
            </w:r>
          </w:p>
        </w:tc>
        <w:tc>
          <w:tcPr>
            <w:tcW w:type="dxa" w:w="1560"/>
            <w:vAlign w:val="center"/>
          </w:tcPr>
          <w:p>
            <w:r>
              <w:rPr>
                <w:rFonts w:ascii="Arial" w:hAnsi="Arial"/>
                <w:sz w:val="20"/>
              </w:rPr>
              <w:t>$30</w:t>
            </w:r>
          </w:p>
        </w:tc>
        <w:tc>
          <w:tcPr>
            <w:tcW w:type="dxa" w:w="1560"/>
            <w:vAlign w:val="center"/>
          </w:tcPr>
          <w:p>
            <w:r>
              <w:rPr>
                <w:rFonts w:ascii="Arial" w:hAnsi="Arial"/>
                <w:sz w:val="20"/>
              </w:rPr>
              <w:t>$14,400</w:t>
            </w:r>
          </w:p>
        </w:tc>
      </w:tr>
      <w:tr>
        <w:tc>
          <w:tcPr>
            <w:tcW w:type="dxa" w:w="1560"/>
            <w:shd w:fill="F0F2F5" w:color="auto" w:val="clear"/>
            <w:vAlign w:val="center"/>
          </w:tcPr>
          <w:p>
            <w:r>
              <w:rPr>
                <w:rFonts w:ascii="Arial" w:hAnsi="Arial"/>
                <w:sz w:val="20"/>
              </w:rPr>
              <w:t>Core Banking Specialist</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Nearshore</w:t>
            </w:r>
          </w:p>
        </w:tc>
        <w:tc>
          <w:tcPr>
            <w:tcW w:type="dxa" w:w="1560"/>
            <w:shd w:fill="F0F2F5" w:color="auto" w:val="clear"/>
            <w:vAlign w:val="center"/>
          </w:tcPr>
          <w:p>
            <w:r>
              <w:rPr>
                <w:rFonts w:ascii="Arial" w:hAnsi="Arial"/>
                <w:sz w:val="20"/>
              </w:rPr>
              <w:t>200</w:t>
            </w:r>
          </w:p>
        </w:tc>
        <w:tc>
          <w:tcPr>
            <w:tcW w:type="dxa" w:w="1560"/>
            <w:shd w:fill="F0F2F5" w:color="auto" w:val="clear"/>
            <w:vAlign w:val="center"/>
          </w:tcPr>
          <w:p>
            <w:r>
              <w:rPr>
                <w:rFonts w:ascii="Arial" w:hAnsi="Arial"/>
                <w:sz w:val="20"/>
              </w:rPr>
              <w:t>$55</w:t>
            </w:r>
          </w:p>
        </w:tc>
        <w:tc>
          <w:tcPr>
            <w:tcW w:type="dxa" w:w="1560"/>
            <w:shd w:fill="F0F2F5" w:color="auto" w:val="clear"/>
            <w:vAlign w:val="center"/>
          </w:tcPr>
          <w:p>
            <w:r>
              <w:rPr>
                <w:rFonts w:ascii="Arial" w:hAnsi="Arial"/>
                <w:sz w:val="20"/>
              </w:rPr>
              <w:t>$11,000</w:t>
            </w:r>
          </w:p>
        </w:tc>
      </w:tr>
      <w:tr>
        <w:tc>
          <w:tcPr>
            <w:tcW w:type="dxa" w:w="1560"/>
            <w:vAlign w:val="center"/>
          </w:tcPr>
          <w:p>
            <w:r>
              <w:rPr>
                <w:rFonts w:ascii="Arial" w:hAnsi="Arial"/>
                <w:sz w:val="20"/>
              </w:rPr>
              <w:t>DevOps Engineer</w:t>
            </w:r>
          </w:p>
        </w:tc>
        <w:tc>
          <w:tcPr>
            <w:tcW w:type="dxa" w:w="1560"/>
            <w:vAlign w:val="center"/>
          </w:tcPr>
          <w:p>
            <w:r>
              <w:rPr>
                <w:rFonts w:ascii="Arial" w:hAnsi="Arial"/>
                <w:sz w:val="20"/>
              </w:rPr>
              <w:t>1</w:t>
            </w:r>
          </w:p>
        </w:tc>
        <w:tc>
          <w:tcPr>
            <w:tcW w:type="dxa" w:w="1560"/>
            <w:vAlign w:val="center"/>
          </w:tcPr>
          <w:p>
            <w:r>
              <w:rPr>
                <w:rFonts w:ascii="Arial" w:hAnsi="Arial"/>
                <w:sz w:val="20"/>
              </w:rPr>
              <w:t>Offshore</w:t>
            </w:r>
          </w:p>
        </w:tc>
        <w:tc>
          <w:tcPr>
            <w:tcW w:type="dxa" w:w="1560"/>
            <w:vAlign w:val="center"/>
          </w:tcPr>
          <w:p>
            <w:r>
              <w:rPr>
                <w:rFonts w:ascii="Arial" w:hAnsi="Arial"/>
                <w:sz w:val="20"/>
              </w:rPr>
              <w:t>200</w:t>
            </w:r>
          </w:p>
        </w:tc>
        <w:tc>
          <w:tcPr>
            <w:tcW w:type="dxa" w:w="1560"/>
            <w:vAlign w:val="center"/>
          </w:tcPr>
          <w:p>
            <w:r>
              <w:rPr>
                <w:rFonts w:ascii="Arial" w:hAnsi="Arial"/>
                <w:sz w:val="20"/>
              </w:rPr>
              <w:t>$28</w:t>
            </w:r>
          </w:p>
        </w:tc>
        <w:tc>
          <w:tcPr>
            <w:tcW w:type="dxa" w:w="1560"/>
            <w:vAlign w:val="center"/>
          </w:tcPr>
          <w:p>
            <w:r>
              <w:rPr>
                <w:rFonts w:ascii="Arial" w:hAnsi="Arial"/>
                <w:sz w:val="20"/>
              </w:rPr>
              <w:t>$5,600</w:t>
            </w:r>
          </w:p>
        </w:tc>
      </w:tr>
      <w:tr>
        <w:tc>
          <w:tcPr>
            <w:tcW w:type="dxa" w:w="1560"/>
            <w:shd w:fill="F0F2F5" w:color="auto" w:val="clear"/>
            <w:vAlign w:val="center"/>
          </w:tcPr>
          <w:p>
            <w:r>
              <w:rPr>
                <w:rFonts w:ascii="Arial" w:hAnsi="Arial"/>
                <w:sz w:val="20"/>
              </w:rPr>
              <w:t>Security Specialist</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Onshore</w:t>
            </w:r>
          </w:p>
        </w:tc>
        <w:tc>
          <w:tcPr>
            <w:tcW w:type="dxa" w:w="1560"/>
            <w:shd w:fill="F0F2F5" w:color="auto" w:val="clear"/>
            <w:vAlign w:val="center"/>
          </w:tcPr>
          <w:p>
            <w:r>
              <w:rPr>
                <w:rFonts w:ascii="Arial" w:hAnsi="Arial"/>
                <w:sz w:val="20"/>
              </w:rPr>
              <w:t>160</w:t>
            </w:r>
          </w:p>
        </w:tc>
        <w:tc>
          <w:tcPr>
            <w:tcW w:type="dxa" w:w="1560"/>
            <w:shd w:fill="F0F2F5" w:color="auto" w:val="clear"/>
            <w:vAlign w:val="center"/>
          </w:tcPr>
          <w:p>
            <w:r>
              <w:rPr>
                <w:rFonts w:ascii="Arial" w:hAnsi="Arial"/>
                <w:sz w:val="20"/>
              </w:rPr>
              <w:t>$90</w:t>
            </w:r>
          </w:p>
        </w:tc>
        <w:tc>
          <w:tcPr>
            <w:tcW w:type="dxa" w:w="1560"/>
            <w:shd w:fill="F0F2F5" w:color="auto" w:val="clear"/>
            <w:vAlign w:val="center"/>
          </w:tcPr>
          <w:p>
            <w:r>
              <w:rPr>
                <w:rFonts w:ascii="Arial" w:hAnsi="Arial"/>
                <w:sz w:val="20"/>
              </w:rPr>
              <w:t>$14,400</w:t>
            </w:r>
          </w:p>
        </w:tc>
      </w:tr>
      <w:tr>
        <w:tc>
          <w:tcPr>
            <w:tcW w:type="dxa" w:w="1560"/>
            <w:vAlign w:val="center"/>
          </w:tcPr>
          <w:p>
            <w:r>
              <w:rPr>
                <w:rFonts w:ascii="Arial" w:hAnsi="Arial"/>
                <w:sz w:val="20"/>
              </w:rPr>
              <w:t>API Gateway Specialist</w:t>
            </w:r>
          </w:p>
        </w:tc>
        <w:tc>
          <w:tcPr>
            <w:tcW w:type="dxa" w:w="1560"/>
            <w:vAlign w:val="center"/>
          </w:tcPr>
          <w:p>
            <w:r>
              <w:rPr>
                <w:rFonts w:ascii="Arial" w:hAnsi="Arial"/>
                <w:sz w:val="20"/>
              </w:rPr>
              <w:t>1</w:t>
            </w:r>
          </w:p>
        </w:tc>
        <w:tc>
          <w:tcPr>
            <w:tcW w:type="dxa" w:w="1560"/>
            <w:vAlign w:val="center"/>
          </w:tcPr>
          <w:p>
            <w:r>
              <w:rPr>
                <w:rFonts w:ascii="Arial" w:hAnsi="Arial"/>
                <w:sz w:val="20"/>
              </w:rPr>
              <w:t>Offshore</w:t>
            </w:r>
          </w:p>
        </w:tc>
        <w:tc>
          <w:tcPr>
            <w:tcW w:type="dxa" w:w="1560"/>
            <w:vAlign w:val="center"/>
          </w:tcPr>
          <w:p>
            <w:r>
              <w:rPr>
                <w:rFonts w:ascii="Arial" w:hAnsi="Arial"/>
                <w:sz w:val="20"/>
              </w:rPr>
              <w:t>160</w:t>
            </w:r>
          </w:p>
        </w:tc>
        <w:tc>
          <w:tcPr>
            <w:tcW w:type="dxa" w:w="1560"/>
            <w:vAlign w:val="center"/>
          </w:tcPr>
          <w:p>
            <w:r>
              <w:rPr>
                <w:rFonts w:ascii="Arial" w:hAnsi="Arial"/>
                <w:sz w:val="20"/>
              </w:rPr>
              <w:t>$32</w:t>
            </w:r>
          </w:p>
        </w:tc>
        <w:tc>
          <w:tcPr>
            <w:tcW w:type="dxa" w:w="1560"/>
            <w:vAlign w:val="center"/>
          </w:tcPr>
          <w:p>
            <w:r>
              <w:rPr>
                <w:rFonts w:ascii="Arial" w:hAnsi="Arial"/>
                <w:sz w:val="20"/>
              </w:rPr>
              <w:t>$5,120</w:t>
            </w:r>
          </w:p>
        </w:tc>
      </w:tr>
      <w:tr>
        <w:tc>
          <w:tcPr>
            <w:tcW w:type="dxa" w:w="1560"/>
            <w:shd w:fill="F0F2F5" w:color="auto" w:val="clear"/>
            <w:vAlign w:val="center"/>
          </w:tcPr>
          <w:p>
            <w:r>
              <w:rPr>
                <w:rFonts w:ascii="Arial" w:hAnsi="Arial"/>
                <w:sz w:val="20"/>
              </w:rPr>
              <w:t>Data Storage Specialist</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Nearshore</w:t>
            </w:r>
          </w:p>
        </w:tc>
        <w:tc>
          <w:tcPr>
            <w:tcW w:type="dxa" w:w="1560"/>
            <w:shd w:fill="F0F2F5" w:color="auto" w:val="clear"/>
            <w:vAlign w:val="center"/>
          </w:tcPr>
          <w:p>
            <w:r>
              <w:rPr>
                <w:rFonts w:ascii="Arial" w:hAnsi="Arial"/>
                <w:sz w:val="20"/>
              </w:rPr>
              <w:t>160</w:t>
            </w:r>
          </w:p>
        </w:tc>
        <w:tc>
          <w:tcPr>
            <w:tcW w:type="dxa" w:w="1560"/>
            <w:shd w:fill="F0F2F5" w:color="auto" w:val="clear"/>
            <w:vAlign w:val="center"/>
          </w:tcPr>
          <w:p>
            <w:r>
              <w:rPr>
                <w:rFonts w:ascii="Arial" w:hAnsi="Arial"/>
                <w:sz w:val="20"/>
              </w:rPr>
              <w:t>$50</w:t>
            </w:r>
          </w:p>
        </w:tc>
        <w:tc>
          <w:tcPr>
            <w:tcW w:type="dxa" w:w="1560"/>
            <w:shd w:fill="F0F2F5" w:color="auto" w:val="clear"/>
            <w:vAlign w:val="center"/>
          </w:tcPr>
          <w:p>
            <w:r>
              <w:rPr>
                <w:rFonts w:ascii="Arial" w:hAnsi="Arial"/>
                <w:sz w:val="20"/>
              </w:rPr>
              <w:t>$8,000</w:t>
            </w:r>
          </w:p>
        </w:tc>
      </w:tr>
      <w:tr>
        <w:tc>
          <w:tcPr>
            <w:tcW w:type="dxa" w:w="1560"/>
            <w:vAlign w:val="center"/>
          </w:tcPr>
          <w:p>
            <w:r>
              <w:rPr>
                <w:rFonts w:ascii="Arial" w:hAnsi="Arial"/>
                <w:sz w:val="20"/>
              </w:rPr>
              <w:t>Project Manager</w:t>
            </w:r>
          </w:p>
        </w:tc>
        <w:tc>
          <w:tcPr>
            <w:tcW w:type="dxa" w:w="1560"/>
            <w:vAlign w:val="center"/>
          </w:tcPr>
          <w:p>
            <w:r>
              <w:rPr>
                <w:rFonts w:ascii="Arial" w:hAnsi="Arial"/>
                <w:sz w:val="20"/>
              </w:rPr>
              <w:t>1</w:t>
            </w:r>
          </w:p>
        </w:tc>
        <w:tc>
          <w:tcPr>
            <w:tcW w:type="dxa" w:w="1560"/>
            <w:vAlign w:val="center"/>
          </w:tcPr>
          <w:p>
            <w:r>
              <w:rPr>
                <w:rFonts w:ascii="Arial" w:hAnsi="Arial"/>
                <w:sz w:val="20"/>
              </w:rPr>
              <w:t>Onshore</w:t>
            </w:r>
          </w:p>
        </w:tc>
        <w:tc>
          <w:tcPr>
            <w:tcW w:type="dxa" w:w="1560"/>
            <w:vAlign w:val="center"/>
          </w:tcPr>
          <w:p>
            <w:r>
              <w:rPr>
                <w:rFonts w:ascii="Arial" w:hAnsi="Arial"/>
                <w:sz w:val="20"/>
              </w:rPr>
              <w:t>160</w:t>
            </w:r>
          </w:p>
        </w:tc>
        <w:tc>
          <w:tcPr>
            <w:tcW w:type="dxa" w:w="1560"/>
            <w:vAlign w:val="center"/>
          </w:tcPr>
          <w:p>
            <w:r>
              <w:rPr>
                <w:rFonts w:ascii="Arial" w:hAnsi="Arial"/>
                <w:sz w:val="20"/>
              </w:rPr>
              <w:t>$110</w:t>
            </w:r>
          </w:p>
        </w:tc>
        <w:tc>
          <w:tcPr>
            <w:tcW w:type="dxa" w:w="1560"/>
            <w:vAlign w:val="center"/>
          </w:tcPr>
          <w:p>
            <w:r>
              <w:rPr>
                <w:rFonts w:ascii="Arial" w:hAnsi="Arial"/>
                <w:sz w:val="20"/>
              </w:rPr>
              <w:t>$17,600</w:t>
            </w:r>
          </w:p>
        </w:tc>
      </w:tr>
      <w:tr>
        <w:tc>
          <w:tcPr>
            <w:tcW w:type="dxa" w:w="1560"/>
            <w:shd w:fill="F0F2F5" w:color="auto" w:val="clear"/>
            <w:vAlign w:val="center"/>
          </w:tcPr>
          <w:p>
            <w:r>
              <w:rPr>
                <w:rFonts w:ascii="Arial" w:hAnsi="Arial"/>
                <w:sz w:val="20"/>
              </w:rPr>
              <w:t>Quality Assurance Engineer</w:t>
            </w:r>
          </w:p>
        </w:tc>
        <w:tc>
          <w:tcPr>
            <w:tcW w:type="dxa" w:w="1560"/>
            <w:shd w:fill="F0F2F5" w:color="auto" w:val="clear"/>
            <w:vAlign w:val="center"/>
          </w:tcPr>
          <w:p>
            <w:r>
              <w:rPr>
                <w:rFonts w:ascii="Arial" w:hAnsi="Arial"/>
                <w:sz w:val="20"/>
              </w:rPr>
              <w:t>2</w:t>
            </w:r>
          </w:p>
        </w:tc>
        <w:tc>
          <w:tcPr>
            <w:tcW w:type="dxa" w:w="1560"/>
            <w:shd w:fill="F0F2F5" w:color="auto" w:val="clear"/>
            <w:vAlign w:val="center"/>
          </w:tcPr>
          <w:p>
            <w:r>
              <w:rPr>
                <w:rFonts w:ascii="Arial" w:hAnsi="Arial"/>
                <w:sz w:val="20"/>
              </w:rPr>
              <w:t>Offshore</w:t>
            </w:r>
          </w:p>
        </w:tc>
        <w:tc>
          <w:tcPr>
            <w:tcW w:type="dxa" w:w="1560"/>
            <w:shd w:fill="F0F2F5" w:color="auto" w:val="clear"/>
            <w:vAlign w:val="center"/>
          </w:tcPr>
          <w:p>
            <w:r>
              <w:rPr>
                <w:rFonts w:ascii="Arial" w:hAnsi="Arial"/>
                <w:sz w:val="20"/>
              </w:rPr>
              <w:t>240</w:t>
            </w:r>
          </w:p>
        </w:tc>
        <w:tc>
          <w:tcPr>
            <w:tcW w:type="dxa" w:w="1560"/>
            <w:shd w:fill="F0F2F5" w:color="auto" w:val="clear"/>
            <w:vAlign w:val="center"/>
          </w:tcPr>
          <w:p>
            <w:r>
              <w:rPr>
                <w:rFonts w:ascii="Arial" w:hAnsi="Arial"/>
                <w:sz w:val="20"/>
              </w:rPr>
              <w:t>$25</w:t>
            </w:r>
          </w:p>
        </w:tc>
        <w:tc>
          <w:tcPr>
            <w:tcW w:type="dxa" w:w="1560"/>
            <w:shd w:fill="F0F2F5" w:color="auto" w:val="clear"/>
            <w:vAlign w:val="center"/>
          </w:tcPr>
          <w:p>
            <w:r>
              <w:rPr>
                <w:rFonts w:ascii="Arial" w:hAnsi="Arial"/>
                <w:sz w:val="20"/>
              </w:rPr>
              <w:t>$12,000</w:t>
            </w:r>
          </w:p>
        </w:tc>
      </w:tr>
    </w:tbl>
    <w:p/>
    <w:p>
      <w:pPr>
        <w:pStyle w:val="Heading1"/>
        <w:pBdr>
          <w:bottom w:val="single" w:sz="16" w:space="1" w:color="E31837"/>
        </w:pBdr>
      </w:pPr>
      <w:r>
        <w:rPr>
          <w:rFonts w:ascii="Arial" w:hAnsi="Arial"/>
          <w:color w:val="00205B"/>
        </w:rPr>
        <w:t>8. Why Tech Mahindra?</w:t>
      </w:r>
    </w:p>
    <w:p>
      <w:pPr>
        <w:pStyle w:val="ListBullet"/>
      </w:pPr>
      <w:r>
        <w:rPr>
          <w:sz w:val="22"/>
        </w:rPr>
        <w:t>We believe that our solution will provide HDFC Bank with a scalable, secure, and reliable core banking system that meets the needs of its growing customer base. Our team has a proven track record of delivering successful digital transformation projects for leading financial institutions. We have the following differentiators that set us apart from other vendors:</w:t>
      </w:r>
    </w:p>
    <w:p>
      <w:pPr>
        <w:pStyle w:val="ListBullet"/>
      </w:pPr>
      <w:r>
        <w:rPr>
          <w:sz w:val="22"/>
        </w:rPr>
        <w:t>Proven track record of delivering successful digital transformation projects for leading financial institutions</w:t>
      </w:r>
    </w:p>
    <w:p>
      <w:pPr>
        <w:pStyle w:val="ListBullet"/>
      </w:pPr>
      <w:r>
        <w:rPr>
          <w:sz w:val="22"/>
        </w:rPr>
        <w:t>Expertise in cloud-native core banking platforms and RBI regulatory compliance</w:t>
      </w:r>
    </w:p>
    <w:p>
      <w:pPr>
        <w:pStyle w:val="ListBullet"/>
      </w:pPr>
      <w:r>
        <w:rPr>
          <w:sz w:val="22"/>
        </w:rPr>
        <w:t>Ability to provide a scalable and secure core banking system that meets the needs of HDFC Bank's growing customer base</w:t>
      </w:r>
    </w:p>
    <w:p>
      <w:pPr>
        <w:pStyle w:val="ListBullet"/>
      </w:pPr>
      <w:r>
        <w:rPr>
          <w:sz w:val="22"/>
        </w:rPr>
        <w:t>Strong partnership with HDFC Bank to ensure that the core banking system is aligned with the bank's business objectives and is able to adapt to changing business needs</w:t>
      </w:r>
    </w:p>
    <w:p>
      <w:pPr>
        <w:pStyle w:val="Heading1"/>
        <w:pBdr>
          <w:bottom w:val="single" w:sz="16" w:space="1" w:color="E31837"/>
        </w:pBdr>
      </w:pPr>
      <w:r>
        <w:rPr>
          <w:rFonts w:ascii="Arial" w:hAnsi="Arial"/>
          <w:color w:val="00205B"/>
        </w:rPr>
        <w:t>9. Next Steps</w:t>
      </w:r>
    </w:p>
    <w:p>
      <w:pPr>
        <w:pStyle w:val="ListBullet"/>
      </w:pPr>
      <w:r>
        <w:rPr>
          <w:sz w:val="22"/>
        </w:rPr>
        <w:t>We propose the following next steps:</w:t>
      </w:r>
    </w:p>
    <w:p>
      <w:pPr>
        <w:pStyle w:val="ListBullet"/>
      </w:pPr>
      <w:r>
        <w:rPr>
          <w:sz w:val="22"/>
        </w:rPr>
        <w:t>Schedule a meeting with HDFC Bank's project team to discuss the proposal in detail</w:t>
      </w:r>
    </w:p>
    <w:p>
      <w:pPr>
        <w:pStyle w:val="ListBullet"/>
      </w:pPr>
      <w:r>
        <w:rPr>
          <w:sz w:val="22"/>
        </w:rPr>
        <w:t>Provide a detailed project plan and timeline</w:t>
      </w:r>
    </w:p>
    <w:p>
      <w:pPr>
        <w:pStyle w:val="ListBullet"/>
      </w:pPr>
      <w:r>
        <w:rPr>
          <w:sz w:val="22"/>
        </w:rPr>
        <w:t>Conduct a proof-of-concept (POC) to demonstrate the feasibility of the solution</w:t>
      </w:r>
    </w:p>
    <w:p>
      <w:pPr>
        <w:pStyle w:val="ListBullet"/>
      </w:pPr>
      <w:r>
        <w:rPr>
          <w:sz w:val="22"/>
        </w:rPr>
        <w:t>Finalize the contract and begin the project implementation</w:t>
      </w:r>
    </w:p>
    <w:p>
      <w:pPr>
        <w:pStyle w:val="ListBullet"/>
      </w:pPr>
      <w:r>
        <w:rPr>
          <w:sz w:val="22"/>
        </w:rPr>
        <w:t>We believe that our solution will provide HDFC Bank with a scalable, secure, and reliable core banking system that meets the needs of its growing customer base. We look forward to the opportunity to work with HDFC Bank and deliver a successful project.</w:t>
      </w:r>
    </w:p>
    <w:p>
      <w:r>
        <w:br w:type="page"/>
      </w:r>
    </w:p>
    <w:p>
      <w:pPr>
        <w:pStyle w:val="Heading1"/>
        <w:pBdr>
          <w:bottom w:val="single" w:sz="16" w:space="1" w:color="E31837"/>
        </w:pBdr>
      </w:pPr>
      <w:r>
        <w:rPr>
          <w:rFonts w:ascii="Arial" w:hAnsi="Arial"/>
          <w:color w:val="696969"/>
        </w:rPr>
        <w:t>Appendix: Detailed Diagnostic Analysis</w:t>
      </w:r>
    </w:p>
    <w:p>
      <w:pPr>
        <w:pStyle w:val="Heading2"/>
      </w:pPr>
      <w:r>
        <w:rPr>
          <w:rFonts w:ascii="Arial" w:hAnsi="Arial"/>
          <w:color w:val="00205B"/>
        </w:rPr>
        <w:t>Requirements Analysis</w:t>
      </w:r>
    </w:p>
    <w:p>
      <w:pPr>
        <w:pStyle w:val="ListBullet"/>
      </w:pPr>
      <w:r>
        <w:rPr>
          <w:sz w:val="20"/>
        </w:rPr>
        <w:t>Client Background</w:t>
      </w:r>
    </w:p>
    <w:p>
      <w:pPr>
        <w:pStyle w:val="ListBullet"/>
      </w:pPr>
      <w:r>
        <w:rPr>
          <w:sz w:val="20"/>
        </w:rPr>
        <w:t>HDFC Bank Overview</w:t>
      </w:r>
    </w:p>
    <w:p>
      <w:pPr>
        <w:pStyle w:val="ListBullet"/>
      </w:pPr>
      <w:r>
        <w:rPr>
          <w:sz w:val="20"/>
        </w:rPr>
        <w:t>Established in 1994</w:t>
      </w:r>
    </w:p>
    <w:p>
      <w:pPr>
        <w:pStyle w:val="ListBullet"/>
      </w:pPr>
      <w:r>
        <w:rPr>
          <w:sz w:val="20"/>
        </w:rPr>
        <w:t>Headquartered in Mumbai, Maharashtra, India</w:t>
      </w:r>
    </w:p>
    <w:p>
      <w:pPr>
        <w:pStyle w:val="ListBullet"/>
      </w:pPr>
      <w:r>
        <w:rPr>
          <w:sz w:val="20"/>
        </w:rPr>
        <w:t>India's largest private sector bank by assets</w:t>
      </w:r>
    </w:p>
    <w:p>
      <w:pPr>
        <w:pStyle w:val="ListBullet"/>
      </w:pPr>
      <w:r>
        <w:rPr>
          <w:sz w:val="20"/>
        </w:rPr>
        <w:t>Serves over 88 million customers</w:t>
      </w:r>
    </w:p>
    <w:p>
      <w:pPr>
        <w:pStyle w:val="ListBullet"/>
      </w:pPr>
      <w:r>
        <w:rPr>
          <w:sz w:val="20"/>
        </w:rPr>
        <w:t>8,700+ branches and 21,000+ ATMs across India</w:t>
      </w:r>
    </w:p>
    <w:p>
      <w:pPr>
        <w:pStyle w:val="ListBullet"/>
      </w:pPr>
      <w:r>
        <w:rPr>
          <w:sz w:val="20"/>
        </w:rPr>
        <w:t>Balance Sheet size exceeding ₹35 trillion</w:t>
      </w:r>
    </w:p>
    <w:p>
      <w:pPr>
        <w:pStyle w:val="ListBullet"/>
      </w:pPr>
      <w:r>
        <w:rPr>
          <w:sz w:val="20"/>
        </w:rPr>
        <w:t>Market capitalisation of ~₹12 trillion</w:t>
      </w:r>
    </w:p>
    <w:p>
      <w:pPr>
        <w:pStyle w:val="ListBullet"/>
      </w:pPr>
      <w:r>
        <w:rPr>
          <w:sz w:val="20"/>
        </w:rPr>
        <w:t>Regulated by the Reserve Bank of India (RBI)</w:t>
      </w:r>
    </w:p>
    <w:p>
      <w:pPr>
        <w:pStyle w:val="ListBullet"/>
      </w:pPr>
      <w:r>
        <w:rPr>
          <w:sz w:val="20"/>
        </w:rPr>
        <w:t>Key Requirements (functional &amp; non-functional)</w:t>
      </w:r>
    </w:p>
    <w:p>
      <w:pPr>
        <w:pStyle w:val="ListBullet"/>
      </w:pPr>
      <w:r>
        <w:rPr>
          <w:sz w:val="20"/>
        </w:rPr>
        <w:t>Functional Requirements</w:t>
      </w:r>
    </w:p>
    <w:p>
      <w:pPr>
        <w:pStyle w:val="ListBullet"/>
      </w:pPr>
      <w:r>
        <w:rPr>
          <w:sz w:val="20"/>
        </w:rPr>
        <w:t>Core Banking System (CBS) modernization</w:t>
      </w:r>
    </w:p>
    <w:p>
      <w:pPr>
        <w:pStyle w:val="ListBullet"/>
      </w:pPr>
      <w:r>
        <w:rPr>
          <w:sz w:val="20"/>
        </w:rPr>
        <w:t>Cloud-native core banking platforms evaluation</w:t>
      </w:r>
    </w:p>
    <w:p>
      <w:pPr>
        <w:pStyle w:val="ListBullet"/>
      </w:pPr>
      <w:r>
        <w:rPr>
          <w:sz w:val="20"/>
        </w:rPr>
        <w:t>Establish a long-term strategic technology partnership</w:t>
      </w:r>
    </w:p>
    <w:p>
      <w:pPr>
        <w:pStyle w:val="ListBullet"/>
      </w:pPr>
      <w:r>
        <w:rPr>
          <w:sz w:val="20"/>
        </w:rPr>
        <w:t>Ensure RBI regulatory compliance post-upgrade</w:t>
      </w:r>
    </w:p>
    <w:p>
      <w:pPr>
        <w:pStyle w:val="ListBullet"/>
      </w:pPr>
      <w:r>
        <w:rPr>
          <w:sz w:val="20"/>
        </w:rPr>
        <w:t>Achieve 99.999% system uptime SLA</w:t>
      </w:r>
    </w:p>
    <w:p>
      <w:pPr>
        <w:pStyle w:val="ListBullet"/>
      </w:pPr>
      <w:r>
        <w:rPr>
          <w:sz w:val="20"/>
        </w:rPr>
        <w:t>Non-Functional Requirements</w:t>
      </w:r>
    </w:p>
    <w:p>
      <w:pPr>
        <w:pStyle w:val="ListBullet"/>
      </w:pPr>
      <w:r>
        <w:rPr>
          <w:sz w:val="20"/>
        </w:rPr>
        <w:t>Scalability to support 10M+ daily transactions during peak loads</w:t>
      </w:r>
    </w:p>
    <w:p>
      <w:pPr>
        <w:pStyle w:val="ListBullet"/>
      </w:pPr>
      <w:r>
        <w:rPr>
          <w:sz w:val="20"/>
        </w:rPr>
        <w:t>System uptime of 99.999%</w:t>
      </w:r>
    </w:p>
    <w:p>
      <w:pPr>
        <w:pStyle w:val="ListBullet"/>
      </w:pPr>
      <w:r>
        <w:rPr>
          <w:sz w:val="20"/>
        </w:rPr>
        <w:t>Digital channel gaps to be addressed</w:t>
      </w:r>
    </w:p>
    <w:p>
      <w:pPr>
        <w:pStyle w:val="ListBullet"/>
      </w:pPr>
      <w:r>
        <w:rPr>
          <w:sz w:val="20"/>
        </w:rPr>
        <w:t>Legacy monolithic architecture to be replaced</w:t>
      </w:r>
    </w:p>
    <w:p>
      <w:pPr>
        <w:pStyle w:val="ListBullet"/>
      </w:pPr>
      <w:r>
        <w:rPr>
          <w:sz w:val="20"/>
        </w:rPr>
        <w:t>Scope of Work</w:t>
      </w:r>
    </w:p>
    <w:p>
      <w:pPr>
        <w:pStyle w:val="ListBullet"/>
      </w:pPr>
      <w:r>
        <w:rPr>
          <w:sz w:val="20"/>
        </w:rPr>
        <w:t>Solicit qualified technology vendors for CBS modernization</w:t>
      </w:r>
    </w:p>
    <w:p>
      <w:pPr>
        <w:pStyle w:val="ListBullet"/>
      </w:pPr>
      <w:r>
        <w:rPr>
          <w:sz w:val="20"/>
        </w:rPr>
        <w:t>Evaluate cloud-native core banking platforms</w:t>
      </w:r>
    </w:p>
    <w:p>
      <w:pPr>
        <w:pStyle w:val="Heading2"/>
      </w:pPr>
      <w:r>
        <w:rPr>
          <w:rFonts w:ascii="Arial" w:hAnsi="Arial"/>
          <w:color w:val="00205B"/>
        </w:rPr>
        <w:t>Architecture Blueprint</w:t>
      </w:r>
    </w:p>
    <w:p>
      <w:pPr>
        <w:pStyle w:val="ListBullet"/>
      </w:pPr>
      <w:r>
        <w:rPr>
          <w:sz w:val="20"/>
        </w:rPr>
        <w:t>Solution Overview</w:t>
      </w:r>
    </w:p>
    <w:p>
      <w:pPr>
        <w:pStyle w:val="ListBullet"/>
      </w:pPr>
      <w:r>
        <w:rPr>
          <w:sz w:val="20"/>
        </w:rPr>
        <w:t>HDFC Bank Core Banking System Modernization</w:t>
      </w:r>
    </w:p>
    <w:p>
      <w:pPr>
        <w:pStyle w:val="ListBullet"/>
      </w:pPr>
      <w:r>
        <w:rPr>
          <w:sz w:val="20"/>
        </w:rPr>
        <w:t>The proposed solution aims to modernize HDFC Bank's Core Banking System (CBS) by evaluating cloud-native core banking platforms, establishing a long-term strategic technology partnership, ensuring RBI regulatory compliance, and achieving a 99.999% system uptime SLA. The solution will replace the legacy monolithic architecture with a scalable, cloud-native solution, addressing digital channel gaps and ensuring scalability to support 10M+ daily transactions during peak loads.</w:t>
      </w:r>
    </w:p>
    <w:p>
      <w:pPr>
        <w:pStyle w:val="ListBullet"/>
      </w:pPr>
      <w:r>
        <w:rPr>
          <w:sz w:val="20"/>
        </w:rPr>
        <w:t>Key Benefits</w:t>
      </w:r>
    </w:p>
    <w:p>
      <w:pPr>
        <w:pStyle w:val="ListBullet"/>
      </w:pPr>
      <w:r>
        <w:rPr>
          <w:sz w:val="20"/>
        </w:rPr>
        <w:t>Improved system uptime and reliability</w:t>
      </w:r>
    </w:p>
    <w:p>
      <w:pPr>
        <w:pStyle w:val="ListBullet"/>
      </w:pPr>
      <w:r>
        <w:rPr>
          <w:sz w:val="20"/>
        </w:rPr>
        <w:t>Enhanced scalability to support growing customer base</w:t>
      </w:r>
    </w:p>
    <w:p>
      <w:pPr>
        <w:pStyle w:val="ListBullet"/>
      </w:pPr>
      <w:r>
        <w:rPr>
          <w:sz w:val="20"/>
        </w:rPr>
        <w:t>Compliance with RBI regulatory requirements</w:t>
      </w:r>
    </w:p>
    <w:p>
      <w:pPr>
        <w:pStyle w:val="ListBullet"/>
      </w:pPr>
      <w:r>
        <w:rPr>
          <w:sz w:val="20"/>
        </w:rPr>
        <w:t>Reduced total cost of ownership (TCO)</w:t>
      </w:r>
    </w:p>
    <w:p>
      <w:pPr>
        <w:pStyle w:val="ListBullet"/>
      </w:pPr>
      <w:r>
        <w:rPr>
          <w:sz w:val="20"/>
        </w:rPr>
        <w:t>Improved customer experience through digital channels</w:t>
      </w:r>
    </w:p>
    <w:p>
      <w:pPr>
        <w:pStyle w:val="ListBullet"/>
      </w:pPr>
      <w:r>
        <w:rPr>
          <w:sz w:val="20"/>
        </w:rPr>
        <w:t>Technology Stack</w:t>
      </w:r>
    </w:p>
    <w:p>
      <w:pPr>
        <w:pStyle w:val="ListBullet"/>
      </w:pPr>
      <w:r>
        <w:rPr>
          <w:sz w:val="20"/>
        </w:rPr>
        <w:t>Cloud Platform: Amazon Web Services (AWS) or Microsoft Azure, depending on the evaluation of cloud-native core banking platforms</w:t>
      </w:r>
    </w:p>
    <w:p>
      <w:pPr>
        <w:pStyle w:val="ListBullet"/>
      </w:pPr>
      <w:r>
        <w:rPr>
          <w:sz w:val="20"/>
        </w:rPr>
        <w:t>Core Banking Platform: Cloud-native core banking platforms such as Mambu, Temenos, or FIS</w:t>
      </w:r>
    </w:p>
    <w:p>
      <w:pPr>
        <w:pStyle w:val="ListBullet"/>
      </w:pPr>
      <w:r>
        <w:rPr>
          <w:sz w:val="20"/>
        </w:rPr>
        <w:t>Microservices Architecture: Containerization using Docker, orchestration using Kubernetes</w:t>
      </w:r>
    </w:p>
    <w:p>
      <w:pPr>
        <w:pStyle w:val="ListBullet"/>
      </w:pPr>
      <w:r>
        <w:rPr>
          <w:sz w:val="20"/>
        </w:rPr>
        <w:t>API Gateway: Amazon API Gateway or Azure API Management</w:t>
      </w:r>
    </w:p>
    <w:p>
      <w:pPr>
        <w:pStyle w:val="ListBullet"/>
      </w:pPr>
      <w:r>
        <w:rPr>
          <w:sz w:val="20"/>
        </w:rPr>
        <w:t>Security: Identity and Access Management (IAM) using AWS IAM or Azure Active Directory</w:t>
      </w:r>
    </w:p>
    <w:p>
      <w:pPr>
        <w:pStyle w:val="ListBullet"/>
      </w:pPr>
      <w:r>
        <w:rPr>
          <w:sz w:val="20"/>
        </w:rPr>
        <w:t>Data Storage: Relational databases (e.g., PostgreSQL) and NoSQL databases (e.g., MongoDB)</w:t>
      </w:r>
    </w:p>
    <w:p>
      <w:pPr>
        <w:pStyle w:val="ListBullet"/>
      </w:pPr>
      <w:r>
        <w:rPr>
          <w:sz w:val="20"/>
        </w:rPr>
        <w:t>Artificial Intelligence (AI) and Machine Learning (ML): Integration with AI/ML platforms such as AWS SageMaker or Azure Machine Learning</w:t>
      </w:r>
    </w:p>
    <w:p>
      <w:pPr>
        <w:pStyle w:val="ListBullet"/>
      </w:pPr>
      <w:r>
        <w:rPr>
          <w:sz w:val="20"/>
        </w:rPr>
        <w:t>System Architecture</w:t>
      </w:r>
    </w:p>
    <w:p>
      <w:pPr>
        <w:pStyle w:val="ListBullet"/>
      </w:pPr>
      <w:r>
        <w:rPr>
          <w:sz w:val="20"/>
        </w:rPr>
        <w:t>`mermaid</w:t>
      </w:r>
    </w:p>
    <w:p>
      <w:pPr>
        <w:pStyle w:val="ListBullet"/>
      </w:pPr>
      <w:r>
        <w:rPr>
          <w:sz w:val="20"/>
        </w:rPr>
        <w:t>flowchart TD</w:t>
      </w:r>
    </w:p>
    <w:p>
      <w:pPr>
        <w:pStyle w:val="ListBullet"/>
      </w:pPr>
      <w:r>
        <w:rPr>
          <w:sz w:val="20"/>
        </w:rPr>
        <w:t>A[Client Systems] --&gt; B[Integration Layer]</w:t>
      </w:r>
    </w:p>
    <w:p>
      <w:pPr>
        <w:pStyle w:val="ListBullet"/>
      </w:pPr>
      <w:r>
        <w:rPr>
          <w:sz w:val="20"/>
        </w:rPr>
        <w:t>B --&gt; C[API Gateway]</w:t>
      </w:r>
    </w:p>
    <w:p>
      <w:pPr>
        <w:pStyle w:val="ListBullet"/>
      </w:pPr>
      <w:r>
        <w:rPr>
          <w:sz w:val="20"/>
        </w:rPr>
        <w:t>C --&gt; D[Core Banking Platform]</w:t>
      </w:r>
    </w:p>
    <w:p>
      <w:pPr>
        <w:pStyle w:val="ListBullet"/>
      </w:pPr>
      <w:r>
        <w:rPr>
          <w:sz w:val="20"/>
        </w:rPr>
        <w:t>D --&gt; E[Microservices]</w:t>
      </w:r>
    </w:p>
    <w:p>
      <w:pPr>
        <w:pStyle w:val="ListBullet"/>
      </w:pPr>
      <w:r>
        <w:rPr>
          <w:sz w:val="20"/>
        </w:rPr>
        <w:t>E --&gt; F[Database Layer]</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00205B" w:color="auto" w:val="clear"/>
            <w:vAlign w:val="center"/>
          </w:tcPr>
          <w:p>
            <w:r>
              <w:rPr>
                <w:rFonts w:ascii="Arial" w:hAnsi="Arial"/>
                <w:b/>
                <w:color w:val="FFFFFF"/>
                <w:sz w:val="20"/>
              </w:rPr>
              <w:t>Role</w:t>
            </w:r>
          </w:p>
        </w:tc>
        <w:tc>
          <w:tcPr>
            <w:tcW w:type="dxa" w:w="3120"/>
            <w:shd w:fill="00205B" w:color="auto" w:val="clear"/>
            <w:vAlign w:val="center"/>
          </w:tcPr>
          <w:p>
            <w:r>
              <w:rPr>
                <w:rFonts w:ascii="Arial" w:hAnsi="Arial"/>
                <w:b/>
                <w:color w:val="FFFFFF"/>
                <w:sz w:val="20"/>
              </w:rPr>
              <w:t>Count</w:t>
            </w:r>
          </w:p>
        </w:tc>
        <w:tc>
          <w:tcPr>
            <w:tcW w:type="dxa" w:w="3120"/>
            <w:shd w:fill="00205B" w:color="auto" w:val="clear"/>
            <w:vAlign w:val="center"/>
          </w:tcPr>
          <w:p>
            <w:r>
              <w:rPr>
                <w:rFonts w:ascii="Arial" w:hAnsi="Arial"/>
                <w:b/>
                <w:color w:val="FFFFFF"/>
                <w:sz w:val="20"/>
              </w:rPr>
              <w:t>Location</w:t>
            </w:r>
          </w:p>
        </w:tc>
      </w:tr>
      <w:tr>
        <w:tc>
          <w:tcPr>
            <w:tcW w:type="dxa" w:w="3120"/>
            <w:shd w:fill="F0F2F5" w:color="auto" w:val="clear"/>
            <w:vAlign w:val="center"/>
          </w:tcPr>
          <w:p>
            <w:r>
              <w:rPr>
                <w:rFonts w:ascii="Arial" w:hAnsi="Arial"/>
                <w:sz w:val="20"/>
              </w:rPr>
              <w:t>Solution Architect</w:t>
            </w:r>
          </w:p>
        </w:tc>
        <w:tc>
          <w:tcPr>
            <w:tcW w:type="dxa" w:w="3120"/>
            <w:shd w:fill="F0F2F5" w:color="auto" w:val="clear"/>
            <w:vAlign w:val="center"/>
          </w:tcPr>
          <w:p>
            <w:r>
              <w:rPr>
                <w:rFonts w:ascii="Arial" w:hAnsi="Arial"/>
                <w:sz w:val="20"/>
              </w:rPr>
              <w:t>2</w:t>
            </w:r>
          </w:p>
        </w:tc>
        <w:tc>
          <w:tcPr>
            <w:tcW w:type="dxa" w:w="3120"/>
            <w:shd w:fill="F0F2F5" w:color="auto" w:val="clear"/>
            <w:vAlign w:val="center"/>
          </w:tcPr>
          <w:p>
            <w:r>
              <w:rPr>
                <w:rFonts w:ascii="Arial" w:hAnsi="Arial"/>
                <w:sz w:val="20"/>
              </w:rPr>
              <w:t>Mumbai, India</w:t>
            </w:r>
          </w:p>
        </w:tc>
      </w:tr>
      <w:tr>
        <w:tc>
          <w:tcPr>
            <w:tcW w:type="dxa" w:w="3120"/>
            <w:vAlign w:val="center"/>
          </w:tcPr>
          <w:p>
            <w:r>
              <w:rPr>
                <w:rFonts w:ascii="Arial" w:hAnsi="Arial"/>
                <w:sz w:val="20"/>
              </w:rPr>
              <w:t>Technical Lead</w:t>
            </w:r>
          </w:p>
        </w:tc>
        <w:tc>
          <w:tcPr>
            <w:tcW w:type="dxa" w:w="3120"/>
            <w:vAlign w:val="center"/>
          </w:tcPr>
          <w:p>
            <w:r>
              <w:rPr>
                <w:rFonts w:ascii="Arial" w:hAnsi="Arial"/>
                <w:sz w:val="20"/>
              </w:rPr>
              <w:t>1</w:t>
            </w:r>
          </w:p>
        </w:tc>
        <w:tc>
          <w:tcPr>
            <w:tcW w:type="dxa" w:w="3120"/>
            <w:vAlign w:val="center"/>
          </w:tcPr>
          <w:p>
            <w:r>
              <w:rPr>
                <w:rFonts w:ascii="Arial" w:hAnsi="Arial"/>
                <w:sz w:val="20"/>
              </w:rPr>
              <w:t>Mumbai, India</w:t>
            </w:r>
          </w:p>
        </w:tc>
      </w:tr>
      <w:tr>
        <w:tc>
          <w:tcPr>
            <w:tcW w:type="dxa" w:w="3120"/>
            <w:shd w:fill="F0F2F5" w:color="auto" w:val="clear"/>
            <w:vAlign w:val="center"/>
          </w:tcPr>
          <w:p>
            <w:r>
              <w:rPr>
                <w:rFonts w:ascii="Arial" w:hAnsi="Arial"/>
                <w:sz w:val="20"/>
              </w:rPr>
              <w:t>Cloud Architect</w:t>
            </w:r>
          </w:p>
        </w:tc>
        <w:tc>
          <w:tcPr>
            <w:tcW w:type="dxa" w:w="3120"/>
            <w:shd w:fill="F0F2F5" w:color="auto" w:val="clear"/>
            <w:vAlign w:val="center"/>
          </w:tcPr>
          <w:p>
            <w:r>
              <w:rPr>
                <w:rFonts w:ascii="Arial" w:hAnsi="Arial"/>
                <w:sz w:val="20"/>
              </w:rPr>
              <w:t>1</w:t>
            </w:r>
          </w:p>
        </w:tc>
        <w:tc>
          <w:tcPr>
            <w:tcW w:type="dxa" w:w="3120"/>
            <w:shd w:fill="F0F2F5" w:color="auto" w:val="clear"/>
            <w:vAlign w:val="center"/>
          </w:tcPr>
          <w:p>
            <w:r>
              <w:rPr>
                <w:rFonts w:ascii="Arial" w:hAnsi="Arial"/>
                <w:sz w:val="20"/>
              </w:rPr>
              <w:t>Mumbai, India</w:t>
            </w:r>
          </w:p>
        </w:tc>
      </w:tr>
      <w:tr>
        <w:tc>
          <w:tcPr>
            <w:tcW w:type="dxa" w:w="3120"/>
            <w:vAlign w:val="center"/>
          </w:tcPr>
          <w:p>
            <w:r>
              <w:rPr>
                <w:rFonts w:ascii="Arial" w:hAnsi="Arial"/>
                <w:sz w:val="20"/>
              </w:rPr>
              <w:t>Core Banking Expert</w:t>
            </w:r>
          </w:p>
        </w:tc>
        <w:tc>
          <w:tcPr>
            <w:tcW w:type="dxa" w:w="3120"/>
            <w:vAlign w:val="center"/>
          </w:tcPr>
          <w:p>
            <w:r>
              <w:rPr>
                <w:rFonts w:ascii="Arial" w:hAnsi="Arial"/>
                <w:sz w:val="20"/>
              </w:rPr>
              <w:t>1</w:t>
            </w:r>
          </w:p>
        </w:tc>
        <w:tc>
          <w:tcPr>
            <w:tcW w:type="dxa" w:w="3120"/>
            <w:vAlign w:val="center"/>
          </w:tcPr>
          <w:p>
            <w:r>
              <w:rPr>
                <w:rFonts w:ascii="Arial" w:hAnsi="Arial"/>
                <w:sz w:val="20"/>
              </w:rPr>
              <w:t>Mumbai, India</w:t>
            </w:r>
          </w:p>
        </w:tc>
      </w:tr>
      <w:tr>
        <w:tc>
          <w:tcPr>
            <w:tcW w:type="dxa" w:w="3120"/>
            <w:shd w:fill="F0F2F5" w:color="auto" w:val="clear"/>
            <w:vAlign w:val="center"/>
          </w:tcPr>
          <w:p>
            <w:r>
              <w:rPr>
                <w:rFonts w:ascii="Arial" w:hAnsi="Arial"/>
                <w:sz w:val="20"/>
              </w:rPr>
              <w:t>Microservices Developer</w:t>
            </w:r>
          </w:p>
        </w:tc>
        <w:tc>
          <w:tcPr>
            <w:tcW w:type="dxa" w:w="3120"/>
            <w:shd w:fill="F0F2F5" w:color="auto" w:val="clear"/>
            <w:vAlign w:val="center"/>
          </w:tcPr>
          <w:p>
            <w:r>
              <w:rPr>
                <w:rFonts w:ascii="Arial" w:hAnsi="Arial"/>
                <w:sz w:val="20"/>
              </w:rPr>
              <w:t>4</w:t>
            </w:r>
          </w:p>
        </w:tc>
        <w:tc>
          <w:tcPr>
            <w:tcW w:type="dxa" w:w="3120"/>
            <w:shd w:fill="F0F2F5" w:color="auto" w:val="clear"/>
            <w:vAlign w:val="center"/>
          </w:tcPr>
          <w:p>
            <w:r>
              <w:rPr>
                <w:rFonts w:ascii="Arial" w:hAnsi="Arial"/>
                <w:sz w:val="20"/>
              </w:rPr>
              <w:t>Mumbai, India, and offshore locations</w:t>
            </w:r>
          </w:p>
        </w:tc>
      </w:tr>
      <w:tr>
        <w:tc>
          <w:tcPr>
            <w:tcW w:type="dxa" w:w="3120"/>
            <w:vAlign w:val="center"/>
          </w:tcPr>
          <w:p>
            <w:r>
              <w:rPr>
                <w:rFonts w:ascii="Arial" w:hAnsi="Arial"/>
                <w:sz w:val="20"/>
              </w:rPr>
              <w:t>API Gateway Developer</w:t>
            </w:r>
          </w:p>
        </w:tc>
        <w:tc>
          <w:tcPr>
            <w:tcW w:type="dxa" w:w="3120"/>
            <w:vAlign w:val="center"/>
          </w:tcPr>
          <w:p>
            <w:r>
              <w:rPr>
                <w:rFonts w:ascii="Arial" w:hAnsi="Arial"/>
                <w:sz w:val="20"/>
              </w:rPr>
              <w:t>2</w:t>
            </w:r>
          </w:p>
        </w:tc>
        <w:tc>
          <w:tcPr>
            <w:tcW w:type="dxa" w:w="3120"/>
            <w:vAlign w:val="center"/>
          </w:tcPr>
          <w:p>
            <w:r>
              <w:rPr>
                <w:rFonts w:ascii="Arial" w:hAnsi="Arial"/>
                <w:sz w:val="20"/>
              </w:rPr>
              <w:t>Mumbai, India, and offshore locations</w:t>
            </w:r>
          </w:p>
        </w:tc>
      </w:tr>
      <w:tr>
        <w:tc>
          <w:tcPr>
            <w:tcW w:type="dxa" w:w="3120"/>
            <w:shd w:fill="F0F2F5" w:color="auto" w:val="clear"/>
            <w:vAlign w:val="center"/>
          </w:tcPr>
          <w:p>
            <w:r>
              <w:rPr>
                <w:rFonts w:ascii="Arial" w:hAnsi="Arial"/>
                <w:sz w:val="20"/>
              </w:rPr>
              <w:t>Security Specialist</w:t>
            </w:r>
          </w:p>
        </w:tc>
        <w:tc>
          <w:tcPr>
            <w:tcW w:type="dxa" w:w="3120"/>
            <w:shd w:fill="F0F2F5" w:color="auto" w:val="clear"/>
            <w:vAlign w:val="center"/>
          </w:tcPr>
          <w:p>
            <w:r>
              <w:rPr>
                <w:rFonts w:ascii="Arial" w:hAnsi="Arial"/>
                <w:sz w:val="20"/>
              </w:rPr>
              <w:t>1</w:t>
            </w:r>
          </w:p>
        </w:tc>
        <w:tc>
          <w:tcPr>
            <w:tcW w:type="dxa" w:w="3120"/>
            <w:shd w:fill="F0F2F5" w:color="auto" w:val="clear"/>
            <w:vAlign w:val="center"/>
          </w:tcPr>
          <w:p>
            <w:r>
              <w:rPr>
                <w:rFonts w:ascii="Arial" w:hAnsi="Arial"/>
                <w:sz w:val="20"/>
              </w:rPr>
              <w:t>Mumbai, India</w:t>
            </w:r>
          </w:p>
        </w:tc>
      </w:tr>
      <w:tr>
        <w:tc>
          <w:tcPr>
            <w:tcW w:type="dxa" w:w="3120"/>
            <w:vAlign w:val="center"/>
          </w:tcPr>
          <w:p>
            <w:r>
              <w:rPr>
                <w:rFonts w:ascii="Arial" w:hAnsi="Arial"/>
                <w:sz w:val="20"/>
              </w:rPr>
              <w:t>AI/ML Specialist</w:t>
            </w:r>
          </w:p>
        </w:tc>
        <w:tc>
          <w:tcPr>
            <w:tcW w:type="dxa" w:w="3120"/>
            <w:vAlign w:val="center"/>
          </w:tcPr>
          <w:p>
            <w:r>
              <w:rPr>
                <w:rFonts w:ascii="Arial" w:hAnsi="Arial"/>
                <w:sz w:val="20"/>
              </w:rPr>
              <w:t>1</w:t>
            </w:r>
          </w:p>
        </w:tc>
        <w:tc>
          <w:tcPr>
            <w:tcW w:type="dxa" w:w="3120"/>
            <w:vAlign w:val="center"/>
          </w:tcPr>
          <w:p>
            <w:r>
              <w:rPr>
                <w:rFonts w:ascii="Arial" w:hAnsi="Arial"/>
                <w:sz w:val="20"/>
              </w:rPr>
              <w:t>Mumbai, India</w:t>
            </w:r>
          </w:p>
        </w:tc>
      </w:tr>
      <w:tr>
        <w:tc>
          <w:tcPr>
            <w:tcW w:type="dxa" w:w="3120"/>
            <w:shd w:fill="F0F2F5" w:color="auto" w:val="clear"/>
            <w:vAlign w:val="center"/>
          </w:tcPr>
          <w:p>
            <w:r>
              <w:rPr>
                <w:rFonts w:ascii="Arial" w:hAnsi="Arial"/>
                <w:sz w:val="20"/>
              </w:rPr>
              <w:t>Database Administrator</w:t>
            </w:r>
          </w:p>
        </w:tc>
        <w:tc>
          <w:tcPr>
            <w:tcW w:type="dxa" w:w="3120"/>
            <w:shd w:fill="F0F2F5" w:color="auto" w:val="clear"/>
            <w:vAlign w:val="center"/>
          </w:tcPr>
          <w:p>
            <w:r>
              <w:rPr>
                <w:rFonts w:ascii="Arial" w:hAnsi="Arial"/>
                <w:sz w:val="20"/>
              </w:rPr>
              <w:t>2</w:t>
            </w:r>
          </w:p>
        </w:tc>
        <w:tc>
          <w:tcPr>
            <w:tcW w:type="dxa" w:w="3120"/>
            <w:shd w:fill="F0F2F5" w:color="auto" w:val="clear"/>
            <w:vAlign w:val="center"/>
          </w:tcPr>
          <w:p>
            <w:r>
              <w:rPr>
                <w:rFonts w:ascii="Arial" w:hAnsi="Arial"/>
                <w:sz w:val="20"/>
              </w:rPr>
              <w:t>Mumbai, India, and offshore locations</w:t>
            </w:r>
          </w:p>
        </w:tc>
      </w:tr>
      <w:tr>
        <w:tc>
          <w:tcPr>
            <w:tcW w:type="dxa" w:w="3120"/>
            <w:vAlign w:val="center"/>
          </w:tcPr>
          <w:p>
            <w:r>
              <w:rPr>
                <w:rFonts w:ascii="Arial" w:hAnsi="Arial"/>
                <w:sz w:val="20"/>
              </w:rPr>
              <w:t>DevOps Engineer</w:t>
            </w:r>
          </w:p>
        </w:tc>
        <w:tc>
          <w:tcPr>
            <w:tcW w:type="dxa" w:w="3120"/>
            <w:vAlign w:val="center"/>
          </w:tcPr>
          <w:p>
            <w:r>
              <w:rPr>
                <w:rFonts w:ascii="Arial" w:hAnsi="Arial"/>
                <w:sz w:val="20"/>
              </w:rPr>
              <w:t>2</w:t>
            </w:r>
          </w:p>
        </w:tc>
        <w:tc>
          <w:tcPr>
            <w:tcW w:type="dxa" w:w="3120"/>
            <w:vAlign w:val="center"/>
          </w:tcPr>
          <w:p>
            <w:r>
              <w:rPr>
                <w:rFonts w:ascii="Arial" w:hAnsi="Arial"/>
                <w:sz w:val="20"/>
              </w:rPr>
              <w:t>Mumbai, India, and offshore locations</w:t>
            </w:r>
          </w:p>
        </w:tc>
      </w:tr>
    </w:tbl>
    <w:p/>
    <w:p>
      <w:pPr>
        <w:pStyle w:val="Heading2"/>
      </w:pPr>
      <w:r>
        <w:rPr>
          <w:rFonts w:ascii="Arial" w:hAnsi="Arial"/>
          <w:color w:val="00205B"/>
        </w:rPr>
        <w:t>Commercials &amp; ROI</w:t>
      </w:r>
    </w:p>
    <w:p>
      <w:pPr>
        <w:pStyle w:val="ListBullet"/>
      </w:pPr>
      <w:r>
        <w:rPr>
          <w:sz w:val="20"/>
        </w:rPr>
        <w:t>Rate Card</w:t>
      </w:r>
    </w:p>
    <w:p>
      <w:pPr>
        <w:pStyle w:val="ListBullet"/>
      </w:pPr>
      <w:r>
        <w:rPr>
          <w:sz w:val="20"/>
        </w:rPr>
        <w:t>Phase Cost Breakdown</w:t>
      </w:r>
    </w:p>
    <w:p>
      <w:pPr>
        <w:pStyle w:val="ListBullet"/>
      </w:pPr>
      <w:r>
        <w:rPr>
          <w:sz w:val="20"/>
        </w:rPr>
        <w:t>Total Engagement Cost</w:t>
      </w:r>
    </w:p>
    <w:p>
      <w:pPr>
        <w:pStyle w:val="ListBullet"/>
      </w:pPr>
      <w:r>
        <w:rPr>
          <w:sz w:val="20"/>
        </w:rPr>
        <w:t>Min: $1,040,000 (assuming 20% of the total cost is spent on each phase)</w:t>
      </w:r>
    </w:p>
    <w:p>
      <w:pPr>
        <w:pStyle w:val="ListBullet"/>
      </w:pPr>
      <w:r>
        <w:rPr>
          <w:sz w:val="20"/>
        </w:rPr>
        <w:t>Max: $1,440,000 (assuming 30% of the total cost is spent on each phase)</w:t>
      </w:r>
    </w:p>
    <w:p>
      <w:pPr>
        <w:pStyle w:val="ListBullet"/>
      </w:pPr>
      <w:r>
        <w:rPr>
          <w:sz w:val="20"/>
        </w:rPr>
        <w:t>Payment Milestones</w:t>
      </w:r>
    </w:p>
    <w:p>
      <w:pPr>
        <w:pStyle w:val="ListBullet"/>
      </w:pPr>
      <w:r>
        <w:rPr>
          <w:sz w:val="20"/>
        </w:rPr>
        <w:t>ROI Justification</w:t>
      </w:r>
    </w:p>
    <w:p>
      <w:pPr>
        <w:pStyle w:val="ListBullet"/>
      </w:pPr>
      <w:r>
        <w:rPr>
          <w:sz w:val="20"/>
        </w:rPr>
        <w:t>Improved system uptime and reliability: Reduced downtime by 99.99% resulting in $1.5M annual savings</w:t>
      </w:r>
    </w:p>
    <w:p>
      <w:pPr>
        <w:pStyle w:val="ListBullet"/>
      </w:pPr>
      <w:r>
        <w:rPr>
          <w:sz w:val="20"/>
        </w:rPr>
        <w:t>Enhanced scalability to support growing customer base: Ability to handle 10M+ daily transactions during peak loads, resulting in $2M annual revenue growth</w:t>
      </w:r>
    </w:p>
    <w:p>
      <w:pPr>
        <w:pStyle w:val="ListBullet"/>
      </w:pPr>
      <w:r>
        <w:rPr>
          <w:sz w:val="20"/>
        </w:rPr>
        <w:t>Compliance with RBI regulatory requirements: Avoidance of fines and penalties totaling $500,000</w:t>
      </w:r>
    </w:p>
    <w:p>
      <w:pPr>
        <w:pStyle w:val="ListBullet"/>
      </w:pPr>
      <w:r>
        <w:rPr>
          <w:sz w:val="20"/>
        </w:rPr>
        <w:t>Reduced total cost of ownership (TCO): Annual TCO reduction of $1.2M due to cloud-native architecture and scalability</w:t>
      </w:r>
    </w:p>
    <w:p>
      <w:pPr>
        <w:pStyle w:val="ListBullet"/>
      </w:pPr>
      <w:r>
        <w:rPr>
          <w:sz w:val="20"/>
        </w:rPr>
        <w:t>Optional Add-ons</w:t>
      </w:r>
    </w:p>
    <w:p>
      <w:pPr>
        <w:pStyle w:val="ListBullet"/>
      </w:pPr>
      <w:r>
        <w:rPr>
          <w:sz w:val="20"/>
        </w:rPr>
        <w:t>Premium Support: Additional 24/7 support for critical issues, priced at $50,000 per month</w:t>
      </w:r>
    </w:p>
    <w:p>
      <w:pPr>
        <w:pStyle w:val="ListBullet"/>
      </w:pPr>
      <w:r>
        <w:rPr>
          <w:sz w:val="20"/>
        </w:rPr>
        <w:t>Cloud Cost Optimization: Ongoing cloud cost optimization and rightsizing, priced at $30,000 per month</w:t>
      </w:r>
    </w:p>
    <w:p>
      <w:pPr>
        <w:pStyle w:val="ListBullet"/>
      </w:pPr>
      <w:r>
        <w:rPr>
          <w:sz w:val="20"/>
        </w:rPr>
        <w:t>Cybersecurity Auditing: Regular cybersecurity audits and penetration testing, priced at $20,000 per month</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fill="00205B" w:color="auto" w:val="clear"/>
            <w:vAlign w:val="center"/>
          </w:tcPr>
          <w:p>
            <w:r>
              <w:rPr>
                <w:rFonts w:ascii="Arial" w:hAnsi="Arial"/>
                <w:b/>
                <w:color w:val="FFFFFF"/>
                <w:sz w:val="20"/>
              </w:rPr>
              <w:t>Role</w:t>
            </w:r>
          </w:p>
        </w:tc>
        <w:tc>
          <w:tcPr>
            <w:tcW w:type="dxa" w:w="1560"/>
            <w:shd w:fill="00205B" w:color="auto" w:val="clear"/>
            <w:vAlign w:val="center"/>
          </w:tcPr>
          <w:p>
            <w:r>
              <w:rPr>
                <w:rFonts w:ascii="Arial" w:hAnsi="Arial"/>
                <w:b/>
                <w:color w:val="FFFFFF"/>
                <w:sz w:val="20"/>
              </w:rPr>
              <w:t>Count</w:t>
            </w:r>
          </w:p>
        </w:tc>
        <w:tc>
          <w:tcPr>
            <w:tcW w:type="dxa" w:w="1560"/>
            <w:shd w:fill="00205B" w:color="auto" w:val="clear"/>
            <w:vAlign w:val="center"/>
          </w:tcPr>
          <w:p>
            <w:r>
              <w:rPr>
                <w:rFonts w:ascii="Arial" w:hAnsi="Arial"/>
                <w:b/>
                <w:color w:val="FFFFFF"/>
                <w:sz w:val="20"/>
              </w:rPr>
              <w:t>Location</w:t>
            </w:r>
          </w:p>
        </w:tc>
        <w:tc>
          <w:tcPr>
            <w:tcW w:type="dxa" w:w="1560"/>
            <w:shd w:fill="00205B" w:color="auto" w:val="clear"/>
            <w:vAlign w:val="center"/>
          </w:tcPr>
          <w:p>
            <w:r>
              <w:rPr>
                <w:rFonts w:ascii="Arial" w:hAnsi="Arial"/>
                <w:b/>
                <w:color w:val="FFFFFF"/>
                <w:sz w:val="20"/>
              </w:rPr>
              <w:t>Hrs/Month</w:t>
            </w:r>
          </w:p>
        </w:tc>
        <w:tc>
          <w:tcPr>
            <w:tcW w:type="dxa" w:w="1560"/>
            <w:shd w:fill="00205B" w:color="auto" w:val="clear"/>
            <w:vAlign w:val="center"/>
          </w:tcPr>
          <w:p>
            <w:r>
              <w:rPr>
                <w:rFonts w:ascii="Arial" w:hAnsi="Arial"/>
                <w:b/>
                <w:color w:val="FFFFFF"/>
                <w:sz w:val="20"/>
              </w:rPr>
              <w:t>Rate/hr</w:t>
            </w:r>
          </w:p>
        </w:tc>
        <w:tc>
          <w:tcPr>
            <w:tcW w:type="dxa" w:w="1560"/>
            <w:shd w:fill="00205B" w:color="auto" w:val="clear"/>
            <w:vAlign w:val="center"/>
          </w:tcPr>
          <w:p>
            <w:r>
              <w:rPr>
                <w:rFonts w:ascii="Arial" w:hAnsi="Arial"/>
                <w:b/>
                <w:color w:val="FFFFFF"/>
                <w:sz w:val="20"/>
              </w:rPr>
              <w:t>Monthly Cost</w:t>
            </w:r>
          </w:p>
        </w:tc>
      </w:tr>
      <w:tr>
        <w:tc>
          <w:tcPr>
            <w:tcW w:type="dxa" w:w="1560"/>
            <w:shd w:fill="F0F2F5" w:color="auto" w:val="clear"/>
            <w:vAlign w:val="center"/>
          </w:tcPr>
          <w:p>
            <w:r>
              <w:rPr>
                <w:rFonts w:ascii="Arial" w:hAnsi="Arial"/>
                <w:sz w:val="20"/>
              </w:rPr>
              <w:t>Solution Architect</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Onshore</w:t>
            </w:r>
          </w:p>
        </w:tc>
        <w:tc>
          <w:tcPr>
            <w:tcW w:type="dxa" w:w="1560"/>
            <w:shd w:fill="F0F2F5" w:color="auto" w:val="clear"/>
            <w:vAlign w:val="center"/>
          </w:tcPr>
          <w:p>
            <w:r>
              <w:rPr>
                <w:rFonts w:ascii="Arial" w:hAnsi="Arial"/>
                <w:sz w:val="20"/>
              </w:rPr>
              <w:t>160</w:t>
            </w:r>
          </w:p>
        </w:tc>
        <w:tc>
          <w:tcPr>
            <w:tcW w:type="dxa" w:w="1560"/>
            <w:shd w:fill="F0F2F5" w:color="auto" w:val="clear"/>
            <w:vAlign w:val="center"/>
          </w:tcPr>
          <w:p>
            <w:r>
              <w:rPr>
                <w:rFonts w:ascii="Arial" w:hAnsi="Arial"/>
                <w:sz w:val="20"/>
              </w:rPr>
              <w:t>$100</w:t>
            </w:r>
          </w:p>
        </w:tc>
        <w:tc>
          <w:tcPr>
            <w:tcW w:type="dxa" w:w="1560"/>
            <w:shd w:fill="F0F2F5" w:color="auto" w:val="clear"/>
            <w:vAlign w:val="center"/>
          </w:tcPr>
          <w:p>
            <w:r>
              <w:rPr>
                <w:rFonts w:ascii="Arial" w:hAnsi="Arial"/>
                <w:sz w:val="20"/>
              </w:rPr>
              <w:t>$16,000</w:t>
            </w:r>
          </w:p>
        </w:tc>
      </w:tr>
      <w:tr>
        <w:tc>
          <w:tcPr>
            <w:tcW w:type="dxa" w:w="1560"/>
            <w:vAlign w:val="center"/>
          </w:tcPr>
          <w:p>
            <w:r>
              <w:rPr>
                <w:rFonts w:ascii="Arial" w:hAnsi="Arial"/>
                <w:sz w:val="20"/>
              </w:rPr>
              <w:t>Cloud Engineer</w:t>
            </w:r>
          </w:p>
        </w:tc>
        <w:tc>
          <w:tcPr>
            <w:tcW w:type="dxa" w:w="1560"/>
            <w:vAlign w:val="center"/>
          </w:tcPr>
          <w:p>
            <w:r>
              <w:rPr>
                <w:rFonts w:ascii="Arial" w:hAnsi="Arial"/>
                <w:sz w:val="20"/>
              </w:rPr>
              <w:t>2</w:t>
            </w:r>
          </w:p>
        </w:tc>
        <w:tc>
          <w:tcPr>
            <w:tcW w:type="dxa" w:w="1560"/>
            <w:vAlign w:val="center"/>
          </w:tcPr>
          <w:p>
            <w:r>
              <w:rPr>
                <w:rFonts w:ascii="Arial" w:hAnsi="Arial"/>
                <w:sz w:val="20"/>
              </w:rPr>
              <w:t>Offshore</w:t>
            </w:r>
          </w:p>
        </w:tc>
        <w:tc>
          <w:tcPr>
            <w:tcW w:type="dxa" w:w="1560"/>
            <w:vAlign w:val="center"/>
          </w:tcPr>
          <w:p>
            <w:r>
              <w:rPr>
                <w:rFonts w:ascii="Arial" w:hAnsi="Arial"/>
                <w:sz w:val="20"/>
              </w:rPr>
              <w:t>240</w:t>
            </w:r>
          </w:p>
        </w:tc>
        <w:tc>
          <w:tcPr>
            <w:tcW w:type="dxa" w:w="1560"/>
            <w:vAlign w:val="center"/>
          </w:tcPr>
          <w:p>
            <w:r>
              <w:rPr>
                <w:rFonts w:ascii="Arial" w:hAnsi="Arial"/>
                <w:sz w:val="20"/>
              </w:rPr>
              <w:t>$30</w:t>
            </w:r>
          </w:p>
        </w:tc>
        <w:tc>
          <w:tcPr>
            <w:tcW w:type="dxa" w:w="1560"/>
            <w:vAlign w:val="center"/>
          </w:tcPr>
          <w:p>
            <w:r>
              <w:rPr>
                <w:rFonts w:ascii="Arial" w:hAnsi="Arial"/>
                <w:sz w:val="20"/>
              </w:rPr>
              <w:t>$14,400</w:t>
            </w:r>
          </w:p>
        </w:tc>
      </w:tr>
      <w:tr>
        <w:tc>
          <w:tcPr>
            <w:tcW w:type="dxa" w:w="1560"/>
            <w:shd w:fill="F0F2F5" w:color="auto" w:val="clear"/>
            <w:vAlign w:val="center"/>
          </w:tcPr>
          <w:p>
            <w:r>
              <w:rPr>
                <w:rFonts w:ascii="Arial" w:hAnsi="Arial"/>
                <w:sz w:val="20"/>
              </w:rPr>
              <w:t>Core Banking Specialist</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Nearshore</w:t>
            </w:r>
          </w:p>
        </w:tc>
        <w:tc>
          <w:tcPr>
            <w:tcW w:type="dxa" w:w="1560"/>
            <w:shd w:fill="F0F2F5" w:color="auto" w:val="clear"/>
            <w:vAlign w:val="center"/>
          </w:tcPr>
          <w:p>
            <w:r>
              <w:rPr>
                <w:rFonts w:ascii="Arial" w:hAnsi="Arial"/>
                <w:sz w:val="20"/>
              </w:rPr>
              <w:t>200</w:t>
            </w:r>
          </w:p>
        </w:tc>
        <w:tc>
          <w:tcPr>
            <w:tcW w:type="dxa" w:w="1560"/>
            <w:shd w:fill="F0F2F5" w:color="auto" w:val="clear"/>
            <w:vAlign w:val="center"/>
          </w:tcPr>
          <w:p>
            <w:r>
              <w:rPr>
                <w:rFonts w:ascii="Arial" w:hAnsi="Arial"/>
                <w:sz w:val="20"/>
              </w:rPr>
              <w:t>$55</w:t>
            </w:r>
          </w:p>
        </w:tc>
        <w:tc>
          <w:tcPr>
            <w:tcW w:type="dxa" w:w="1560"/>
            <w:shd w:fill="F0F2F5" w:color="auto" w:val="clear"/>
            <w:vAlign w:val="center"/>
          </w:tcPr>
          <w:p>
            <w:r>
              <w:rPr>
                <w:rFonts w:ascii="Arial" w:hAnsi="Arial"/>
                <w:sz w:val="20"/>
              </w:rPr>
              <w:t>$11,000</w:t>
            </w:r>
          </w:p>
        </w:tc>
      </w:tr>
      <w:tr>
        <w:tc>
          <w:tcPr>
            <w:tcW w:type="dxa" w:w="1560"/>
            <w:vAlign w:val="center"/>
          </w:tcPr>
          <w:p>
            <w:r>
              <w:rPr>
                <w:rFonts w:ascii="Arial" w:hAnsi="Arial"/>
                <w:sz w:val="20"/>
              </w:rPr>
              <w:t>DevOps Engineer</w:t>
            </w:r>
          </w:p>
        </w:tc>
        <w:tc>
          <w:tcPr>
            <w:tcW w:type="dxa" w:w="1560"/>
            <w:vAlign w:val="center"/>
          </w:tcPr>
          <w:p>
            <w:r>
              <w:rPr>
                <w:rFonts w:ascii="Arial" w:hAnsi="Arial"/>
                <w:sz w:val="20"/>
              </w:rPr>
              <w:t>1</w:t>
            </w:r>
          </w:p>
        </w:tc>
        <w:tc>
          <w:tcPr>
            <w:tcW w:type="dxa" w:w="1560"/>
            <w:vAlign w:val="center"/>
          </w:tcPr>
          <w:p>
            <w:r>
              <w:rPr>
                <w:rFonts w:ascii="Arial" w:hAnsi="Arial"/>
                <w:sz w:val="20"/>
              </w:rPr>
              <w:t>Offshore</w:t>
            </w:r>
          </w:p>
        </w:tc>
        <w:tc>
          <w:tcPr>
            <w:tcW w:type="dxa" w:w="1560"/>
            <w:vAlign w:val="center"/>
          </w:tcPr>
          <w:p>
            <w:r>
              <w:rPr>
                <w:rFonts w:ascii="Arial" w:hAnsi="Arial"/>
                <w:sz w:val="20"/>
              </w:rPr>
              <w:t>200</w:t>
            </w:r>
          </w:p>
        </w:tc>
        <w:tc>
          <w:tcPr>
            <w:tcW w:type="dxa" w:w="1560"/>
            <w:vAlign w:val="center"/>
          </w:tcPr>
          <w:p>
            <w:r>
              <w:rPr>
                <w:rFonts w:ascii="Arial" w:hAnsi="Arial"/>
                <w:sz w:val="20"/>
              </w:rPr>
              <w:t>$28</w:t>
            </w:r>
          </w:p>
        </w:tc>
        <w:tc>
          <w:tcPr>
            <w:tcW w:type="dxa" w:w="1560"/>
            <w:vAlign w:val="center"/>
          </w:tcPr>
          <w:p>
            <w:r>
              <w:rPr>
                <w:rFonts w:ascii="Arial" w:hAnsi="Arial"/>
                <w:sz w:val="20"/>
              </w:rPr>
              <w:t>$5,600</w:t>
            </w:r>
          </w:p>
        </w:tc>
      </w:tr>
      <w:tr>
        <w:tc>
          <w:tcPr>
            <w:tcW w:type="dxa" w:w="1560"/>
            <w:shd w:fill="F0F2F5" w:color="auto" w:val="clear"/>
            <w:vAlign w:val="center"/>
          </w:tcPr>
          <w:p>
            <w:r>
              <w:rPr>
                <w:rFonts w:ascii="Arial" w:hAnsi="Arial"/>
                <w:sz w:val="20"/>
              </w:rPr>
              <w:t>Security Specialist</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Onshore</w:t>
            </w:r>
          </w:p>
        </w:tc>
        <w:tc>
          <w:tcPr>
            <w:tcW w:type="dxa" w:w="1560"/>
            <w:shd w:fill="F0F2F5" w:color="auto" w:val="clear"/>
            <w:vAlign w:val="center"/>
          </w:tcPr>
          <w:p>
            <w:r>
              <w:rPr>
                <w:rFonts w:ascii="Arial" w:hAnsi="Arial"/>
                <w:sz w:val="20"/>
              </w:rPr>
              <w:t>160</w:t>
            </w:r>
          </w:p>
        </w:tc>
        <w:tc>
          <w:tcPr>
            <w:tcW w:type="dxa" w:w="1560"/>
            <w:shd w:fill="F0F2F5" w:color="auto" w:val="clear"/>
            <w:vAlign w:val="center"/>
          </w:tcPr>
          <w:p>
            <w:r>
              <w:rPr>
                <w:rFonts w:ascii="Arial" w:hAnsi="Arial"/>
                <w:sz w:val="20"/>
              </w:rPr>
              <w:t>$90</w:t>
            </w:r>
          </w:p>
        </w:tc>
        <w:tc>
          <w:tcPr>
            <w:tcW w:type="dxa" w:w="1560"/>
            <w:shd w:fill="F0F2F5" w:color="auto" w:val="clear"/>
            <w:vAlign w:val="center"/>
          </w:tcPr>
          <w:p>
            <w:r>
              <w:rPr>
                <w:rFonts w:ascii="Arial" w:hAnsi="Arial"/>
                <w:sz w:val="20"/>
              </w:rPr>
              <w:t>$14,400</w:t>
            </w:r>
          </w:p>
        </w:tc>
      </w:tr>
      <w:tr>
        <w:tc>
          <w:tcPr>
            <w:tcW w:type="dxa" w:w="1560"/>
            <w:vAlign w:val="center"/>
          </w:tcPr>
          <w:p>
            <w:r>
              <w:rPr>
                <w:rFonts w:ascii="Arial" w:hAnsi="Arial"/>
                <w:sz w:val="20"/>
              </w:rPr>
              <w:t>API Gateway Specialist</w:t>
            </w:r>
          </w:p>
        </w:tc>
        <w:tc>
          <w:tcPr>
            <w:tcW w:type="dxa" w:w="1560"/>
            <w:vAlign w:val="center"/>
          </w:tcPr>
          <w:p>
            <w:r>
              <w:rPr>
                <w:rFonts w:ascii="Arial" w:hAnsi="Arial"/>
                <w:sz w:val="20"/>
              </w:rPr>
              <w:t>1</w:t>
            </w:r>
          </w:p>
        </w:tc>
        <w:tc>
          <w:tcPr>
            <w:tcW w:type="dxa" w:w="1560"/>
            <w:vAlign w:val="center"/>
          </w:tcPr>
          <w:p>
            <w:r>
              <w:rPr>
                <w:rFonts w:ascii="Arial" w:hAnsi="Arial"/>
                <w:sz w:val="20"/>
              </w:rPr>
              <w:t>Offshore</w:t>
            </w:r>
          </w:p>
        </w:tc>
        <w:tc>
          <w:tcPr>
            <w:tcW w:type="dxa" w:w="1560"/>
            <w:vAlign w:val="center"/>
          </w:tcPr>
          <w:p>
            <w:r>
              <w:rPr>
                <w:rFonts w:ascii="Arial" w:hAnsi="Arial"/>
                <w:sz w:val="20"/>
              </w:rPr>
              <w:t>160</w:t>
            </w:r>
          </w:p>
        </w:tc>
        <w:tc>
          <w:tcPr>
            <w:tcW w:type="dxa" w:w="1560"/>
            <w:vAlign w:val="center"/>
          </w:tcPr>
          <w:p>
            <w:r>
              <w:rPr>
                <w:rFonts w:ascii="Arial" w:hAnsi="Arial"/>
                <w:sz w:val="20"/>
              </w:rPr>
              <w:t>$32</w:t>
            </w:r>
          </w:p>
        </w:tc>
        <w:tc>
          <w:tcPr>
            <w:tcW w:type="dxa" w:w="1560"/>
            <w:vAlign w:val="center"/>
          </w:tcPr>
          <w:p>
            <w:r>
              <w:rPr>
                <w:rFonts w:ascii="Arial" w:hAnsi="Arial"/>
                <w:sz w:val="20"/>
              </w:rPr>
              <w:t>$5,120</w:t>
            </w:r>
          </w:p>
        </w:tc>
      </w:tr>
      <w:tr>
        <w:tc>
          <w:tcPr>
            <w:tcW w:type="dxa" w:w="1560"/>
            <w:shd w:fill="F0F2F5" w:color="auto" w:val="clear"/>
            <w:vAlign w:val="center"/>
          </w:tcPr>
          <w:p>
            <w:r>
              <w:rPr>
                <w:rFonts w:ascii="Arial" w:hAnsi="Arial"/>
                <w:sz w:val="20"/>
              </w:rPr>
              <w:t>Data Storage Specialist</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Nearshore</w:t>
            </w:r>
          </w:p>
        </w:tc>
        <w:tc>
          <w:tcPr>
            <w:tcW w:type="dxa" w:w="1560"/>
            <w:shd w:fill="F0F2F5" w:color="auto" w:val="clear"/>
            <w:vAlign w:val="center"/>
          </w:tcPr>
          <w:p>
            <w:r>
              <w:rPr>
                <w:rFonts w:ascii="Arial" w:hAnsi="Arial"/>
                <w:sz w:val="20"/>
              </w:rPr>
              <w:t>160</w:t>
            </w:r>
          </w:p>
        </w:tc>
        <w:tc>
          <w:tcPr>
            <w:tcW w:type="dxa" w:w="1560"/>
            <w:shd w:fill="F0F2F5" w:color="auto" w:val="clear"/>
            <w:vAlign w:val="center"/>
          </w:tcPr>
          <w:p>
            <w:r>
              <w:rPr>
                <w:rFonts w:ascii="Arial" w:hAnsi="Arial"/>
                <w:sz w:val="20"/>
              </w:rPr>
              <w:t>$50</w:t>
            </w:r>
          </w:p>
        </w:tc>
        <w:tc>
          <w:tcPr>
            <w:tcW w:type="dxa" w:w="1560"/>
            <w:shd w:fill="F0F2F5" w:color="auto" w:val="clear"/>
            <w:vAlign w:val="center"/>
          </w:tcPr>
          <w:p>
            <w:r>
              <w:rPr>
                <w:rFonts w:ascii="Arial" w:hAnsi="Arial"/>
                <w:sz w:val="20"/>
              </w:rPr>
              <w:t>$8,000</w:t>
            </w:r>
          </w:p>
        </w:tc>
      </w:tr>
      <w:tr>
        <w:tc>
          <w:tcPr>
            <w:tcW w:type="dxa" w:w="1560"/>
            <w:vAlign w:val="center"/>
          </w:tcPr>
          <w:p>
            <w:r>
              <w:rPr>
                <w:rFonts w:ascii="Arial" w:hAnsi="Arial"/>
                <w:sz w:val="20"/>
              </w:rPr>
              <w:t>Project Manager</w:t>
            </w:r>
          </w:p>
        </w:tc>
        <w:tc>
          <w:tcPr>
            <w:tcW w:type="dxa" w:w="1560"/>
            <w:vAlign w:val="center"/>
          </w:tcPr>
          <w:p>
            <w:r>
              <w:rPr>
                <w:rFonts w:ascii="Arial" w:hAnsi="Arial"/>
                <w:sz w:val="20"/>
              </w:rPr>
              <w:t>1</w:t>
            </w:r>
          </w:p>
        </w:tc>
        <w:tc>
          <w:tcPr>
            <w:tcW w:type="dxa" w:w="1560"/>
            <w:vAlign w:val="center"/>
          </w:tcPr>
          <w:p>
            <w:r>
              <w:rPr>
                <w:rFonts w:ascii="Arial" w:hAnsi="Arial"/>
                <w:sz w:val="20"/>
              </w:rPr>
              <w:t>Onshore</w:t>
            </w:r>
          </w:p>
        </w:tc>
        <w:tc>
          <w:tcPr>
            <w:tcW w:type="dxa" w:w="1560"/>
            <w:vAlign w:val="center"/>
          </w:tcPr>
          <w:p>
            <w:r>
              <w:rPr>
                <w:rFonts w:ascii="Arial" w:hAnsi="Arial"/>
                <w:sz w:val="20"/>
              </w:rPr>
              <w:t>160</w:t>
            </w:r>
          </w:p>
        </w:tc>
        <w:tc>
          <w:tcPr>
            <w:tcW w:type="dxa" w:w="1560"/>
            <w:vAlign w:val="center"/>
          </w:tcPr>
          <w:p>
            <w:r>
              <w:rPr>
                <w:rFonts w:ascii="Arial" w:hAnsi="Arial"/>
                <w:sz w:val="20"/>
              </w:rPr>
              <w:t>$110</w:t>
            </w:r>
          </w:p>
        </w:tc>
        <w:tc>
          <w:tcPr>
            <w:tcW w:type="dxa" w:w="1560"/>
            <w:vAlign w:val="center"/>
          </w:tcPr>
          <w:p>
            <w:r>
              <w:rPr>
                <w:rFonts w:ascii="Arial" w:hAnsi="Arial"/>
                <w:sz w:val="20"/>
              </w:rPr>
              <w:t>$17,600</w:t>
            </w:r>
          </w:p>
        </w:tc>
      </w:tr>
      <w:tr>
        <w:tc>
          <w:tcPr>
            <w:tcW w:type="dxa" w:w="1560"/>
            <w:shd w:fill="F0F2F5" w:color="auto" w:val="clear"/>
            <w:vAlign w:val="center"/>
          </w:tcPr>
          <w:p>
            <w:r>
              <w:rPr>
                <w:rFonts w:ascii="Arial" w:hAnsi="Arial"/>
                <w:sz w:val="20"/>
              </w:rPr>
              <w:t>Quality Assurance Engineer</w:t>
            </w:r>
          </w:p>
        </w:tc>
        <w:tc>
          <w:tcPr>
            <w:tcW w:type="dxa" w:w="1560"/>
            <w:shd w:fill="F0F2F5" w:color="auto" w:val="clear"/>
            <w:vAlign w:val="center"/>
          </w:tcPr>
          <w:p>
            <w:r>
              <w:rPr>
                <w:rFonts w:ascii="Arial" w:hAnsi="Arial"/>
                <w:sz w:val="20"/>
              </w:rPr>
              <w:t>2</w:t>
            </w:r>
          </w:p>
        </w:tc>
        <w:tc>
          <w:tcPr>
            <w:tcW w:type="dxa" w:w="1560"/>
            <w:shd w:fill="F0F2F5" w:color="auto" w:val="clear"/>
            <w:vAlign w:val="center"/>
          </w:tcPr>
          <w:p>
            <w:r>
              <w:rPr>
                <w:rFonts w:ascii="Arial" w:hAnsi="Arial"/>
                <w:sz w:val="20"/>
              </w:rPr>
              <w:t>Offshore</w:t>
            </w:r>
          </w:p>
        </w:tc>
        <w:tc>
          <w:tcPr>
            <w:tcW w:type="dxa" w:w="1560"/>
            <w:shd w:fill="F0F2F5" w:color="auto" w:val="clear"/>
            <w:vAlign w:val="center"/>
          </w:tcPr>
          <w:p>
            <w:r>
              <w:rPr>
                <w:rFonts w:ascii="Arial" w:hAnsi="Arial"/>
                <w:sz w:val="20"/>
              </w:rPr>
              <w:t>240</w:t>
            </w:r>
          </w:p>
        </w:tc>
        <w:tc>
          <w:tcPr>
            <w:tcW w:type="dxa" w:w="1560"/>
            <w:shd w:fill="F0F2F5" w:color="auto" w:val="clear"/>
            <w:vAlign w:val="center"/>
          </w:tcPr>
          <w:p>
            <w:r>
              <w:rPr>
                <w:rFonts w:ascii="Arial" w:hAnsi="Arial"/>
                <w:sz w:val="20"/>
              </w:rPr>
              <w:t>$25</w:t>
            </w:r>
          </w:p>
        </w:tc>
        <w:tc>
          <w:tcPr>
            <w:tcW w:type="dxa" w:w="1560"/>
            <w:shd w:fill="F0F2F5" w:color="auto" w:val="clear"/>
            <w:vAlign w:val="center"/>
          </w:tcPr>
          <w:p>
            <w:r>
              <w:rPr>
                <w:rFonts w:ascii="Arial" w:hAnsi="Arial"/>
                <w:sz w:val="20"/>
              </w:rPr>
              <w:t>$12,000</w:t>
            </w:r>
          </w:p>
        </w:tc>
      </w:tr>
      <w:tr>
        <w:tc>
          <w:tcPr>
            <w:tcW w:type="dxa" w:w="1560"/>
            <w:vAlign w:val="center"/>
          </w:tcPr>
          <w:p>
            <w:r>
              <w:rPr>
                <w:rFonts w:ascii="Arial" w:hAnsi="Arial"/>
                <w:sz w:val="20"/>
              </w:rPr>
              <w:t>Business Analyst</w:t>
            </w:r>
          </w:p>
        </w:tc>
        <w:tc>
          <w:tcPr>
            <w:tcW w:type="dxa" w:w="1560"/>
            <w:vAlign w:val="center"/>
          </w:tcPr>
          <w:p>
            <w:r>
              <w:rPr>
                <w:rFonts w:ascii="Arial" w:hAnsi="Arial"/>
                <w:sz w:val="20"/>
              </w:rPr>
              <w:t>1</w:t>
            </w:r>
          </w:p>
        </w:tc>
        <w:tc>
          <w:tcPr>
            <w:tcW w:type="dxa" w:w="1560"/>
            <w:vAlign w:val="center"/>
          </w:tcPr>
          <w:p>
            <w:r>
              <w:rPr>
                <w:rFonts w:ascii="Arial" w:hAnsi="Arial"/>
                <w:sz w:val="20"/>
              </w:rPr>
              <w:t>Nearshore</w:t>
            </w:r>
          </w:p>
        </w:tc>
        <w:tc>
          <w:tcPr>
            <w:tcW w:type="dxa" w:w="1560"/>
            <w:vAlign w:val="center"/>
          </w:tcPr>
          <w:p>
            <w:r>
              <w:rPr>
                <w:rFonts w:ascii="Arial" w:hAnsi="Arial"/>
                <w:sz w:val="20"/>
              </w:rPr>
              <w:t>200</w:t>
            </w:r>
          </w:p>
        </w:tc>
        <w:tc>
          <w:tcPr>
            <w:tcW w:type="dxa" w:w="1560"/>
            <w:vAlign w:val="center"/>
          </w:tcPr>
          <w:p>
            <w:r>
              <w:rPr>
                <w:rFonts w:ascii="Arial" w:hAnsi="Arial"/>
                <w:sz w:val="20"/>
              </w:rPr>
              <w:t>$45</w:t>
            </w:r>
          </w:p>
        </w:tc>
        <w:tc>
          <w:tcPr>
            <w:tcW w:type="dxa" w:w="1560"/>
            <w:vAlign w:val="center"/>
          </w:tcPr>
          <w:p>
            <w:r>
              <w:rPr>
                <w:rFonts w:ascii="Arial" w:hAnsi="Arial"/>
                <w:sz w:val="20"/>
              </w:rPr>
              <w:t>$9,000</w:t>
            </w:r>
          </w:p>
        </w:tc>
      </w:tr>
    </w:tbl>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00205B" w:color="auto" w:val="clear"/>
            <w:vAlign w:val="center"/>
          </w:tcPr>
          <w:p>
            <w:r>
              <w:rPr>
                <w:rFonts w:ascii="Arial" w:hAnsi="Arial"/>
                <w:b/>
                <w:color w:val="FFFFFF"/>
                <w:sz w:val="20"/>
              </w:rPr>
              <w:t>Phase</w:t>
            </w:r>
          </w:p>
        </w:tc>
        <w:tc>
          <w:tcPr>
            <w:tcW w:type="dxa" w:w="2340"/>
            <w:shd w:fill="00205B" w:color="auto" w:val="clear"/>
            <w:vAlign w:val="center"/>
          </w:tcPr>
          <w:p>
            <w:r>
              <w:rPr>
                <w:rFonts w:ascii="Arial" w:hAnsi="Arial"/>
                <w:b/>
                <w:color w:val="FFFFFF"/>
                <w:sz w:val="20"/>
              </w:rPr>
              <w:t>Duration</w:t>
            </w:r>
          </w:p>
        </w:tc>
        <w:tc>
          <w:tcPr>
            <w:tcW w:type="dxa" w:w="2340"/>
            <w:shd w:fill="00205B" w:color="auto" w:val="clear"/>
            <w:vAlign w:val="center"/>
          </w:tcPr>
          <w:p>
            <w:r>
              <w:rPr>
                <w:rFonts w:ascii="Arial" w:hAnsi="Arial"/>
                <w:b/>
                <w:color w:val="FFFFFF"/>
                <w:sz w:val="20"/>
              </w:rPr>
              <w:t>Team Size</w:t>
            </w:r>
          </w:p>
        </w:tc>
        <w:tc>
          <w:tcPr>
            <w:tcW w:type="dxa" w:w="2340"/>
            <w:shd w:fill="00205B" w:color="auto" w:val="clear"/>
            <w:vAlign w:val="center"/>
          </w:tcPr>
          <w:p>
            <w:r>
              <w:rPr>
                <w:rFonts w:ascii="Arial" w:hAnsi="Arial"/>
                <w:b/>
                <w:color w:val="FFFFFF"/>
                <w:sz w:val="20"/>
              </w:rPr>
              <w:t>Total Cost</w:t>
            </w:r>
          </w:p>
        </w:tc>
      </w:tr>
      <w:tr>
        <w:tc>
          <w:tcPr>
            <w:tcW w:type="dxa" w:w="2340"/>
            <w:shd w:fill="F0F2F5" w:color="auto" w:val="clear"/>
            <w:vAlign w:val="center"/>
          </w:tcPr>
          <w:p>
            <w:r>
              <w:rPr>
                <w:rFonts w:ascii="Arial" w:hAnsi="Arial"/>
                <w:sz w:val="20"/>
              </w:rPr>
              <w:t>Solution Design</w:t>
            </w:r>
          </w:p>
        </w:tc>
        <w:tc>
          <w:tcPr>
            <w:tcW w:type="dxa" w:w="2340"/>
            <w:shd w:fill="F0F2F5" w:color="auto" w:val="clear"/>
            <w:vAlign w:val="center"/>
          </w:tcPr>
          <w:p>
            <w:r>
              <w:rPr>
                <w:rFonts w:ascii="Arial" w:hAnsi="Arial"/>
                <w:sz w:val="20"/>
              </w:rPr>
              <w:t>4 weeks</w:t>
            </w:r>
          </w:p>
        </w:tc>
        <w:tc>
          <w:tcPr>
            <w:tcW w:type="dxa" w:w="2340"/>
            <w:shd w:fill="F0F2F5" w:color="auto" w:val="clear"/>
            <w:vAlign w:val="center"/>
          </w:tcPr>
          <w:p>
            <w:r>
              <w:rPr>
                <w:rFonts w:ascii="Arial" w:hAnsi="Arial"/>
                <w:sz w:val="20"/>
              </w:rPr>
              <w:t>6</w:t>
            </w:r>
          </w:p>
        </w:tc>
        <w:tc>
          <w:tcPr>
            <w:tcW w:type="dxa" w:w="2340"/>
            <w:shd w:fill="F0F2F5" w:color="auto" w:val="clear"/>
            <w:vAlign w:val="center"/>
          </w:tcPr>
          <w:p>
            <w:r>
              <w:rPr>
                <w:rFonts w:ascii="Arial" w:hAnsi="Arial"/>
                <w:sz w:val="20"/>
              </w:rPr>
              <w:t>$96,000</w:t>
            </w:r>
          </w:p>
        </w:tc>
      </w:tr>
      <w:tr>
        <w:tc>
          <w:tcPr>
            <w:tcW w:type="dxa" w:w="2340"/>
            <w:vAlign w:val="center"/>
          </w:tcPr>
          <w:p>
            <w:r>
              <w:rPr>
                <w:rFonts w:ascii="Arial" w:hAnsi="Arial"/>
                <w:sz w:val="20"/>
              </w:rPr>
              <w:t>Cloud Migration</w:t>
            </w:r>
          </w:p>
        </w:tc>
        <w:tc>
          <w:tcPr>
            <w:tcW w:type="dxa" w:w="2340"/>
            <w:vAlign w:val="center"/>
          </w:tcPr>
          <w:p>
            <w:r>
              <w:rPr>
                <w:rFonts w:ascii="Arial" w:hAnsi="Arial"/>
                <w:sz w:val="20"/>
              </w:rPr>
              <w:t>8 weeks</w:t>
            </w:r>
          </w:p>
        </w:tc>
        <w:tc>
          <w:tcPr>
            <w:tcW w:type="dxa" w:w="2340"/>
            <w:vAlign w:val="center"/>
          </w:tcPr>
          <w:p>
            <w:r>
              <w:rPr>
                <w:rFonts w:ascii="Arial" w:hAnsi="Arial"/>
                <w:sz w:val="20"/>
              </w:rPr>
              <w:t>7</w:t>
            </w:r>
          </w:p>
        </w:tc>
        <w:tc>
          <w:tcPr>
            <w:tcW w:type="dxa" w:w="2340"/>
            <w:vAlign w:val="center"/>
          </w:tcPr>
          <w:p>
            <w:r>
              <w:rPr>
                <w:rFonts w:ascii="Arial" w:hAnsi="Arial"/>
                <w:sz w:val="20"/>
              </w:rPr>
              <w:t>$192,000</w:t>
            </w:r>
          </w:p>
        </w:tc>
      </w:tr>
      <w:tr>
        <w:tc>
          <w:tcPr>
            <w:tcW w:type="dxa" w:w="2340"/>
            <w:shd w:fill="F0F2F5" w:color="auto" w:val="clear"/>
            <w:vAlign w:val="center"/>
          </w:tcPr>
          <w:p>
            <w:r>
              <w:rPr>
                <w:rFonts w:ascii="Arial" w:hAnsi="Arial"/>
                <w:sz w:val="20"/>
              </w:rPr>
              <w:t>Core Banking Implementation</w:t>
            </w:r>
          </w:p>
        </w:tc>
        <w:tc>
          <w:tcPr>
            <w:tcW w:type="dxa" w:w="2340"/>
            <w:shd w:fill="F0F2F5" w:color="auto" w:val="clear"/>
            <w:vAlign w:val="center"/>
          </w:tcPr>
          <w:p>
            <w:r>
              <w:rPr>
                <w:rFonts w:ascii="Arial" w:hAnsi="Arial"/>
                <w:sz w:val="20"/>
              </w:rPr>
              <w:t>12 weeks</w:t>
            </w:r>
          </w:p>
        </w:tc>
        <w:tc>
          <w:tcPr>
            <w:tcW w:type="dxa" w:w="2340"/>
            <w:shd w:fill="F0F2F5" w:color="auto" w:val="clear"/>
            <w:vAlign w:val="center"/>
          </w:tcPr>
          <w:p>
            <w:r>
              <w:rPr>
                <w:rFonts w:ascii="Arial" w:hAnsi="Arial"/>
                <w:sz w:val="20"/>
              </w:rPr>
              <w:t>8</w:t>
            </w:r>
          </w:p>
        </w:tc>
        <w:tc>
          <w:tcPr>
            <w:tcW w:type="dxa" w:w="2340"/>
            <w:shd w:fill="F0F2F5" w:color="auto" w:val="clear"/>
            <w:vAlign w:val="center"/>
          </w:tcPr>
          <w:p>
            <w:r>
              <w:rPr>
                <w:rFonts w:ascii="Arial" w:hAnsi="Arial"/>
                <w:sz w:val="20"/>
              </w:rPr>
              <w:t>$288,000</w:t>
            </w:r>
          </w:p>
        </w:tc>
      </w:tr>
      <w:tr>
        <w:tc>
          <w:tcPr>
            <w:tcW w:type="dxa" w:w="2340"/>
            <w:vAlign w:val="center"/>
          </w:tcPr>
          <w:p>
            <w:r>
              <w:rPr>
                <w:rFonts w:ascii="Arial" w:hAnsi="Arial"/>
                <w:sz w:val="20"/>
              </w:rPr>
              <w:t>Security and Compliance</w:t>
            </w:r>
          </w:p>
        </w:tc>
        <w:tc>
          <w:tcPr>
            <w:tcW w:type="dxa" w:w="2340"/>
            <w:vAlign w:val="center"/>
          </w:tcPr>
          <w:p>
            <w:r>
              <w:rPr>
                <w:rFonts w:ascii="Arial" w:hAnsi="Arial"/>
                <w:sz w:val="20"/>
              </w:rPr>
              <w:t>4 weeks</w:t>
            </w:r>
          </w:p>
        </w:tc>
        <w:tc>
          <w:tcPr>
            <w:tcW w:type="dxa" w:w="2340"/>
            <w:vAlign w:val="center"/>
          </w:tcPr>
          <w:p>
            <w:r>
              <w:rPr>
                <w:rFonts w:ascii="Arial" w:hAnsi="Arial"/>
                <w:sz w:val="20"/>
              </w:rPr>
              <w:t>5</w:t>
            </w:r>
          </w:p>
        </w:tc>
        <w:tc>
          <w:tcPr>
            <w:tcW w:type="dxa" w:w="2340"/>
            <w:vAlign w:val="center"/>
          </w:tcPr>
          <w:p>
            <w:r>
              <w:rPr>
                <w:rFonts w:ascii="Arial" w:hAnsi="Arial"/>
                <w:sz w:val="20"/>
              </w:rPr>
              <w:t>$80,000</w:t>
            </w:r>
          </w:p>
        </w:tc>
      </w:tr>
      <w:tr>
        <w:tc>
          <w:tcPr>
            <w:tcW w:type="dxa" w:w="2340"/>
            <w:shd w:fill="F0F2F5" w:color="auto" w:val="clear"/>
            <w:vAlign w:val="center"/>
          </w:tcPr>
          <w:p>
            <w:r>
              <w:rPr>
                <w:rFonts w:ascii="Arial" w:hAnsi="Arial"/>
                <w:sz w:val="20"/>
              </w:rPr>
              <w:t>Testing and Quality Assurance</w:t>
            </w:r>
          </w:p>
        </w:tc>
        <w:tc>
          <w:tcPr>
            <w:tcW w:type="dxa" w:w="2340"/>
            <w:shd w:fill="F0F2F5" w:color="auto" w:val="clear"/>
            <w:vAlign w:val="center"/>
          </w:tcPr>
          <w:p>
            <w:r>
              <w:rPr>
                <w:rFonts w:ascii="Arial" w:hAnsi="Arial"/>
                <w:sz w:val="20"/>
              </w:rPr>
              <w:t>8 weeks</w:t>
            </w:r>
          </w:p>
        </w:tc>
        <w:tc>
          <w:tcPr>
            <w:tcW w:type="dxa" w:w="2340"/>
            <w:shd w:fill="F0F2F5" w:color="auto" w:val="clear"/>
            <w:vAlign w:val="center"/>
          </w:tcPr>
          <w:p>
            <w:r>
              <w:rPr>
                <w:rFonts w:ascii="Arial" w:hAnsi="Arial"/>
                <w:sz w:val="20"/>
              </w:rPr>
              <w:t>6</w:t>
            </w:r>
          </w:p>
        </w:tc>
        <w:tc>
          <w:tcPr>
            <w:tcW w:type="dxa" w:w="2340"/>
            <w:shd w:fill="F0F2F5" w:color="auto" w:val="clear"/>
            <w:vAlign w:val="center"/>
          </w:tcPr>
          <w:p>
            <w:r>
              <w:rPr>
                <w:rFonts w:ascii="Arial" w:hAnsi="Arial"/>
                <w:sz w:val="20"/>
              </w:rPr>
              <w:t>$144,000</w:t>
            </w:r>
          </w:p>
        </w:tc>
      </w:tr>
      <w:tr>
        <w:tc>
          <w:tcPr>
            <w:tcW w:type="dxa" w:w="2340"/>
            <w:vAlign w:val="center"/>
          </w:tcPr>
          <w:p>
            <w:r>
              <w:rPr>
                <w:rFonts w:ascii="Arial" w:hAnsi="Arial"/>
                <w:sz w:val="20"/>
              </w:rPr>
              <w:t>Deployment and Training</w:t>
            </w:r>
          </w:p>
        </w:tc>
        <w:tc>
          <w:tcPr>
            <w:tcW w:type="dxa" w:w="2340"/>
            <w:vAlign w:val="center"/>
          </w:tcPr>
          <w:p>
            <w:r>
              <w:rPr>
                <w:rFonts w:ascii="Arial" w:hAnsi="Arial"/>
                <w:sz w:val="20"/>
              </w:rPr>
              <w:t>4 weeks</w:t>
            </w:r>
          </w:p>
        </w:tc>
        <w:tc>
          <w:tcPr>
            <w:tcW w:type="dxa" w:w="2340"/>
            <w:vAlign w:val="center"/>
          </w:tcPr>
          <w:p>
            <w:r>
              <w:rPr>
                <w:rFonts w:ascii="Arial" w:hAnsi="Arial"/>
                <w:sz w:val="20"/>
              </w:rPr>
              <w:t>5</w:t>
            </w:r>
          </w:p>
        </w:tc>
        <w:tc>
          <w:tcPr>
            <w:tcW w:type="dxa" w:w="2340"/>
            <w:vAlign w:val="center"/>
          </w:tcPr>
          <w:p>
            <w:r>
              <w:rPr>
                <w:rFonts w:ascii="Arial" w:hAnsi="Arial"/>
                <w:sz w:val="20"/>
              </w:rPr>
              <w:t>$80,000</w:t>
            </w:r>
          </w:p>
        </w:tc>
      </w:tr>
    </w:tbl>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00205B" w:color="auto" w:val="clear"/>
            <w:vAlign w:val="center"/>
          </w:tcPr>
          <w:p>
            <w:r>
              <w:rPr>
                <w:rFonts w:ascii="Arial" w:hAnsi="Arial"/>
                <w:b/>
                <w:color w:val="FFFFFF"/>
                <w:sz w:val="20"/>
              </w:rPr>
              <w:t>Milestone</w:t>
            </w:r>
          </w:p>
        </w:tc>
        <w:tc>
          <w:tcPr>
            <w:tcW w:type="dxa" w:w="3120"/>
            <w:shd w:fill="00205B" w:color="auto" w:val="clear"/>
            <w:vAlign w:val="center"/>
          </w:tcPr>
          <w:p>
            <w:r>
              <w:rPr>
                <w:rFonts w:ascii="Arial" w:hAnsi="Arial"/>
                <w:b/>
                <w:color w:val="FFFFFF"/>
                <w:sz w:val="20"/>
              </w:rPr>
              <w:t>%</w:t>
            </w:r>
          </w:p>
        </w:tc>
        <w:tc>
          <w:tcPr>
            <w:tcW w:type="dxa" w:w="3120"/>
            <w:shd w:fill="00205B" w:color="auto" w:val="clear"/>
            <w:vAlign w:val="center"/>
          </w:tcPr>
          <w:p>
            <w:r>
              <w:rPr>
                <w:rFonts w:ascii="Arial" w:hAnsi="Arial"/>
                <w:b/>
                <w:color w:val="FFFFFF"/>
                <w:sz w:val="20"/>
              </w:rPr>
              <w:t>Trigger</w:t>
            </w:r>
          </w:p>
        </w:tc>
      </w:tr>
      <w:tr>
        <w:tc>
          <w:tcPr>
            <w:tcW w:type="dxa" w:w="3120"/>
            <w:shd w:fill="F0F2F5" w:color="auto" w:val="clear"/>
            <w:vAlign w:val="center"/>
          </w:tcPr>
          <w:p>
            <w:r>
              <w:rPr>
                <w:rFonts w:ascii="Arial" w:hAnsi="Arial"/>
                <w:sz w:val="20"/>
              </w:rPr>
              <w:t>Solution Design Completion</w:t>
            </w:r>
          </w:p>
        </w:tc>
        <w:tc>
          <w:tcPr>
            <w:tcW w:type="dxa" w:w="3120"/>
            <w:shd w:fill="F0F2F5" w:color="auto" w:val="clear"/>
            <w:vAlign w:val="center"/>
          </w:tcPr>
          <w:p>
            <w:r>
              <w:rPr>
                <w:rFonts w:ascii="Arial" w:hAnsi="Arial"/>
                <w:sz w:val="20"/>
              </w:rPr>
              <w:t>20%</w:t>
            </w:r>
          </w:p>
        </w:tc>
        <w:tc>
          <w:tcPr>
            <w:tcW w:type="dxa" w:w="3120"/>
            <w:shd w:fill="F0F2F5" w:color="auto" w:val="clear"/>
            <w:vAlign w:val="center"/>
          </w:tcPr>
          <w:p>
            <w:r>
              <w:rPr>
                <w:rFonts w:ascii="Arial" w:hAnsi="Arial"/>
                <w:sz w:val="20"/>
              </w:rPr>
              <w:t>Completion of Solution Design Phase</w:t>
            </w:r>
          </w:p>
        </w:tc>
      </w:tr>
      <w:tr>
        <w:tc>
          <w:tcPr>
            <w:tcW w:type="dxa" w:w="3120"/>
            <w:vAlign w:val="center"/>
          </w:tcPr>
          <w:p>
            <w:r>
              <w:rPr>
                <w:rFonts w:ascii="Arial" w:hAnsi="Arial"/>
                <w:sz w:val="20"/>
              </w:rPr>
              <w:t>Cloud Migration Completion</w:t>
            </w:r>
          </w:p>
        </w:tc>
        <w:tc>
          <w:tcPr>
            <w:tcW w:type="dxa" w:w="3120"/>
            <w:vAlign w:val="center"/>
          </w:tcPr>
          <w:p>
            <w:r>
              <w:rPr>
                <w:rFonts w:ascii="Arial" w:hAnsi="Arial"/>
                <w:sz w:val="20"/>
              </w:rPr>
              <w:t>30%</w:t>
            </w:r>
          </w:p>
        </w:tc>
        <w:tc>
          <w:tcPr>
            <w:tcW w:type="dxa" w:w="3120"/>
            <w:vAlign w:val="center"/>
          </w:tcPr>
          <w:p>
            <w:r>
              <w:rPr>
                <w:rFonts w:ascii="Arial" w:hAnsi="Arial"/>
                <w:sz w:val="20"/>
              </w:rPr>
              <w:t>Completion of Cloud Migration Phase</w:t>
            </w:r>
          </w:p>
        </w:tc>
      </w:tr>
      <w:tr>
        <w:tc>
          <w:tcPr>
            <w:tcW w:type="dxa" w:w="3120"/>
            <w:shd w:fill="F0F2F5" w:color="auto" w:val="clear"/>
            <w:vAlign w:val="center"/>
          </w:tcPr>
          <w:p>
            <w:r>
              <w:rPr>
                <w:rFonts w:ascii="Arial" w:hAnsi="Arial"/>
                <w:sz w:val="20"/>
              </w:rPr>
              <w:t>Core Banking Implementation Completion</w:t>
            </w:r>
          </w:p>
        </w:tc>
        <w:tc>
          <w:tcPr>
            <w:tcW w:type="dxa" w:w="3120"/>
            <w:shd w:fill="F0F2F5" w:color="auto" w:val="clear"/>
            <w:vAlign w:val="center"/>
          </w:tcPr>
          <w:p>
            <w:r>
              <w:rPr>
                <w:rFonts w:ascii="Arial" w:hAnsi="Arial"/>
                <w:sz w:val="20"/>
              </w:rPr>
              <w:t>30%</w:t>
            </w:r>
          </w:p>
        </w:tc>
        <w:tc>
          <w:tcPr>
            <w:tcW w:type="dxa" w:w="3120"/>
            <w:shd w:fill="F0F2F5" w:color="auto" w:val="clear"/>
            <w:vAlign w:val="center"/>
          </w:tcPr>
          <w:p>
            <w:r>
              <w:rPr>
                <w:rFonts w:ascii="Arial" w:hAnsi="Arial"/>
                <w:sz w:val="20"/>
              </w:rPr>
              <w:t>Completion of Core Banking Implementation Phase</w:t>
            </w:r>
          </w:p>
        </w:tc>
      </w:tr>
      <w:tr>
        <w:tc>
          <w:tcPr>
            <w:tcW w:type="dxa" w:w="3120"/>
            <w:vAlign w:val="center"/>
          </w:tcPr>
          <w:p>
            <w:r>
              <w:rPr>
                <w:rFonts w:ascii="Arial" w:hAnsi="Arial"/>
                <w:sz w:val="20"/>
              </w:rPr>
              <w:t>Security and Compliance Completion</w:t>
            </w:r>
          </w:p>
        </w:tc>
        <w:tc>
          <w:tcPr>
            <w:tcW w:type="dxa" w:w="3120"/>
            <w:vAlign w:val="center"/>
          </w:tcPr>
          <w:p>
            <w:r>
              <w:rPr>
                <w:rFonts w:ascii="Arial" w:hAnsi="Arial"/>
                <w:sz w:val="20"/>
              </w:rPr>
              <w:t>10%</w:t>
            </w:r>
          </w:p>
        </w:tc>
        <w:tc>
          <w:tcPr>
            <w:tcW w:type="dxa" w:w="3120"/>
            <w:vAlign w:val="center"/>
          </w:tcPr>
          <w:p>
            <w:r>
              <w:rPr>
                <w:rFonts w:ascii="Arial" w:hAnsi="Arial"/>
                <w:sz w:val="20"/>
              </w:rPr>
              <w:t>Completion of Security and Compliance Phase</w:t>
            </w:r>
          </w:p>
        </w:tc>
      </w:tr>
      <w:tr>
        <w:tc>
          <w:tcPr>
            <w:tcW w:type="dxa" w:w="3120"/>
            <w:shd w:fill="F0F2F5" w:color="auto" w:val="clear"/>
            <w:vAlign w:val="center"/>
          </w:tcPr>
          <w:p>
            <w:r>
              <w:rPr>
                <w:rFonts w:ascii="Arial" w:hAnsi="Arial"/>
                <w:sz w:val="20"/>
              </w:rPr>
              <w:t>Deployment and Training Completion</w:t>
            </w:r>
          </w:p>
        </w:tc>
        <w:tc>
          <w:tcPr>
            <w:tcW w:type="dxa" w:w="3120"/>
            <w:shd w:fill="F0F2F5" w:color="auto" w:val="clear"/>
            <w:vAlign w:val="center"/>
          </w:tcPr>
          <w:p>
            <w:r>
              <w:rPr>
                <w:rFonts w:ascii="Arial" w:hAnsi="Arial"/>
                <w:sz w:val="20"/>
              </w:rPr>
              <w:t>10%</w:t>
            </w:r>
          </w:p>
        </w:tc>
        <w:tc>
          <w:tcPr>
            <w:tcW w:type="dxa" w:w="3120"/>
            <w:shd w:fill="F0F2F5" w:color="auto" w:val="clear"/>
            <w:vAlign w:val="center"/>
          </w:tcPr>
          <w:p>
            <w:r>
              <w:rPr>
                <w:rFonts w:ascii="Arial" w:hAnsi="Arial"/>
                <w:sz w:val="20"/>
              </w:rPr>
              <w:t>Completion of Deployment and Training Phase</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6"/>
      </w:rPr>
      <w:t>Proprietary and Confidential  |  Prepared strictly for HDFC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96969"/>
        <w:sz w:val="16"/>
      </w:rPr>
      <w:t>TECH MAHINDRA CONSULTING | HIGHLY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232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