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r>
    </w:p>
    <w:p>
      <w:pPr>
        <w:jc w:val="left"/>
      </w:pPr>
      <w:r>
        <w:drawing>
          <wp:inline xmlns:a="http://schemas.openxmlformats.org/drawingml/2006/main" xmlns:pic="http://schemas.openxmlformats.org/drawingml/2006/picture">
            <wp:extent cx="3200400" cy="1232154"/>
            <wp:docPr id="1" name="Picture 1"/>
            <wp:cNvGraphicFramePr>
              <a:graphicFrameLocks noChangeAspect="1"/>
            </wp:cNvGraphicFramePr>
            <a:graphic>
              <a:graphicData uri="http://schemas.openxmlformats.org/drawingml/2006/picture">
                <pic:pic>
                  <pic:nvPicPr>
                    <pic:cNvPr id="0" name="techm_logo.jpg"/>
                    <pic:cNvPicPr/>
                  </pic:nvPicPr>
                  <pic:blipFill>
                    <a:blip r:embed="rId11"/>
                    <a:stretch>
                      <a:fillRect/>
                    </a:stretch>
                  </pic:blipFill>
                  <pic:spPr>
                    <a:xfrm>
                      <a:off x="0" y="0"/>
                      <a:ext cx="3200400" cy="1232154"/>
                    </a:xfrm>
                    <a:prstGeom prst="rect"/>
                  </pic:spPr>
                </pic:pic>
              </a:graphicData>
            </a:graphic>
          </wp:inline>
        </w:drawing>
      </w:r>
    </w:p>
    <w:p>
      <w:pPr>
        <w:jc w:val="left"/>
      </w:pPr>
      <w:r>
        <w:rPr>
          <w:rFonts w:ascii="Arial" w:hAnsi="Arial"/>
          <w:b/>
          <w:color w:val="00205B"/>
          <w:sz w:val="44"/>
        </w:rPr>
        <w:t>STRATEGIC CONSULTING</w:t>
      </w:r>
    </w:p>
    <w:p>
      <w:r>
        <w:br/>
        <w:br/>
        <w:br/>
      </w:r>
    </w:p>
    <w:p>
      <w:pPr>
        <w:jc w:val="left"/>
      </w:pPr>
      <w:r>
        <w:rPr>
          <w:b/>
          <w:color w:val="00205B"/>
          <w:sz w:val="52"/>
        </w:rPr>
        <w:t>Solution Proposal &amp; Strategic Blueprint</w:t>
      </w:r>
    </w:p>
    <w:p>
      <w:pPr>
        <w:jc w:val="left"/>
      </w:pPr>
      <w:r>
        <w:rPr>
          <w:color w:val="696969"/>
          <w:sz w:val="28"/>
        </w:rPr>
        <w:t>Prepared exclusively for: HDFC</w:t>
      </w:r>
    </w:p>
    <w:p>
      <w:r>
        <w:br/>
        <w:br/>
        <w:br/>
        <w:br/>
        <w:br/>
        <w:br/>
      </w:r>
    </w:p>
    <w:p>
      <w:pPr>
        <w:jc w:val="left"/>
      </w:pPr>
      <w:r>
        <w:rPr>
          <w:b/>
          <w:color w:val="E31837"/>
          <w:sz w:val="24"/>
        </w:rPr>
        <w:t>STRICTLY CONFIDENTIAL</w:t>
      </w:r>
    </w:p>
    <w:p>
      <w:pPr>
        <w:jc w:val="left"/>
      </w:pPr>
      <w:r>
        <w:rPr>
          <w:color w:val="696969"/>
          <w:sz w:val="22"/>
        </w:rPr>
        <w:t>Date: 27 April 2026</w:t>
        <w:br/>
        <w:t>Version: 1.0 (Final Draft)</w:t>
      </w:r>
    </w:p>
    <w:p>
      <w:r>
        <w:br w:type="page"/>
      </w:r>
    </w:p>
    <w:p>
      <w:pPr>
        <w:pStyle w:val="Heading1"/>
        <w:pBdr>
          <w:bottom w:val="single" w:sz="16" w:space="1" w:color="E31837"/>
        </w:pBdr>
      </w:pPr>
      <w:r>
        <w:rPr>
          <w:rFonts w:ascii="Arial" w:hAnsi="Arial"/>
          <w:color w:val="00205B"/>
        </w:rPr>
        <w:t>Tech Mahindra – Solution Proposal for HDFC Bank</w:t>
      </w:r>
    </w:p>
    <w:p>
      <w:pPr>
        <w:pStyle w:val="Heading1"/>
        <w:pBdr>
          <w:bottom w:val="single" w:sz="16" w:space="1" w:color="E31837"/>
        </w:pBdr>
      </w:pPr>
      <w:r>
        <w:rPr>
          <w:rFonts w:ascii="Arial" w:hAnsi="Arial"/>
          <w:color w:val="00205B"/>
        </w:rPr>
        <w:t>1. Executive Summary</w:t>
      </w:r>
    </w:p>
    <w:p>
      <w:pPr>
        <w:pStyle w:val="ListBullet"/>
      </w:pPr>
      <w:r>
        <w:rPr>
          <w:sz w:val="22"/>
        </w:rPr>
        <w:t>HDFC Bank, India's largest private sector bank, seeks to modernize its core banking system to ensure scalability, high availability, and regulatory compliance. Our proposal outlines a comprehensive solution leveraging cloud-native core banking platforms, strategic technology partnerships, and digital transformation to achieve the desired outcomes. Our team of experts will work closely with HDFC Bank to evaluate cloud-native core banking platforms, establish a long-term strategic technology partnership, and ensure RBI regulatory compliance post-upgrade. With our solution, HDFC Bank can expect improved digital channel gaps, 99.999% system uptime SLA, and scalability to support 10M+ daily transactions during peak loads.</w:t>
      </w:r>
    </w:p>
    <w:p>
      <w:pPr>
        <w:pStyle w:val="ListBullet"/>
      </w:pPr>
      <w:r>
        <w:rPr>
          <w:sz w:val="22"/>
        </w:rPr>
        <w:t>Our proposed solution is designed to address HDFC Bank's key requirements, including evaluating cloud-native core banking platforms, establishing a long-term strategic technology partnership, and ensuring RBI regulatory compliance post-upgrade. Our team will work closely with HDFC Bank to understand their specific needs and develop a tailored solution that meets their requirements.</w:t>
      </w:r>
    </w:p>
    <w:p>
      <w:pPr>
        <w:pStyle w:val="Heading1"/>
        <w:pBdr>
          <w:bottom w:val="single" w:sz="16" w:space="1" w:color="E31837"/>
        </w:pBdr>
      </w:pPr>
      <w:r>
        <w:rPr>
          <w:rFonts w:ascii="Arial" w:hAnsi="Arial"/>
          <w:color w:val="00205B"/>
        </w:rPr>
        <w:t>2. Understanding Your Challenge</w:t>
      </w:r>
    </w:p>
    <w:p>
      <w:pPr>
        <w:pStyle w:val="ListBullet"/>
      </w:pPr>
      <w:r>
        <w:rPr>
          <w:sz w:val="22"/>
        </w:rPr>
        <w:t>HDFC Bank faces significant challenges in its current core banking system, including scalability issues, high maintenance costs, and regulatory compliance risks. The bank's rapid growth and increasing customer base have put a strain on its existing system, leading to decreased efficiency and increased costs. Furthermore, the RBI's regulatory requirements have become increasingly stringent, making it essential for HDFC Bank to upgrade its core banking system to ensure compliance.</w:t>
      </w:r>
    </w:p>
    <w:p>
      <w:pPr>
        <w:pStyle w:val="ListBullet"/>
      </w:pPr>
      <w:r>
        <w:rPr>
          <w:sz w:val="22"/>
        </w:rPr>
        <w:t>Our proposed solution addresses these challenges by leveraging cloud-native core banking platforms, strategic technology partnerships, and digital transformation. By modernizing its core banking system, HDFC Bank can expect improved scalability, reduced maintenance costs, and enhanced regulatory compliance.</w:t>
      </w:r>
    </w:p>
    <w:p>
      <w:pPr>
        <w:pStyle w:val="Heading1"/>
        <w:pBdr>
          <w:bottom w:val="single" w:sz="16" w:space="1" w:color="E31837"/>
        </w:pBdr>
      </w:pPr>
      <w:r>
        <w:rPr>
          <w:rFonts w:ascii="Arial" w:hAnsi="Arial"/>
          <w:color w:val="00205B"/>
        </w:rPr>
        <w:t>3. Our Proposed Solution</w:t>
      </w:r>
    </w:p>
    <w:p>
      <w:pPr>
        <w:pStyle w:val="ListBullet"/>
      </w:pPr>
      <w:r>
        <w:rPr>
          <w:sz w:val="22"/>
        </w:rPr>
        <w:t>Our proposed solution is designed to meet HDFC Bank's key requirements, including evaluating cloud-native core banking platforms, establishing a long-term strategic technology partnership, and ensuring RBI regulatory compliance post-upgrade. Our solution will consist of the following components:</w:t>
      </w:r>
    </w:p>
    <w:p>
      <w:pPr>
        <w:pStyle w:val="ListBullet"/>
      </w:pPr>
      <w:r>
        <w:rPr>
          <w:sz w:val="22"/>
        </w:rPr>
        <w:t>Cloud-native core banking platform evaluation and selection</w:t>
      </w:r>
    </w:p>
    <w:p>
      <w:pPr>
        <w:pStyle w:val="ListBullet"/>
      </w:pPr>
      <w:r>
        <w:rPr>
          <w:sz w:val="22"/>
        </w:rPr>
        <w:t>Strategic technology partnership establishment</w:t>
      </w:r>
    </w:p>
    <w:p>
      <w:pPr>
        <w:pStyle w:val="ListBullet"/>
      </w:pPr>
      <w:r>
        <w:rPr>
          <w:sz w:val="22"/>
        </w:rPr>
        <w:t>RBI regulatory compliance post-upgrade</w:t>
      </w:r>
    </w:p>
    <w:p>
      <w:pPr>
        <w:pStyle w:val="ListBullet"/>
      </w:pPr>
      <w:r>
        <w:rPr>
          <w:sz w:val="22"/>
        </w:rPr>
        <w:t>Digital transformation to improve digital channel gaps</w:t>
      </w:r>
    </w:p>
    <w:p>
      <w:pPr>
        <w:pStyle w:val="ListBullet"/>
      </w:pPr>
      <w:r>
        <w:rPr>
          <w:sz w:val="22"/>
        </w:rPr>
        <w:t>Scalability to support 10M+ daily transactions during peak loads</w:t>
      </w:r>
    </w:p>
    <w:p>
      <w:pPr>
        <w:pStyle w:val="ListBullet"/>
      </w:pPr>
      <w:r>
        <w:rPr>
          <w:sz w:val="22"/>
        </w:rPr>
        <w:t>99.999% system uptime SLA</w:t>
      </w:r>
    </w:p>
    <w:p>
      <w:pPr>
        <w:pStyle w:val="ListBullet"/>
      </w:pPr>
      <w:r>
        <w:rPr>
          <w:sz w:val="22"/>
        </w:rPr>
        <w:t>Our team will work closely with HDFC Bank to understand their specific needs and develop a tailored solution that meets their requirements.</w:t>
      </w:r>
    </w:p>
    <w:p>
      <w:pPr>
        <w:pStyle w:val="Heading1"/>
        <w:pBdr>
          <w:bottom w:val="single" w:sz="16" w:space="1" w:color="E31837"/>
        </w:pBdr>
      </w:pPr>
      <w:r>
        <w:rPr>
          <w:rFonts w:ascii="Arial" w:hAnsi="Arial"/>
          <w:color w:val="00205B"/>
        </w:rPr>
        <w:t>4. Solution Architecture</w:t>
      </w:r>
    </w:p>
    <w:p>
      <w:pPr>
        <w:pStyle w:val="Heading1"/>
        <w:pBdr>
          <w:bottom w:val="single" w:sz="16" w:space="1" w:color="E31837"/>
        </w:pBdr>
      </w:pPr>
      <w:r>
        <w:rPr>
          <w:rFonts w:ascii="Arial" w:hAnsi="Arial"/>
          <w:color w:val="00205B"/>
        </w:rPr>
        <w:t>5. Team Structure &amp; Operating Model</w:t>
      </w:r>
    </w:p>
    <w:p>
      <w:pPr>
        <w:pStyle w:val="ListBullet"/>
      </w:pPr>
      <w:r>
        <w:rPr>
          <w:sz w:val="22"/>
        </w:rPr>
        <w:t>Our team will consist of the following members:</w:t>
      </w:r>
    </w:p>
    <w:p>
      <w:pPr>
        <w:pStyle w:val="ListBullet"/>
      </w:pPr>
      <w:r>
        <w:rPr>
          <w:sz w:val="22"/>
        </w:rPr>
        <w:t>Solution Architect (2): Onshore</w:t>
      </w:r>
    </w:p>
    <w:p>
      <w:pPr>
        <w:pStyle w:val="ListBullet"/>
      </w:pPr>
      <w:r>
        <w:rPr>
          <w:sz w:val="22"/>
        </w:rPr>
        <w:t>Technical Lead (1): Nearshore</w:t>
      </w:r>
    </w:p>
    <w:p>
      <w:pPr>
        <w:pStyle w:val="ListBullet"/>
      </w:pPr>
      <w:r>
        <w:rPr>
          <w:sz w:val="22"/>
        </w:rPr>
        <w:t>Cloud Engineer (4): Offshore</w:t>
      </w:r>
    </w:p>
    <w:p>
      <w:pPr>
        <w:pStyle w:val="ListBullet"/>
      </w:pPr>
      <w:r>
        <w:rPr>
          <w:sz w:val="22"/>
        </w:rPr>
        <w:t>QA Engineer (2): Offshore</w:t>
      </w:r>
    </w:p>
    <w:p>
      <w:pPr>
        <w:pStyle w:val="ListBullet"/>
      </w:pPr>
      <w:r>
        <w:rPr>
          <w:sz w:val="22"/>
        </w:rPr>
        <w:t>DevOps Engineer (1): Nearshore</w:t>
      </w:r>
    </w:p>
    <w:p>
      <w:pPr>
        <w:pStyle w:val="ListBullet"/>
      </w:pPr>
      <w:r>
        <w:rPr>
          <w:sz w:val="22"/>
        </w:rPr>
        <w:t>Business Analyst (1): Onshore</w:t>
      </w:r>
    </w:p>
    <w:p>
      <w:pPr>
        <w:pStyle w:val="ListBullet"/>
      </w:pPr>
      <w:r>
        <w:rPr>
          <w:sz w:val="22"/>
        </w:rPr>
        <w:t>Project Manager (1): Onshore</w:t>
      </w:r>
    </w:p>
    <w:p>
      <w:pPr>
        <w:pStyle w:val="ListBullet"/>
      </w:pPr>
      <w:r>
        <w:rPr>
          <w:sz w:val="22"/>
        </w:rPr>
        <w:t>AI/ML Engineer (1): Offshore</w:t>
      </w:r>
    </w:p>
    <w:p>
      <w:pPr>
        <w:pStyle w:val="ListBullet"/>
      </w:pPr>
      <w:r>
        <w:rPr>
          <w:sz w:val="22"/>
        </w:rPr>
        <w:t>API Developer (1): Nearshore</w:t>
      </w:r>
    </w:p>
    <w:p>
      <w:pPr>
        <w:pStyle w:val="ListBullet"/>
      </w:pPr>
      <w:r>
        <w:rPr>
          <w:sz w:val="22"/>
        </w:rPr>
        <w:t>Our team will operate under a hybrid model, with onshore and nearshore teams working closely together to ensure seamless communication and collaboration.</w:t>
      </w:r>
    </w:p>
    <w:p>
      <w:pPr>
        <w:pStyle w:val="Heading1"/>
        <w:pBdr>
          <w:bottom w:val="single" w:sz="16" w:space="1" w:color="E31837"/>
        </w:pBdr>
      </w:pPr>
      <w:r>
        <w:rPr>
          <w:rFonts w:ascii="Arial" w:hAnsi="Arial"/>
          <w:color w:val="00205B"/>
        </w:rPr>
        <w:t>6. Delivery Roadmap</w:t>
      </w:r>
    </w:p>
    <w:p>
      <w:pPr>
        <w:pStyle w:val="ListBullet"/>
      </w:pPr>
      <w:r>
        <w:rPr>
          <w:sz w:val="22"/>
        </w:rPr>
        <w:t>Our delivery roadmap will consist of the following phases:</w:t>
      </w:r>
    </w:p>
    <w:p>
      <w:pPr>
        <w:pStyle w:val="ListBullet"/>
      </w:pPr>
      <w:r>
        <w:rPr>
          <w:sz w:val="22"/>
        </w:rPr>
        <w:t>Phase 1: Cloud-Native Core Banking Platform Evaluation and Selection (Duration: 6 weeks)</w:t>
      </w:r>
    </w:p>
    <w:p>
      <w:pPr>
        <w:pStyle w:val="ListBullet"/>
      </w:pPr>
      <w:r>
        <w:rPr>
          <w:sz w:val="22"/>
        </w:rPr>
        <w:t>Evaluate cloud-native core banking platforms</w:t>
      </w:r>
    </w:p>
    <w:p>
      <w:pPr>
        <w:pStyle w:val="ListBullet"/>
      </w:pPr>
      <w:r>
        <w:rPr>
          <w:sz w:val="22"/>
        </w:rPr>
        <w:t>Select the most suitable platform for HDFC Bank's needs</w:t>
      </w:r>
    </w:p>
    <w:p>
      <w:pPr>
        <w:pStyle w:val="ListBullet"/>
      </w:pPr>
      <w:r>
        <w:rPr>
          <w:sz w:val="22"/>
        </w:rPr>
        <w:t>Phase 2: Strategic Technology Partnership Establishment (Duration: 8 weeks)</w:t>
      </w:r>
    </w:p>
    <w:p>
      <w:pPr>
        <w:pStyle w:val="ListBullet"/>
      </w:pPr>
      <w:r>
        <w:rPr>
          <w:sz w:val="22"/>
        </w:rPr>
        <w:t>Establish a long-term strategic technology partnership with the selected platform provider</w:t>
      </w:r>
    </w:p>
    <w:p>
      <w:pPr>
        <w:pStyle w:val="ListBullet"/>
      </w:pPr>
      <w:r>
        <w:rPr>
          <w:sz w:val="22"/>
        </w:rPr>
        <w:t>Ensure RBI regulatory compliance post-upgrade</w:t>
      </w:r>
    </w:p>
    <w:p>
      <w:pPr>
        <w:pStyle w:val="ListBullet"/>
      </w:pPr>
      <w:r>
        <w:rPr>
          <w:sz w:val="22"/>
        </w:rPr>
        <w:t>Phase 3: Digital Transformation (Duration: 12 weeks)</w:t>
      </w:r>
    </w:p>
    <w:p>
      <w:pPr>
        <w:pStyle w:val="ListBullet"/>
      </w:pPr>
      <w:r>
        <w:rPr>
          <w:sz w:val="22"/>
        </w:rPr>
        <w:t>Implement digital transformation to improve digital channel gaps</w:t>
      </w:r>
    </w:p>
    <w:p>
      <w:pPr>
        <w:pStyle w:val="ListBullet"/>
      </w:pPr>
      <w:r>
        <w:rPr>
          <w:sz w:val="22"/>
        </w:rPr>
        <w:t>Ensure scalability to support 10M+ daily transactions during peak loads</w:t>
      </w:r>
    </w:p>
    <w:p>
      <w:pPr>
        <w:pStyle w:val="ListBullet"/>
      </w:pPr>
      <w:r>
        <w:rPr>
          <w:sz w:val="22"/>
        </w:rPr>
        <w:t>Phase 4: Implementation and Testing (Duration: 16 weeks)</w:t>
      </w:r>
    </w:p>
    <w:p>
      <w:pPr>
        <w:pStyle w:val="ListBullet"/>
      </w:pPr>
      <w:r>
        <w:rPr>
          <w:sz w:val="22"/>
        </w:rPr>
        <w:t>Implement the selected cloud-native core banking platform</w:t>
      </w:r>
    </w:p>
    <w:p>
      <w:pPr>
        <w:pStyle w:val="ListBullet"/>
      </w:pPr>
      <w:r>
        <w:rPr>
          <w:sz w:val="22"/>
        </w:rPr>
        <w:t>Conduct thorough testing to ensure 99.999% system uptime SLA</w:t>
      </w:r>
    </w:p>
    <w:p>
      <w:pPr>
        <w:pStyle w:val="Heading1"/>
        <w:pBdr>
          <w:bottom w:val="single" w:sz="16" w:space="1" w:color="E31837"/>
        </w:pBdr>
      </w:pPr>
      <w:r>
        <w:rPr>
          <w:rFonts w:ascii="Arial" w:hAnsi="Arial"/>
          <w:color w:val="00205B"/>
        </w:rPr>
        <w:t>7. Commercial Summary</w:t>
      </w:r>
    </w:p>
    <w:p>
      <w:pPr>
        <w:pStyle w:val="ListBullet"/>
      </w:pPr>
      <w:r>
        <w:rPr>
          <w:sz w:val="22"/>
        </w:rPr>
        <w:t>Our commercial model is based on a rate card, which outlines the costs associated with each team member. The rate card is as follows:</w:t>
      </w:r>
    </w:p>
    <w:p>
      <w:pPr>
        <w:pStyle w:val="ListBullet"/>
      </w:pPr>
      <w:r>
        <w:rPr>
          <w:sz w:val="22"/>
        </w:rPr>
        <w:t>The total cost of the project will be approximately $2.5 million, spread across the four phases.</w:t>
      </w:r>
    </w:p>
    <w:tbl>
      <w:tblPr>
        <w:tblStyle w:val="TableGrid"/>
        <w:tblW w:type="auto" w:w="0"/>
        <w:tblLayout w:type="autofit"/>
        <w:tblLook w:firstColumn="1" w:firstRow="1" w:lastColumn="0" w:lastRow="0" w:noHBand="0" w:noVBand="1" w:val="04A0"/>
      </w:tblPr>
      <w:tblGrid>
        <w:gridCol w:w="1560"/>
        <w:gridCol w:w="1560"/>
        <w:gridCol w:w="1560"/>
        <w:gridCol w:w="1560"/>
        <w:gridCol w:w="1560"/>
        <w:gridCol w:w="1560"/>
      </w:tblGrid>
      <w:tr>
        <w:tc>
          <w:tcPr>
            <w:tcW w:type="dxa" w:w="1560"/>
            <w:shd w:fill="00205B" w:color="auto" w:val="clear"/>
            <w:vAlign w:val="center"/>
          </w:tcPr>
          <w:p>
            <w:r>
              <w:rPr>
                <w:rFonts w:ascii="Arial" w:hAnsi="Arial"/>
                <w:b/>
                <w:color w:val="FFFFFF"/>
                <w:sz w:val="20"/>
              </w:rPr>
              <w:t>Role</w:t>
            </w:r>
          </w:p>
        </w:tc>
        <w:tc>
          <w:tcPr>
            <w:tcW w:type="dxa" w:w="1560"/>
            <w:shd w:fill="00205B" w:color="auto" w:val="clear"/>
            <w:vAlign w:val="center"/>
          </w:tcPr>
          <w:p>
            <w:r>
              <w:rPr>
                <w:rFonts w:ascii="Arial" w:hAnsi="Arial"/>
                <w:b/>
                <w:color w:val="FFFFFF"/>
                <w:sz w:val="20"/>
              </w:rPr>
              <w:t>Count</w:t>
            </w:r>
          </w:p>
        </w:tc>
        <w:tc>
          <w:tcPr>
            <w:tcW w:type="dxa" w:w="1560"/>
            <w:shd w:fill="00205B" w:color="auto" w:val="clear"/>
            <w:vAlign w:val="center"/>
          </w:tcPr>
          <w:p>
            <w:r>
              <w:rPr>
                <w:rFonts w:ascii="Arial" w:hAnsi="Arial"/>
                <w:b/>
                <w:color w:val="FFFFFF"/>
                <w:sz w:val="20"/>
              </w:rPr>
              <w:t>Location</w:t>
            </w:r>
          </w:p>
        </w:tc>
        <w:tc>
          <w:tcPr>
            <w:tcW w:type="dxa" w:w="1560"/>
            <w:shd w:fill="00205B" w:color="auto" w:val="clear"/>
            <w:vAlign w:val="center"/>
          </w:tcPr>
          <w:p>
            <w:r>
              <w:rPr>
                <w:rFonts w:ascii="Arial" w:hAnsi="Arial"/>
                <w:b/>
                <w:color w:val="FFFFFF"/>
                <w:sz w:val="20"/>
              </w:rPr>
              <w:t>Hrs/Month</w:t>
            </w:r>
          </w:p>
        </w:tc>
        <w:tc>
          <w:tcPr>
            <w:tcW w:type="dxa" w:w="1560"/>
            <w:shd w:fill="00205B" w:color="auto" w:val="clear"/>
            <w:vAlign w:val="center"/>
          </w:tcPr>
          <w:p>
            <w:r>
              <w:rPr>
                <w:rFonts w:ascii="Arial" w:hAnsi="Arial"/>
                <w:b/>
                <w:color w:val="FFFFFF"/>
                <w:sz w:val="20"/>
              </w:rPr>
              <w:t>Rate/hr</w:t>
            </w:r>
          </w:p>
        </w:tc>
        <w:tc>
          <w:tcPr>
            <w:tcW w:type="dxa" w:w="1560"/>
            <w:shd w:fill="00205B" w:color="auto" w:val="clear"/>
            <w:vAlign w:val="center"/>
          </w:tcPr>
          <w:p>
            <w:r>
              <w:rPr>
                <w:rFonts w:ascii="Arial" w:hAnsi="Arial"/>
                <w:b/>
                <w:color w:val="FFFFFF"/>
                <w:sz w:val="20"/>
              </w:rPr>
              <w:t>Monthly Cost</w:t>
            </w:r>
          </w:p>
        </w:tc>
      </w:tr>
      <w:tr>
        <w:tc>
          <w:tcPr>
            <w:tcW w:type="dxa" w:w="1560"/>
            <w:shd w:fill="F0F2F5" w:color="auto" w:val="clear"/>
            <w:vAlign w:val="center"/>
          </w:tcPr>
          <w:p>
            <w:r>
              <w:rPr>
                <w:rFonts w:ascii="Arial" w:hAnsi="Arial"/>
                <w:sz w:val="20"/>
              </w:rPr>
              <w:t>Solution Architect</w:t>
            </w:r>
          </w:p>
        </w:tc>
        <w:tc>
          <w:tcPr>
            <w:tcW w:type="dxa" w:w="1560"/>
            <w:shd w:fill="F0F2F5" w:color="auto" w:val="clear"/>
            <w:vAlign w:val="center"/>
          </w:tcPr>
          <w:p>
            <w:r>
              <w:rPr>
                <w:rFonts w:ascii="Arial" w:hAnsi="Arial"/>
                <w:sz w:val="20"/>
              </w:rPr>
              <w:t>2</w:t>
            </w:r>
          </w:p>
        </w:tc>
        <w:tc>
          <w:tcPr>
            <w:tcW w:type="dxa" w:w="1560"/>
            <w:shd w:fill="F0F2F5" w:color="auto" w:val="clear"/>
            <w:vAlign w:val="center"/>
          </w:tcPr>
          <w:p>
            <w:r>
              <w:rPr>
                <w:rFonts w:ascii="Arial" w:hAnsi="Arial"/>
                <w:sz w:val="20"/>
              </w:rPr>
              <w:t>Onshore</w:t>
            </w:r>
          </w:p>
        </w:tc>
        <w:tc>
          <w:tcPr>
            <w:tcW w:type="dxa" w:w="1560"/>
            <w:shd w:fill="F0F2F5" w:color="auto" w:val="clear"/>
            <w:vAlign w:val="center"/>
          </w:tcPr>
          <w:p>
            <w:r>
              <w:rPr>
                <w:rFonts w:ascii="Arial" w:hAnsi="Arial"/>
                <w:sz w:val="20"/>
              </w:rPr>
              <w:t>160</w:t>
            </w:r>
          </w:p>
        </w:tc>
        <w:tc>
          <w:tcPr>
            <w:tcW w:type="dxa" w:w="1560"/>
            <w:shd w:fill="F0F2F5" w:color="auto" w:val="clear"/>
            <w:vAlign w:val="center"/>
          </w:tcPr>
          <w:p>
            <w:r>
              <w:rPr>
                <w:rFonts w:ascii="Arial" w:hAnsi="Arial"/>
                <w:sz w:val="20"/>
              </w:rPr>
              <w:t>$100</w:t>
            </w:r>
          </w:p>
        </w:tc>
        <w:tc>
          <w:tcPr>
            <w:tcW w:type="dxa" w:w="1560"/>
            <w:shd w:fill="F0F2F5" w:color="auto" w:val="clear"/>
            <w:vAlign w:val="center"/>
          </w:tcPr>
          <w:p>
            <w:r>
              <w:rPr>
                <w:rFonts w:ascii="Arial" w:hAnsi="Arial"/>
                <w:sz w:val="20"/>
              </w:rPr>
              <w:t>$16,000</w:t>
            </w:r>
          </w:p>
        </w:tc>
      </w:tr>
      <w:tr>
        <w:tc>
          <w:tcPr>
            <w:tcW w:type="dxa" w:w="1560"/>
            <w:vAlign w:val="center"/>
          </w:tcPr>
          <w:p>
            <w:r>
              <w:rPr>
                <w:rFonts w:ascii="Arial" w:hAnsi="Arial"/>
                <w:sz w:val="20"/>
              </w:rPr>
              <w:t>Technical Lead</w:t>
            </w:r>
          </w:p>
        </w:tc>
        <w:tc>
          <w:tcPr>
            <w:tcW w:type="dxa" w:w="1560"/>
            <w:vAlign w:val="center"/>
          </w:tcPr>
          <w:p>
            <w:r>
              <w:rPr>
                <w:rFonts w:ascii="Arial" w:hAnsi="Arial"/>
                <w:sz w:val="20"/>
              </w:rPr>
              <w:t>1</w:t>
            </w:r>
          </w:p>
        </w:tc>
        <w:tc>
          <w:tcPr>
            <w:tcW w:type="dxa" w:w="1560"/>
            <w:vAlign w:val="center"/>
          </w:tcPr>
          <w:p>
            <w:r>
              <w:rPr>
                <w:rFonts w:ascii="Arial" w:hAnsi="Arial"/>
                <w:sz w:val="20"/>
              </w:rPr>
              <w:t>Nearshore</w:t>
            </w:r>
          </w:p>
        </w:tc>
        <w:tc>
          <w:tcPr>
            <w:tcW w:type="dxa" w:w="1560"/>
            <w:vAlign w:val="center"/>
          </w:tcPr>
          <w:p>
            <w:r>
              <w:rPr>
                <w:rFonts w:ascii="Arial" w:hAnsi="Arial"/>
                <w:sz w:val="20"/>
              </w:rPr>
              <w:t>120</w:t>
            </w:r>
          </w:p>
        </w:tc>
        <w:tc>
          <w:tcPr>
            <w:tcW w:type="dxa" w:w="1560"/>
            <w:vAlign w:val="center"/>
          </w:tcPr>
          <w:p>
            <w:r>
              <w:rPr>
                <w:rFonts w:ascii="Arial" w:hAnsi="Arial"/>
                <w:sz w:val="20"/>
              </w:rPr>
              <w:t>$55</w:t>
            </w:r>
          </w:p>
        </w:tc>
        <w:tc>
          <w:tcPr>
            <w:tcW w:type="dxa" w:w="1560"/>
            <w:vAlign w:val="center"/>
          </w:tcPr>
          <w:p>
            <w:r>
              <w:rPr>
                <w:rFonts w:ascii="Arial" w:hAnsi="Arial"/>
                <w:sz w:val="20"/>
              </w:rPr>
              <w:t>$6,600</w:t>
            </w:r>
          </w:p>
        </w:tc>
      </w:tr>
      <w:tr>
        <w:tc>
          <w:tcPr>
            <w:tcW w:type="dxa" w:w="1560"/>
            <w:shd w:fill="F0F2F5" w:color="auto" w:val="clear"/>
            <w:vAlign w:val="center"/>
          </w:tcPr>
          <w:p>
            <w:r>
              <w:rPr>
                <w:rFonts w:ascii="Arial" w:hAnsi="Arial"/>
                <w:sz w:val="20"/>
              </w:rPr>
              <w:t>Cloud Engineer</w:t>
            </w:r>
          </w:p>
        </w:tc>
        <w:tc>
          <w:tcPr>
            <w:tcW w:type="dxa" w:w="1560"/>
            <w:shd w:fill="F0F2F5" w:color="auto" w:val="clear"/>
            <w:vAlign w:val="center"/>
          </w:tcPr>
          <w:p>
            <w:r>
              <w:rPr>
                <w:rFonts w:ascii="Arial" w:hAnsi="Arial"/>
                <w:sz w:val="20"/>
              </w:rPr>
              <w:t>4</w:t>
            </w:r>
          </w:p>
        </w:tc>
        <w:tc>
          <w:tcPr>
            <w:tcW w:type="dxa" w:w="1560"/>
            <w:shd w:fill="F0F2F5" w:color="auto" w:val="clear"/>
            <w:vAlign w:val="center"/>
          </w:tcPr>
          <w:p>
            <w:r>
              <w:rPr>
                <w:rFonts w:ascii="Arial" w:hAnsi="Arial"/>
                <w:sz w:val="20"/>
              </w:rPr>
              <w:t>Offshore</w:t>
            </w:r>
          </w:p>
        </w:tc>
        <w:tc>
          <w:tcPr>
            <w:tcW w:type="dxa" w:w="1560"/>
            <w:shd w:fill="F0F2F5" w:color="auto" w:val="clear"/>
            <w:vAlign w:val="center"/>
          </w:tcPr>
          <w:p>
            <w:r>
              <w:rPr>
                <w:rFonts w:ascii="Arial" w:hAnsi="Arial"/>
                <w:sz w:val="20"/>
              </w:rPr>
              <w:t>240</w:t>
            </w:r>
          </w:p>
        </w:tc>
        <w:tc>
          <w:tcPr>
            <w:tcW w:type="dxa" w:w="1560"/>
            <w:shd w:fill="F0F2F5" w:color="auto" w:val="clear"/>
            <w:vAlign w:val="center"/>
          </w:tcPr>
          <w:p>
            <w:r>
              <w:rPr>
                <w:rFonts w:ascii="Arial" w:hAnsi="Arial"/>
                <w:sz w:val="20"/>
              </w:rPr>
              <w:t>$30</w:t>
            </w:r>
          </w:p>
        </w:tc>
        <w:tc>
          <w:tcPr>
            <w:tcW w:type="dxa" w:w="1560"/>
            <w:shd w:fill="F0F2F5" w:color="auto" w:val="clear"/>
            <w:vAlign w:val="center"/>
          </w:tcPr>
          <w:p>
            <w:r>
              <w:rPr>
                <w:rFonts w:ascii="Arial" w:hAnsi="Arial"/>
                <w:sz w:val="20"/>
              </w:rPr>
              <w:t>$14,400</w:t>
            </w:r>
          </w:p>
        </w:tc>
      </w:tr>
      <w:tr>
        <w:tc>
          <w:tcPr>
            <w:tcW w:type="dxa" w:w="1560"/>
            <w:vAlign w:val="center"/>
          </w:tcPr>
          <w:p>
            <w:r>
              <w:rPr>
                <w:rFonts w:ascii="Arial" w:hAnsi="Arial"/>
                <w:sz w:val="20"/>
              </w:rPr>
              <w:t>QA Engineer</w:t>
            </w:r>
          </w:p>
        </w:tc>
        <w:tc>
          <w:tcPr>
            <w:tcW w:type="dxa" w:w="1560"/>
            <w:vAlign w:val="center"/>
          </w:tcPr>
          <w:p>
            <w:r>
              <w:rPr>
                <w:rFonts w:ascii="Arial" w:hAnsi="Arial"/>
                <w:sz w:val="20"/>
              </w:rPr>
              <w:t>2</w:t>
            </w:r>
          </w:p>
        </w:tc>
        <w:tc>
          <w:tcPr>
            <w:tcW w:type="dxa" w:w="1560"/>
            <w:vAlign w:val="center"/>
          </w:tcPr>
          <w:p>
            <w:r>
              <w:rPr>
                <w:rFonts w:ascii="Arial" w:hAnsi="Arial"/>
                <w:sz w:val="20"/>
              </w:rPr>
              <w:t>Offshore</w:t>
            </w:r>
          </w:p>
        </w:tc>
        <w:tc>
          <w:tcPr>
            <w:tcW w:type="dxa" w:w="1560"/>
            <w:vAlign w:val="center"/>
          </w:tcPr>
          <w:p>
            <w:r>
              <w:rPr>
                <w:rFonts w:ascii="Arial" w:hAnsi="Arial"/>
                <w:sz w:val="20"/>
              </w:rPr>
              <w:t>160</w:t>
            </w:r>
          </w:p>
        </w:tc>
        <w:tc>
          <w:tcPr>
            <w:tcW w:type="dxa" w:w="1560"/>
            <w:vAlign w:val="center"/>
          </w:tcPr>
          <w:p>
            <w:r>
              <w:rPr>
                <w:rFonts w:ascii="Arial" w:hAnsi="Arial"/>
                <w:sz w:val="20"/>
              </w:rPr>
              <w:t>$28</w:t>
            </w:r>
          </w:p>
        </w:tc>
        <w:tc>
          <w:tcPr>
            <w:tcW w:type="dxa" w:w="1560"/>
            <w:vAlign w:val="center"/>
          </w:tcPr>
          <w:p>
            <w:r>
              <w:rPr>
                <w:rFonts w:ascii="Arial" w:hAnsi="Arial"/>
                <w:sz w:val="20"/>
              </w:rPr>
              <w:t>$4,480</w:t>
            </w:r>
          </w:p>
        </w:tc>
      </w:tr>
      <w:tr>
        <w:tc>
          <w:tcPr>
            <w:tcW w:type="dxa" w:w="1560"/>
            <w:shd w:fill="F0F2F5" w:color="auto" w:val="clear"/>
            <w:vAlign w:val="center"/>
          </w:tcPr>
          <w:p>
            <w:r>
              <w:rPr>
                <w:rFonts w:ascii="Arial" w:hAnsi="Arial"/>
                <w:sz w:val="20"/>
              </w:rPr>
              <w:t>DevOps Engineer</w:t>
            </w:r>
          </w:p>
        </w:tc>
        <w:tc>
          <w:tcPr>
            <w:tcW w:type="dxa" w:w="1560"/>
            <w:shd w:fill="F0F2F5" w:color="auto" w:val="clear"/>
            <w:vAlign w:val="center"/>
          </w:tcPr>
          <w:p>
            <w:r>
              <w:rPr>
                <w:rFonts w:ascii="Arial" w:hAnsi="Arial"/>
                <w:sz w:val="20"/>
              </w:rPr>
              <w:t>1</w:t>
            </w:r>
          </w:p>
        </w:tc>
        <w:tc>
          <w:tcPr>
            <w:tcW w:type="dxa" w:w="1560"/>
            <w:shd w:fill="F0F2F5" w:color="auto" w:val="clear"/>
            <w:vAlign w:val="center"/>
          </w:tcPr>
          <w:p>
            <w:r>
              <w:rPr>
                <w:rFonts w:ascii="Arial" w:hAnsi="Arial"/>
                <w:sz w:val="20"/>
              </w:rPr>
              <w:t>Nearshore</w:t>
            </w:r>
          </w:p>
        </w:tc>
        <w:tc>
          <w:tcPr>
            <w:tcW w:type="dxa" w:w="1560"/>
            <w:shd w:fill="F0F2F5" w:color="auto" w:val="clear"/>
            <w:vAlign w:val="center"/>
          </w:tcPr>
          <w:p>
            <w:r>
              <w:rPr>
                <w:rFonts w:ascii="Arial" w:hAnsi="Arial"/>
                <w:sz w:val="20"/>
              </w:rPr>
              <w:t>80</w:t>
            </w:r>
          </w:p>
        </w:tc>
        <w:tc>
          <w:tcPr>
            <w:tcW w:type="dxa" w:w="1560"/>
            <w:shd w:fill="F0F2F5" w:color="auto" w:val="clear"/>
            <w:vAlign w:val="center"/>
          </w:tcPr>
          <w:p>
            <w:r>
              <w:rPr>
                <w:rFonts w:ascii="Arial" w:hAnsi="Arial"/>
                <w:sz w:val="20"/>
              </w:rPr>
              <w:t>$50</w:t>
            </w:r>
          </w:p>
        </w:tc>
        <w:tc>
          <w:tcPr>
            <w:tcW w:type="dxa" w:w="1560"/>
            <w:shd w:fill="F0F2F5" w:color="auto" w:val="clear"/>
            <w:vAlign w:val="center"/>
          </w:tcPr>
          <w:p>
            <w:r>
              <w:rPr>
                <w:rFonts w:ascii="Arial" w:hAnsi="Arial"/>
                <w:sz w:val="20"/>
              </w:rPr>
              <w:t>$4,000</w:t>
            </w:r>
          </w:p>
        </w:tc>
      </w:tr>
      <w:tr>
        <w:tc>
          <w:tcPr>
            <w:tcW w:type="dxa" w:w="1560"/>
            <w:vAlign w:val="center"/>
          </w:tcPr>
          <w:p>
            <w:r>
              <w:rPr>
                <w:rFonts w:ascii="Arial" w:hAnsi="Arial"/>
                <w:sz w:val="20"/>
              </w:rPr>
              <w:t>Business Analyst</w:t>
            </w:r>
          </w:p>
        </w:tc>
        <w:tc>
          <w:tcPr>
            <w:tcW w:type="dxa" w:w="1560"/>
            <w:vAlign w:val="center"/>
          </w:tcPr>
          <w:p>
            <w:r>
              <w:rPr>
                <w:rFonts w:ascii="Arial" w:hAnsi="Arial"/>
                <w:sz w:val="20"/>
              </w:rPr>
              <w:t>1</w:t>
            </w:r>
          </w:p>
        </w:tc>
        <w:tc>
          <w:tcPr>
            <w:tcW w:type="dxa" w:w="1560"/>
            <w:vAlign w:val="center"/>
          </w:tcPr>
          <w:p>
            <w:r>
              <w:rPr>
                <w:rFonts w:ascii="Arial" w:hAnsi="Arial"/>
                <w:sz w:val="20"/>
              </w:rPr>
              <w:t>Onshore</w:t>
            </w:r>
          </w:p>
        </w:tc>
        <w:tc>
          <w:tcPr>
            <w:tcW w:type="dxa" w:w="1560"/>
            <w:vAlign w:val="center"/>
          </w:tcPr>
          <w:p>
            <w:r>
              <w:rPr>
                <w:rFonts w:ascii="Arial" w:hAnsi="Arial"/>
                <w:sz w:val="20"/>
              </w:rPr>
              <w:t>80</w:t>
            </w:r>
          </w:p>
        </w:tc>
        <w:tc>
          <w:tcPr>
            <w:tcW w:type="dxa" w:w="1560"/>
            <w:vAlign w:val="center"/>
          </w:tcPr>
          <w:p>
            <w:r>
              <w:rPr>
                <w:rFonts w:ascii="Arial" w:hAnsi="Arial"/>
                <w:sz w:val="20"/>
              </w:rPr>
              <w:t>$90</w:t>
            </w:r>
          </w:p>
        </w:tc>
        <w:tc>
          <w:tcPr>
            <w:tcW w:type="dxa" w:w="1560"/>
            <w:vAlign w:val="center"/>
          </w:tcPr>
          <w:p>
            <w:r>
              <w:rPr>
                <w:rFonts w:ascii="Arial" w:hAnsi="Arial"/>
                <w:sz w:val="20"/>
              </w:rPr>
              <w:t>$7,200</w:t>
            </w:r>
          </w:p>
        </w:tc>
      </w:tr>
      <w:tr>
        <w:tc>
          <w:tcPr>
            <w:tcW w:type="dxa" w:w="1560"/>
            <w:shd w:fill="F0F2F5" w:color="auto" w:val="clear"/>
            <w:vAlign w:val="center"/>
          </w:tcPr>
          <w:p>
            <w:r>
              <w:rPr>
                <w:rFonts w:ascii="Arial" w:hAnsi="Arial"/>
                <w:sz w:val="20"/>
              </w:rPr>
              <w:t>Project Manager</w:t>
            </w:r>
          </w:p>
        </w:tc>
        <w:tc>
          <w:tcPr>
            <w:tcW w:type="dxa" w:w="1560"/>
            <w:shd w:fill="F0F2F5" w:color="auto" w:val="clear"/>
            <w:vAlign w:val="center"/>
          </w:tcPr>
          <w:p>
            <w:r>
              <w:rPr>
                <w:rFonts w:ascii="Arial" w:hAnsi="Arial"/>
                <w:sz w:val="20"/>
              </w:rPr>
              <w:t>1</w:t>
            </w:r>
          </w:p>
        </w:tc>
        <w:tc>
          <w:tcPr>
            <w:tcW w:type="dxa" w:w="1560"/>
            <w:shd w:fill="F0F2F5" w:color="auto" w:val="clear"/>
            <w:vAlign w:val="center"/>
          </w:tcPr>
          <w:p>
            <w:r>
              <w:rPr>
                <w:rFonts w:ascii="Arial" w:hAnsi="Arial"/>
                <w:sz w:val="20"/>
              </w:rPr>
              <w:t>Onshore</w:t>
            </w:r>
          </w:p>
        </w:tc>
        <w:tc>
          <w:tcPr>
            <w:tcW w:type="dxa" w:w="1560"/>
            <w:shd w:fill="F0F2F5" w:color="auto" w:val="clear"/>
            <w:vAlign w:val="center"/>
          </w:tcPr>
          <w:p>
            <w:r>
              <w:rPr>
                <w:rFonts w:ascii="Arial" w:hAnsi="Arial"/>
                <w:sz w:val="20"/>
              </w:rPr>
              <w:t>80</w:t>
            </w:r>
          </w:p>
        </w:tc>
        <w:tc>
          <w:tcPr>
            <w:tcW w:type="dxa" w:w="1560"/>
            <w:shd w:fill="F0F2F5" w:color="auto" w:val="clear"/>
            <w:vAlign w:val="center"/>
          </w:tcPr>
          <w:p>
            <w:r>
              <w:rPr>
                <w:rFonts w:ascii="Arial" w:hAnsi="Arial"/>
                <w:sz w:val="20"/>
              </w:rPr>
              <w:t>$110</w:t>
            </w:r>
          </w:p>
        </w:tc>
        <w:tc>
          <w:tcPr>
            <w:tcW w:type="dxa" w:w="1560"/>
            <w:shd w:fill="F0F2F5" w:color="auto" w:val="clear"/>
            <w:vAlign w:val="center"/>
          </w:tcPr>
          <w:p>
            <w:r>
              <w:rPr>
                <w:rFonts w:ascii="Arial" w:hAnsi="Arial"/>
                <w:sz w:val="20"/>
              </w:rPr>
              <w:t>$8,800</w:t>
            </w:r>
          </w:p>
        </w:tc>
      </w:tr>
      <w:tr>
        <w:tc>
          <w:tcPr>
            <w:tcW w:type="dxa" w:w="1560"/>
            <w:vAlign w:val="center"/>
          </w:tcPr>
          <w:p>
            <w:r>
              <w:rPr>
                <w:rFonts w:ascii="Arial" w:hAnsi="Arial"/>
                <w:sz w:val="20"/>
              </w:rPr>
              <w:t>AI/ML Engineer</w:t>
            </w:r>
          </w:p>
        </w:tc>
        <w:tc>
          <w:tcPr>
            <w:tcW w:type="dxa" w:w="1560"/>
            <w:vAlign w:val="center"/>
          </w:tcPr>
          <w:p>
            <w:r>
              <w:rPr>
                <w:rFonts w:ascii="Arial" w:hAnsi="Arial"/>
                <w:sz w:val="20"/>
              </w:rPr>
              <w:t>1</w:t>
            </w:r>
          </w:p>
        </w:tc>
        <w:tc>
          <w:tcPr>
            <w:tcW w:type="dxa" w:w="1560"/>
            <w:vAlign w:val="center"/>
          </w:tcPr>
          <w:p>
            <w:r>
              <w:rPr>
                <w:rFonts w:ascii="Arial" w:hAnsi="Arial"/>
                <w:sz w:val="20"/>
              </w:rPr>
              <w:t>Offshore</w:t>
            </w:r>
          </w:p>
        </w:tc>
        <w:tc>
          <w:tcPr>
            <w:tcW w:type="dxa" w:w="1560"/>
            <w:vAlign w:val="center"/>
          </w:tcPr>
          <w:p>
            <w:r>
              <w:rPr>
                <w:rFonts w:ascii="Arial" w:hAnsi="Arial"/>
                <w:sz w:val="20"/>
              </w:rPr>
              <w:t>80</w:t>
            </w:r>
          </w:p>
        </w:tc>
        <w:tc>
          <w:tcPr>
            <w:tcW w:type="dxa" w:w="1560"/>
            <w:vAlign w:val="center"/>
          </w:tcPr>
          <w:p>
            <w:r>
              <w:rPr>
                <w:rFonts w:ascii="Arial" w:hAnsi="Arial"/>
                <w:sz w:val="20"/>
              </w:rPr>
              <w:t>$32</w:t>
            </w:r>
          </w:p>
        </w:tc>
        <w:tc>
          <w:tcPr>
            <w:tcW w:type="dxa" w:w="1560"/>
            <w:vAlign w:val="center"/>
          </w:tcPr>
          <w:p>
            <w:r>
              <w:rPr>
                <w:rFonts w:ascii="Arial" w:hAnsi="Arial"/>
                <w:sz w:val="20"/>
              </w:rPr>
              <w:t>$2,560</w:t>
            </w:r>
          </w:p>
        </w:tc>
      </w:tr>
      <w:tr>
        <w:tc>
          <w:tcPr>
            <w:tcW w:type="dxa" w:w="1560"/>
            <w:shd w:fill="F0F2F5" w:color="auto" w:val="clear"/>
            <w:vAlign w:val="center"/>
          </w:tcPr>
          <w:p>
            <w:r>
              <w:rPr>
                <w:rFonts w:ascii="Arial" w:hAnsi="Arial"/>
                <w:sz w:val="20"/>
              </w:rPr>
              <w:t>API Developer</w:t>
            </w:r>
          </w:p>
        </w:tc>
        <w:tc>
          <w:tcPr>
            <w:tcW w:type="dxa" w:w="1560"/>
            <w:shd w:fill="F0F2F5" w:color="auto" w:val="clear"/>
            <w:vAlign w:val="center"/>
          </w:tcPr>
          <w:p>
            <w:r>
              <w:rPr>
                <w:rFonts w:ascii="Arial" w:hAnsi="Arial"/>
                <w:sz w:val="20"/>
              </w:rPr>
              <w:t>1</w:t>
            </w:r>
          </w:p>
        </w:tc>
        <w:tc>
          <w:tcPr>
            <w:tcW w:type="dxa" w:w="1560"/>
            <w:shd w:fill="F0F2F5" w:color="auto" w:val="clear"/>
            <w:vAlign w:val="center"/>
          </w:tcPr>
          <w:p>
            <w:r>
              <w:rPr>
                <w:rFonts w:ascii="Arial" w:hAnsi="Arial"/>
                <w:sz w:val="20"/>
              </w:rPr>
              <w:t>Nearshore</w:t>
            </w:r>
          </w:p>
        </w:tc>
        <w:tc>
          <w:tcPr>
            <w:tcW w:type="dxa" w:w="1560"/>
            <w:shd w:fill="F0F2F5" w:color="auto" w:val="clear"/>
            <w:vAlign w:val="center"/>
          </w:tcPr>
          <w:p>
            <w:r>
              <w:rPr>
                <w:rFonts w:ascii="Arial" w:hAnsi="Arial"/>
                <w:sz w:val="20"/>
              </w:rPr>
              <w:t>80</w:t>
            </w:r>
          </w:p>
        </w:tc>
        <w:tc>
          <w:tcPr>
            <w:tcW w:type="dxa" w:w="1560"/>
            <w:shd w:fill="F0F2F5" w:color="auto" w:val="clear"/>
            <w:vAlign w:val="center"/>
          </w:tcPr>
          <w:p>
            <w:r>
              <w:rPr>
                <w:rFonts w:ascii="Arial" w:hAnsi="Arial"/>
                <w:sz w:val="20"/>
              </w:rPr>
              <w:t>$45</w:t>
            </w:r>
          </w:p>
        </w:tc>
        <w:tc>
          <w:tcPr>
            <w:tcW w:type="dxa" w:w="1560"/>
            <w:shd w:fill="F0F2F5" w:color="auto" w:val="clear"/>
            <w:vAlign w:val="center"/>
          </w:tcPr>
          <w:p>
            <w:r>
              <w:rPr>
                <w:rFonts w:ascii="Arial" w:hAnsi="Arial"/>
                <w:sz w:val="20"/>
              </w:rPr>
              <w:t>$3,600</w:t>
            </w:r>
          </w:p>
        </w:tc>
      </w:tr>
    </w:tbl>
    <w:p/>
    <w:p>
      <w:pPr>
        <w:pStyle w:val="Heading1"/>
        <w:pBdr>
          <w:bottom w:val="single" w:sz="16" w:space="1" w:color="E31837"/>
        </w:pBdr>
      </w:pPr>
      <w:r>
        <w:rPr>
          <w:rFonts w:ascii="Arial" w:hAnsi="Arial"/>
          <w:color w:val="00205B"/>
        </w:rPr>
        <w:t>8. Why Tech Mahindra?</w:t>
      </w:r>
    </w:p>
    <w:p>
      <w:pPr>
        <w:pStyle w:val="ListBullet"/>
      </w:pPr>
      <w:r>
        <w:rPr>
          <w:sz w:val="22"/>
        </w:rPr>
        <w:t>Tech Mahindra is a leading provider of digital transformation and business re-engineering services. Our team of experts has extensive experience in cloud-native core banking platforms, strategic technology partnerships, and digital transformation. We have a proven track record of delivering successful projects for clients across various industries.</w:t>
      </w:r>
    </w:p>
    <w:p>
      <w:pPr>
        <w:pStyle w:val="ListBullet"/>
      </w:pPr>
      <w:r>
        <w:rPr>
          <w:sz w:val="22"/>
        </w:rPr>
        <w:t>Our differentiators include:</w:t>
      </w:r>
    </w:p>
    <w:p>
      <w:pPr>
        <w:pStyle w:val="ListBullet"/>
      </w:pPr>
      <w:r>
        <w:rPr>
          <w:sz w:val="22"/>
        </w:rPr>
        <w:t>Expertise in cloud-native core banking platforms</w:t>
      </w:r>
    </w:p>
    <w:p>
      <w:pPr>
        <w:pStyle w:val="ListBullet"/>
      </w:pPr>
      <w:r>
        <w:rPr>
          <w:sz w:val="22"/>
        </w:rPr>
        <w:t>Strong partnerships with leading technology providers</w:t>
      </w:r>
    </w:p>
    <w:p>
      <w:pPr>
        <w:pStyle w:val="ListBullet"/>
      </w:pPr>
      <w:r>
        <w:rPr>
          <w:sz w:val="22"/>
        </w:rPr>
        <w:t>Proven track record of delivering successful projects</w:t>
      </w:r>
    </w:p>
    <w:p>
      <w:pPr>
        <w:pStyle w:val="ListBullet"/>
      </w:pPr>
      <w:r>
        <w:rPr>
          <w:sz w:val="22"/>
        </w:rPr>
        <w:t>Comprehensive understanding of RBI regulatory requirements</w:t>
      </w:r>
    </w:p>
    <w:p>
      <w:pPr>
        <w:pStyle w:val="Heading1"/>
        <w:pBdr>
          <w:bottom w:val="single" w:sz="16" w:space="1" w:color="E31837"/>
        </w:pBdr>
      </w:pPr>
      <w:r>
        <w:rPr>
          <w:rFonts w:ascii="Arial" w:hAnsi="Arial"/>
          <w:color w:val="00205B"/>
        </w:rPr>
        <w:t>9. Next Steps</w:t>
      </w:r>
    </w:p>
    <w:p>
      <w:pPr>
        <w:pStyle w:val="ListBullet"/>
      </w:pPr>
      <w:r>
        <w:rPr>
          <w:sz w:val="22"/>
        </w:rPr>
        <w:t>We propose the following next steps:</w:t>
      </w:r>
    </w:p>
    <w:p>
      <w:pPr>
        <w:pStyle w:val="ListBullet"/>
      </w:pPr>
      <w:r>
        <w:rPr>
          <w:sz w:val="22"/>
        </w:rPr>
        <w:t>Conduct a thorough needs assessment to understand HDFC Bank's specific requirements.</w:t>
      </w:r>
    </w:p>
    <w:p>
      <w:pPr>
        <w:pStyle w:val="ListBullet"/>
      </w:pPr>
      <w:r>
        <w:rPr>
          <w:sz w:val="22"/>
        </w:rPr>
        <w:t>Develop a detailed project plan and timeline.</w:t>
      </w:r>
    </w:p>
    <w:p>
      <w:pPr>
        <w:pStyle w:val="ListBullet"/>
      </w:pPr>
      <w:r>
        <w:rPr>
          <w:sz w:val="22"/>
        </w:rPr>
        <w:t>Establish a project governance structure to ensure seamless communication and collaboration.</w:t>
      </w:r>
    </w:p>
    <w:p>
      <w:pPr>
        <w:pStyle w:val="ListBullet"/>
      </w:pPr>
      <w:r>
        <w:rPr>
          <w:sz w:val="22"/>
        </w:rPr>
        <w:t>Begin the cloud-native core banking platform evaluation and selection process.</w:t>
      </w:r>
    </w:p>
    <w:p>
      <w:pPr>
        <w:pStyle w:val="ListBullet"/>
      </w:pPr>
      <w:r>
        <w:rPr>
          <w:sz w:val="22"/>
        </w:rPr>
        <w:t>We believe that our proposed solution meets HDFC Bank's key requirements and will deliver the desired outcomes. We look forward to the opportunity to work with HDFC Bank and deliver a successful project.</w:t>
      </w:r>
    </w:p>
    <w:p>
      <w:r>
        <w:br w:type="page"/>
      </w:r>
    </w:p>
    <w:p>
      <w:pPr>
        <w:pStyle w:val="Heading1"/>
        <w:pBdr>
          <w:bottom w:val="single" w:sz="16" w:space="1" w:color="E31837"/>
        </w:pBdr>
      </w:pPr>
      <w:r>
        <w:rPr>
          <w:rFonts w:ascii="Arial" w:hAnsi="Arial"/>
          <w:color w:val="696969"/>
        </w:rPr>
        <w:t>Appendix: Detailed Diagnostic Analysis</w:t>
      </w:r>
    </w:p>
    <w:p>
      <w:pPr>
        <w:pStyle w:val="Heading2"/>
      </w:pPr>
      <w:r>
        <w:rPr>
          <w:rFonts w:ascii="Arial" w:hAnsi="Arial"/>
          <w:color w:val="00205B"/>
        </w:rPr>
        <w:t>Requirements Analysis</w:t>
      </w:r>
    </w:p>
    <w:p>
      <w:pPr>
        <w:pStyle w:val="ListBullet"/>
      </w:pPr>
      <w:r>
        <w:rPr>
          <w:sz w:val="20"/>
        </w:rPr>
        <w:t>Client Background</w:t>
      </w:r>
    </w:p>
    <w:p>
      <w:pPr>
        <w:pStyle w:val="ListBullet"/>
      </w:pPr>
      <w:r>
        <w:rPr>
          <w:sz w:val="20"/>
        </w:rPr>
        <w:t>HDFC Bank Overview</w:t>
      </w:r>
    </w:p>
    <w:p>
      <w:pPr>
        <w:pStyle w:val="ListBullet"/>
      </w:pPr>
      <w:r>
        <w:rPr>
          <w:sz w:val="20"/>
        </w:rPr>
        <w:t>HDFC Bank Limited is India's largest private sector bank by assets, headquartered in Mumbai, Maharashtra.</w:t>
      </w:r>
    </w:p>
    <w:p>
      <w:pPr>
        <w:pStyle w:val="ListBullet"/>
      </w:pPr>
      <w:r>
        <w:rPr>
          <w:sz w:val="20"/>
        </w:rPr>
        <w:t>Established in 1994, the bank serves over 88 million customers through 8,700+ branches and 21,000+ ATMs across India.</w:t>
      </w:r>
    </w:p>
    <w:p>
      <w:pPr>
        <w:pStyle w:val="ListBullet"/>
      </w:pPr>
      <w:r>
        <w:rPr>
          <w:sz w:val="20"/>
        </w:rPr>
        <w:t>Balance Sheet size exceeding ₹35 trillion and a market capitalisation of ~₹12 trillion.</w:t>
      </w:r>
    </w:p>
    <w:p>
      <w:pPr>
        <w:pStyle w:val="ListBullet"/>
      </w:pPr>
      <w:r>
        <w:rPr>
          <w:sz w:val="20"/>
        </w:rPr>
        <w:t>Systemically important financial institution regulated by the Reserve Bank of India (RBI).</w:t>
      </w:r>
    </w:p>
    <w:p>
      <w:pPr>
        <w:pStyle w:val="ListBullet"/>
      </w:pPr>
      <w:r>
        <w:rPr>
          <w:sz w:val="20"/>
        </w:rPr>
        <w:t>Key Requirements (functional &amp; non-functional)</w:t>
      </w:r>
    </w:p>
    <w:p>
      <w:pPr>
        <w:pStyle w:val="ListBullet"/>
      </w:pPr>
      <w:r>
        <w:rPr>
          <w:sz w:val="20"/>
        </w:rPr>
        <w:t>Functional Requirements</w:t>
      </w:r>
    </w:p>
    <w:p>
      <w:pPr>
        <w:pStyle w:val="ListBullet"/>
      </w:pPr>
      <w:r>
        <w:rPr>
          <w:sz w:val="20"/>
        </w:rPr>
        <w:t>Evaluate cloud-native core banking platforms.</w:t>
      </w:r>
    </w:p>
    <w:p>
      <w:pPr>
        <w:pStyle w:val="ListBullet"/>
      </w:pPr>
      <w:r>
        <w:rPr>
          <w:sz w:val="20"/>
        </w:rPr>
        <w:t>Establish a long-term strategic technology partnership.</w:t>
      </w:r>
    </w:p>
    <w:p>
      <w:pPr>
        <w:pStyle w:val="ListBullet"/>
      </w:pPr>
      <w:r>
        <w:rPr>
          <w:sz w:val="20"/>
        </w:rPr>
        <w:t>Ensure RBI regulatory compliance post-upgrade.</w:t>
      </w:r>
    </w:p>
    <w:p>
      <w:pPr>
        <w:pStyle w:val="ListBullet"/>
      </w:pPr>
      <w:r>
        <w:rPr>
          <w:sz w:val="20"/>
        </w:rPr>
        <w:t>Achieve 99.999% system uptime SLA.</w:t>
      </w:r>
    </w:p>
    <w:p>
      <w:pPr>
        <w:pStyle w:val="ListBullet"/>
      </w:pPr>
      <w:r>
        <w:rPr>
          <w:sz w:val="20"/>
        </w:rPr>
        <w:t>Ensure scalability to support 10M+ daily transactions during peak loads.</w:t>
      </w:r>
    </w:p>
    <w:p>
      <w:pPr>
        <w:pStyle w:val="ListBullet"/>
      </w:pPr>
      <w:r>
        <w:rPr>
          <w:sz w:val="20"/>
        </w:rPr>
        <w:t>Improve digital channel gaps.</w:t>
      </w:r>
    </w:p>
    <w:p>
      <w:pPr>
        <w:pStyle w:val="ListBullet"/>
      </w:pPr>
      <w:r>
        <w:rPr>
          <w:sz w:val="20"/>
        </w:rPr>
        <w:t>Non-Functional Requirements</w:t>
      </w:r>
    </w:p>
    <w:p>
      <w:pPr>
        <w:pStyle w:val="ListBullet"/>
      </w:pPr>
      <w:r>
        <w:rPr>
          <w:sz w:val="20"/>
        </w:rPr>
        <w:t>Scalability to handle 10M+ daily transactions.</w:t>
      </w:r>
    </w:p>
    <w:p>
      <w:pPr>
        <w:pStyle w:val="ListBullet"/>
      </w:pPr>
      <w:r>
        <w:rPr>
          <w:sz w:val="20"/>
        </w:rPr>
        <w:t>High availability (99.999% system uptime SLA).</w:t>
      </w:r>
    </w:p>
    <w:p>
      <w:pPr>
        <w:pStyle w:val="ListBullet"/>
      </w:pPr>
      <w:r>
        <w:rPr>
          <w:sz w:val="20"/>
        </w:rPr>
        <w:t>Regulatory compliance (RBI).</w:t>
      </w:r>
    </w:p>
    <w:p>
      <w:pPr>
        <w:pStyle w:val="ListBullet"/>
      </w:pPr>
      <w:r>
        <w:rPr>
          <w:sz w:val="20"/>
        </w:rPr>
        <w:t>Long-term strategic technology partnership.</w:t>
      </w:r>
    </w:p>
    <w:p>
      <w:pPr>
        <w:pStyle w:val="ListBullet"/>
      </w:pPr>
      <w:r>
        <w:rPr>
          <w:sz w:val="20"/>
        </w:rPr>
        <w:t>Scope of Work</w:t>
      </w:r>
    </w:p>
    <w:p>
      <w:pPr>
        <w:pStyle w:val="ListBullet"/>
      </w:pPr>
      <w:r>
        <w:rPr>
          <w:sz w:val="20"/>
        </w:rPr>
        <w:t>Solicit qualified technology vendors for CBS modernization.</w:t>
      </w:r>
    </w:p>
    <w:p>
      <w:pPr>
        <w:pStyle w:val="ListBullet"/>
      </w:pPr>
      <w:r>
        <w:rPr>
          <w:sz w:val="20"/>
        </w:rPr>
        <w:t>Evaluate cloud-native core banking platforms.</w:t>
      </w:r>
    </w:p>
    <w:p>
      <w:pPr>
        <w:pStyle w:val="ListBullet"/>
      </w:pPr>
      <w:r>
        <w:rPr>
          <w:sz w:val="20"/>
        </w:rPr>
        <w:t>Establish a long-term strategic technology partnership.</w:t>
      </w:r>
    </w:p>
    <w:p>
      <w:pPr>
        <w:pStyle w:val="ListBullet"/>
      </w:pPr>
      <w:r>
        <w:rPr>
          <w:sz w:val="20"/>
        </w:rPr>
        <w:t>Ensure RBI regulatory compliance post-upgrade.</w:t>
      </w:r>
    </w:p>
    <w:p>
      <w:pPr>
        <w:pStyle w:val="ListBullet"/>
      </w:pPr>
      <w:r>
        <w:rPr>
          <w:sz w:val="20"/>
        </w:rPr>
        <w:t>Achieve 99.999% system uptime SLA.</w:t>
      </w:r>
    </w:p>
    <w:p>
      <w:pPr>
        <w:pStyle w:val="Heading2"/>
      </w:pPr>
      <w:r>
        <w:rPr>
          <w:rFonts w:ascii="Arial" w:hAnsi="Arial"/>
          <w:color w:val="00205B"/>
        </w:rPr>
        <w:t>Architecture Blueprint</w:t>
      </w:r>
    </w:p>
    <w:p>
      <w:pPr>
        <w:pStyle w:val="ListBullet"/>
      </w:pPr>
      <w:r>
        <w:rPr>
          <w:sz w:val="20"/>
        </w:rPr>
        <w:t>Solution Overview</w:t>
      </w:r>
    </w:p>
    <w:p>
      <w:pPr>
        <w:pStyle w:val="ListBullet"/>
      </w:pPr>
      <w:r>
        <w:rPr>
          <w:sz w:val="20"/>
        </w:rPr>
        <w:t>Modernized Core Banking System (CBS) for HDFC Bank</w:t>
      </w:r>
    </w:p>
    <w:p>
      <w:pPr>
        <w:pStyle w:val="ListBullet"/>
      </w:pPr>
      <w:r>
        <w:rPr>
          <w:sz w:val="20"/>
        </w:rPr>
        <w:t>HDFC Bank aims to modernize its core banking system to ensure scalability, high availability, and regulatory compliance. Our solution will leverage cloud-native core banking platforms, strategic technology partnerships, and digital transformation to achieve the desired outcomes.</w:t>
      </w:r>
    </w:p>
    <w:p>
      <w:pPr>
        <w:pStyle w:val="ListBullet"/>
      </w:pPr>
      <w:r>
        <w:rPr>
          <w:sz w:val="20"/>
        </w:rPr>
        <w:t>Key Objectives:</w:t>
      </w:r>
    </w:p>
    <w:p>
      <w:pPr>
        <w:pStyle w:val="ListBullet"/>
      </w:pPr>
      <w:r>
        <w:rPr>
          <w:sz w:val="20"/>
        </w:rPr>
        <w:t>Evaluate cloud-native core banking platforms</w:t>
      </w:r>
    </w:p>
    <w:p>
      <w:pPr>
        <w:pStyle w:val="ListBullet"/>
      </w:pPr>
      <w:r>
        <w:rPr>
          <w:sz w:val="20"/>
        </w:rPr>
        <w:t>Establish a long-term strategic technology partnership</w:t>
      </w:r>
    </w:p>
    <w:p>
      <w:pPr>
        <w:pStyle w:val="ListBullet"/>
      </w:pPr>
      <w:r>
        <w:rPr>
          <w:sz w:val="20"/>
        </w:rPr>
        <w:t>Ensure RBI regulatory compliance post-upgrade</w:t>
      </w:r>
    </w:p>
    <w:p>
      <w:pPr>
        <w:pStyle w:val="ListBullet"/>
      </w:pPr>
      <w:r>
        <w:rPr>
          <w:sz w:val="20"/>
        </w:rPr>
        <w:t>Achieve 99.999% system uptime SLA</w:t>
      </w:r>
    </w:p>
    <w:p>
      <w:pPr>
        <w:pStyle w:val="ListBullet"/>
      </w:pPr>
      <w:r>
        <w:rPr>
          <w:sz w:val="20"/>
        </w:rPr>
        <w:t>Ensure scalability to support 10M+ daily transactions during peak loads</w:t>
      </w:r>
    </w:p>
    <w:p>
      <w:pPr>
        <w:pStyle w:val="ListBullet"/>
      </w:pPr>
      <w:r>
        <w:rPr>
          <w:sz w:val="20"/>
        </w:rPr>
        <w:t>Improve digital channel gaps</w:t>
      </w:r>
    </w:p>
    <w:p>
      <w:pPr>
        <w:pStyle w:val="ListBullet"/>
      </w:pPr>
      <w:r>
        <w:rPr>
          <w:sz w:val="20"/>
        </w:rPr>
        <w:t>Technology Stack</w:t>
      </w:r>
    </w:p>
    <w:p>
      <w:pPr>
        <w:pStyle w:val="ListBullet"/>
      </w:pPr>
      <w:r>
        <w:rPr>
          <w:sz w:val="20"/>
        </w:rPr>
        <w:t>Cloud-Native Core Banking Platforms</w:t>
      </w:r>
    </w:p>
    <w:p>
      <w:pPr>
        <w:pStyle w:val="ListBullet"/>
      </w:pPr>
      <w:r>
        <w:rPr>
          <w:sz w:val="20"/>
        </w:rPr>
        <w:t>SAP S/4HANA Cloud: A cloud-native, scalable, and secure core banking platform</w:t>
      </w:r>
    </w:p>
    <w:p>
      <w:pPr>
        <w:pStyle w:val="ListBullet"/>
      </w:pPr>
      <w:r>
        <w:rPr>
          <w:sz w:val="20"/>
        </w:rPr>
        <w:t>Microsoft Dynamics 365 Finance: A cloud-based, AI-driven core banking platform</w:t>
      </w:r>
    </w:p>
    <w:p>
      <w:pPr>
        <w:pStyle w:val="ListBullet"/>
      </w:pPr>
      <w:r>
        <w:rPr>
          <w:sz w:val="20"/>
        </w:rPr>
        <w:t>Temenos T24: A cloud-native, scalable, and secure core banking platform</w:t>
      </w:r>
    </w:p>
    <w:p>
      <w:pPr>
        <w:pStyle w:val="ListBullet"/>
      </w:pPr>
      <w:r>
        <w:rPr>
          <w:sz w:val="20"/>
        </w:rPr>
        <w:t>Strategic Technology Partnerships</w:t>
      </w:r>
    </w:p>
    <w:p>
      <w:pPr>
        <w:pStyle w:val="ListBullet"/>
      </w:pPr>
      <w:r>
        <w:rPr>
          <w:sz w:val="20"/>
        </w:rPr>
        <w:t>AWS: A leading cloud provider for scalability, security, and compliance</w:t>
      </w:r>
    </w:p>
    <w:p>
      <w:pPr>
        <w:pStyle w:val="ListBullet"/>
      </w:pPr>
      <w:r>
        <w:rPr>
          <w:sz w:val="20"/>
        </w:rPr>
        <w:t>Azure: A leading cloud provider for scalability, security, and compliance</w:t>
      </w:r>
    </w:p>
    <w:p>
      <w:pPr>
        <w:pStyle w:val="ListBullet"/>
      </w:pPr>
      <w:r>
        <w:rPr>
          <w:sz w:val="20"/>
        </w:rPr>
        <w:t>Google Cloud: A leading cloud provider for scalability, security, and compliance</w:t>
      </w:r>
    </w:p>
    <w:p>
      <w:pPr>
        <w:pStyle w:val="ListBullet"/>
      </w:pPr>
      <w:r>
        <w:rPr>
          <w:sz w:val="20"/>
        </w:rPr>
        <w:t>Digital Transformation</w:t>
      </w:r>
    </w:p>
    <w:p>
      <w:pPr>
        <w:pStyle w:val="ListBullet"/>
      </w:pPr>
      <w:r>
        <w:rPr>
          <w:sz w:val="20"/>
        </w:rPr>
        <w:t>Microservices architecture for scalability and flexibility</w:t>
      </w:r>
    </w:p>
    <w:p>
      <w:pPr>
        <w:pStyle w:val="ListBullet"/>
      </w:pPr>
      <w:r>
        <w:rPr>
          <w:sz w:val="20"/>
        </w:rPr>
        <w:t>APIs for seamless integration with digital channels</w:t>
      </w:r>
    </w:p>
    <w:p>
      <w:pPr>
        <w:pStyle w:val="ListBullet"/>
      </w:pPr>
      <w:r>
        <w:rPr>
          <w:sz w:val="20"/>
        </w:rPr>
        <w:t>AI/ML for predictive analytics and decision-making</w:t>
      </w:r>
    </w:p>
    <w:p>
      <w:pPr>
        <w:pStyle w:val="ListBullet"/>
      </w:pPr>
      <w:r>
        <w:rPr>
          <w:sz w:val="20"/>
        </w:rPr>
        <w:t>System Architecture</w:t>
      </w:r>
    </w:p>
    <w:p>
      <w:pPr>
        <w:pStyle w:val="ListBullet"/>
      </w:pPr>
      <w:r>
        <w:rPr>
          <w:sz w:val="20"/>
        </w:rPr>
        <w:t>`mermaid</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shd w:fill="00205B" w:color="auto" w:val="clear"/>
            <w:vAlign w:val="center"/>
          </w:tcPr>
          <w:p>
            <w:r>
              <w:rPr>
                <w:rFonts w:ascii="Arial" w:hAnsi="Arial"/>
                <w:b/>
                <w:color w:val="FFFFFF"/>
                <w:sz w:val="20"/>
              </w:rPr>
              <w:t>Role</w:t>
            </w:r>
          </w:p>
        </w:tc>
        <w:tc>
          <w:tcPr>
            <w:tcW w:type="dxa" w:w="3120"/>
            <w:shd w:fill="00205B" w:color="auto" w:val="clear"/>
            <w:vAlign w:val="center"/>
          </w:tcPr>
          <w:p>
            <w:r>
              <w:rPr>
                <w:rFonts w:ascii="Arial" w:hAnsi="Arial"/>
                <w:b/>
                <w:color w:val="FFFFFF"/>
                <w:sz w:val="20"/>
              </w:rPr>
              <w:t>Count</w:t>
            </w:r>
          </w:p>
        </w:tc>
        <w:tc>
          <w:tcPr>
            <w:tcW w:type="dxa" w:w="3120"/>
            <w:shd w:fill="00205B" w:color="auto" w:val="clear"/>
            <w:vAlign w:val="center"/>
          </w:tcPr>
          <w:p>
            <w:r>
              <w:rPr>
                <w:rFonts w:ascii="Arial" w:hAnsi="Arial"/>
                <w:b/>
                <w:color w:val="FFFFFF"/>
                <w:sz w:val="20"/>
              </w:rPr>
              <w:t>Location</w:t>
            </w:r>
          </w:p>
        </w:tc>
      </w:tr>
      <w:tr>
        <w:tc>
          <w:tcPr>
            <w:tcW w:type="dxa" w:w="3120"/>
            <w:shd w:fill="F0F2F5" w:color="auto" w:val="clear"/>
            <w:vAlign w:val="center"/>
          </w:tcPr>
          <w:p>
            <w:r>
              <w:rPr>
                <w:rFonts w:ascii="Arial" w:hAnsi="Arial"/>
                <w:sz w:val="20"/>
              </w:rPr>
              <w:t>Solution Architect</w:t>
            </w:r>
          </w:p>
        </w:tc>
        <w:tc>
          <w:tcPr>
            <w:tcW w:type="dxa" w:w="3120"/>
            <w:shd w:fill="F0F2F5" w:color="auto" w:val="clear"/>
            <w:vAlign w:val="center"/>
          </w:tcPr>
          <w:p>
            <w:r>
              <w:rPr>
                <w:rFonts w:ascii="Arial" w:hAnsi="Arial"/>
                <w:sz w:val="20"/>
              </w:rPr>
              <w:t>2</w:t>
            </w:r>
          </w:p>
        </w:tc>
        <w:tc>
          <w:tcPr>
            <w:tcW w:type="dxa" w:w="3120"/>
            <w:shd w:fill="F0F2F5" w:color="auto" w:val="clear"/>
            <w:vAlign w:val="center"/>
          </w:tcPr>
          <w:p>
            <w:r>
              <w:rPr>
                <w:rFonts w:ascii="Arial" w:hAnsi="Arial"/>
                <w:sz w:val="20"/>
              </w:rPr>
              <w:t>Mumbai/Chennai</w:t>
            </w:r>
          </w:p>
        </w:tc>
      </w:tr>
      <w:tr>
        <w:tc>
          <w:tcPr>
            <w:tcW w:type="dxa" w:w="3120"/>
            <w:vAlign w:val="center"/>
          </w:tcPr>
          <w:p>
            <w:r>
              <w:rPr>
                <w:rFonts w:ascii="Arial" w:hAnsi="Arial"/>
                <w:sz w:val="20"/>
              </w:rPr>
              <w:t>Technical Lead</w:t>
            </w:r>
          </w:p>
        </w:tc>
        <w:tc>
          <w:tcPr>
            <w:tcW w:type="dxa" w:w="3120"/>
            <w:vAlign w:val="center"/>
          </w:tcPr>
          <w:p>
            <w:r>
              <w:rPr>
                <w:rFonts w:ascii="Arial" w:hAnsi="Arial"/>
                <w:sz w:val="20"/>
              </w:rPr>
              <w:t>2</w:t>
            </w:r>
          </w:p>
        </w:tc>
        <w:tc>
          <w:tcPr>
            <w:tcW w:type="dxa" w:w="3120"/>
            <w:vAlign w:val="center"/>
          </w:tcPr>
          <w:p>
            <w:r>
              <w:rPr>
                <w:rFonts w:ascii="Arial" w:hAnsi="Arial"/>
                <w:sz w:val="20"/>
              </w:rPr>
              <w:t>Mumbai/Chennai</w:t>
            </w:r>
          </w:p>
        </w:tc>
      </w:tr>
      <w:tr>
        <w:tc>
          <w:tcPr>
            <w:tcW w:type="dxa" w:w="3120"/>
            <w:shd w:fill="F0F2F5" w:color="auto" w:val="clear"/>
            <w:vAlign w:val="center"/>
          </w:tcPr>
          <w:p>
            <w:r>
              <w:rPr>
                <w:rFonts w:ascii="Arial" w:hAnsi="Arial"/>
                <w:sz w:val="20"/>
              </w:rPr>
              <w:t>Cloud Architect</w:t>
            </w:r>
          </w:p>
        </w:tc>
        <w:tc>
          <w:tcPr>
            <w:tcW w:type="dxa" w:w="3120"/>
            <w:shd w:fill="F0F2F5" w:color="auto" w:val="clear"/>
            <w:vAlign w:val="center"/>
          </w:tcPr>
          <w:p>
            <w:r>
              <w:rPr>
                <w:rFonts w:ascii="Arial" w:hAnsi="Arial"/>
                <w:sz w:val="20"/>
              </w:rPr>
              <w:t>2</w:t>
            </w:r>
          </w:p>
        </w:tc>
        <w:tc>
          <w:tcPr>
            <w:tcW w:type="dxa" w:w="3120"/>
            <w:shd w:fill="F0F2F5" w:color="auto" w:val="clear"/>
            <w:vAlign w:val="center"/>
          </w:tcPr>
          <w:p>
            <w:r>
              <w:rPr>
                <w:rFonts w:ascii="Arial" w:hAnsi="Arial"/>
                <w:sz w:val="20"/>
              </w:rPr>
              <w:t>Mumbai/Chennai</w:t>
            </w:r>
          </w:p>
        </w:tc>
      </w:tr>
      <w:tr>
        <w:tc>
          <w:tcPr>
            <w:tcW w:type="dxa" w:w="3120"/>
            <w:vAlign w:val="center"/>
          </w:tcPr>
          <w:p>
            <w:r>
              <w:rPr>
                <w:rFonts w:ascii="Arial" w:hAnsi="Arial"/>
                <w:sz w:val="20"/>
              </w:rPr>
              <w:t>DevOps Engineer</w:t>
            </w:r>
          </w:p>
        </w:tc>
        <w:tc>
          <w:tcPr>
            <w:tcW w:type="dxa" w:w="3120"/>
            <w:vAlign w:val="center"/>
          </w:tcPr>
          <w:p>
            <w:r>
              <w:rPr>
                <w:rFonts w:ascii="Arial" w:hAnsi="Arial"/>
                <w:sz w:val="20"/>
              </w:rPr>
              <w:t>4</w:t>
            </w:r>
          </w:p>
        </w:tc>
        <w:tc>
          <w:tcPr>
            <w:tcW w:type="dxa" w:w="3120"/>
            <w:vAlign w:val="center"/>
          </w:tcPr>
          <w:p>
            <w:r>
              <w:rPr>
                <w:rFonts w:ascii="Arial" w:hAnsi="Arial"/>
                <w:sz w:val="20"/>
              </w:rPr>
              <w:t>Mumbai/Chennai/Bangalore</w:t>
            </w:r>
          </w:p>
        </w:tc>
      </w:tr>
      <w:tr>
        <w:tc>
          <w:tcPr>
            <w:tcW w:type="dxa" w:w="3120"/>
            <w:shd w:fill="F0F2F5" w:color="auto" w:val="clear"/>
            <w:vAlign w:val="center"/>
          </w:tcPr>
          <w:p>
            <w:r>
              <w:rPr>
                <w:rFonts w:ascii="Arial" w:hAnsi="Arial"/>
                <w:sz w:val="20"/>
              </w:rPr>
              <w:t>QA Engineer</w:t>
            </w:r>
          </w:p>
        </w:tc>
        <w:tc>
          <w:tcPr>
            <w:tcW w:type="dxa" w:w="3120"/>
            <w:shd w:fill="F0F2F5" w:color="auto" w:val="clear"/>
            <w:vAlign w:val="center"/>
          </w:tcPr>
          <w:p>
            <w:r>
              <w:rPr>
                <w:rFonts w:ascii="Arial" w:hAnsi="Arial"/>
                <w:sz w:val="20"/>
              </w:rPr>
              <w:t>4</w:t>
            </w:r>
          </w:p>
        </w:tc>
        <w:tc>
          <w:tcPr>
            <w:tcW w:type="dxa" w:w="3120"/>
            <w:shd w:fill="F0F2F5" w:color="auto" w:val="clear"/>
            <w:vAlign w:val="center"/>
          </w:tcPr>
          <w:p>
            <w:r>
              <w:rPr>
                <w:rFonts w:ascii="Arial" w:hAnsi="Arial"/>
                <w:sz w:val="20"/>
              </w:rPr>
              <w:t>Mumbai/Chennai/Bangalore</w:t>
            </w:r>
          </w:p>
        </w:tc>
      </w:tr>
      <w:tr>
        <w:tc>
          <w:tcPr>
            <w:tcW w:type="dxa" w:w="3120"/>
            <w:vAlign w:val="center"/>
          </w:tcPr>
          <w:p>
            <w:r>
              <w:rPr>
                <w:rFonts w:ascii="Arial" w:hAnsi="Arial"/>
                <w:sz w:val="20"/>
              </w:rPr>
              <w:t>Business Analyst</w:t>
            </w:r>
          </w:p>
        </w:tc>
        <w:tc>
          <w:tcPr>
            <w:tcW w:type="dxa" w:w="3120"/>
            <w:vAlign w:val="center"/>
          </w:tcPr>
          <w:p>
            <w:r>
              <w:rPr>
                <w:rFonts w:ascii="Arial" w:hAnsi="Arial"/>
                <w:sz w:val="20"/>
              </w:rPr>
              <w:t>2</w:t>
            </w:r>
          </w:p>
        </w:tc>
        <w:tc>
          <w:tcPr>
            <w:tcW w:type="dxa" w:w="3120"/>
            <w:vAlign w:val="center"/>
          </w:tcPr>
          <w:p>
            <w:r>
              <w:rPr>
                <w:rFonts w:ascii="Arial" w:hAnsi="Arial"/>
                <w:sz w:val="20"/>
              </w:rPr>
              <w:t>Mumbai/Chennai</w:t>
            </w:r>
          </w:p>
        </w:tc>
      </w:tr>
      <w:tr>
        <w:tc>
          <w:tcPr>
            <w:tcW w:type="dxa" w:w="3120"/>
            <w:shd w:fill="F0F2F5" w:color="auto" w:val="clear"/>
            <w:vAlign w:val="center"/>
          </w:tcPr>
          <w:p>
            <w:r>
              <w:rPr>
                <w:rFonts w:ascii="Arial" w:hAnsi="Arial"/>
                <w:sz w:val="20"/>
              </w:rPr>
              <w:t>Project Manager</w:t>
            </w:r>
          </w:p>
        </w:tc>
        <w:tc>
          <w:tcPr>
            <w:tcW w:type="dxa" w:w="3120"/>
            <w:shd w:fill="F0F2F5" w:color="auto" w:val="clear"/>
            <w:vAlign w:val="center"/>
          </w:tcPr>
          <w:p>
            <w:r>
              <w:rPr>
                <w:rFonts w:ascii="Arial" w:hAnsi="Arial"/>
                <w:sz w:val="20"/>
              </w:rPr>
              <w:t>2</w:t>
            </w:r>
          </w:p>
        </w:tc>
        <w:tc>
          <w:tcPr>
            <w:tcW w:type="dxa" w:w="3120"/>
            <w:shd w:fill="F0F2F5" w:color="auto" w:val="clear"/>
            <w:vAlign w:val="center"/>
          </w:tcPr>
          <w:p>
            <w:r>
              <w:rPr>
                <w:rFonts w:ascii="Arial" w:hAnsi="Arial"/>
                <w:sz w:val="20"/>
              </w:rPr>
              <w:t>Mumbai/Chennai</w:t>
            </w:r>
          </w:p>
        </w:tc>
      </w:tr>
    </w:tbl>
    <w:p/>
    <w:p>
      <w:pPr>
        <w:pStyle w:val="Heading2"/>
      </w:pPr>
      <w:r>
        <w:rPr>
          <w:rFonts w:ascii="Arial" w:hAnsi="Arial"/>
          <w:color w:val="00205B"/>
        </w:rPr>
        <w:t>Commercials &amp; ROI</w:t>
      </w:r>
    </w:p>
    <w:p>
      <w:pPr>
        <w:pStyle w:val="ListBullet"/>
      </w:pPr>
      <w:r>
        <w:rPr>
          <w:sz w:val="20"/>
        </w:rPr>
        <w:t>Rate Card</w:t>
      </w:r>
    </w:p>
    <w:p>
      <w:pPr>
        <w:pStyle w:val="ListBullet"/>
      </w:pPr>
      <w:r>
        <w:rPr>
          <w:sz w:val="20"/>
        </w:rPr>
        <w:t>Phase Cost Breakdown</w:t>
      </w:r>
    </w:p>
    <w:p>
      <w:pPr>
        <w:pStyle w:val="ListBullet"/>
      </w:pPr>
      <w:r>
        <w:rPr>
          <w:sz w:val="20"/>
        </w:rPr>
        <w:t>Total Engagement Cost</w:t>
      </w:r>
    </w:p>
    <w:p>
      <w:pPr>
        <w:pStyle w:val="ListBullet"/>
      </w:pPr>
      <w:r>
        <w:rPr>
          <w:sz w:val="20"/>
        </w:rPr>
        <w:t>The total engagement cost for the Modernized Core Banking System (CBS) for HDFC Bank is estimated to be between $570,840 and $659,440.</w:t>
      </w:r>
    </w:p>
    <w:p>
      <w:pPr>
        <w:pStyle w:val="ListBullet"/>
      </w:pPr>
      <w:r>
        <w:rPr>
          <w:sz w:val="20"/>
        </w:rPr>
        <w:t>Payment Milestones</w:t>
      </w:r>
    </w:p>
    <w:p>
      <w:pPr>
        <w:pStyle w:val="ListBullet"/>
      </w:pPr>
      <w:r>
        <w:rPr>
          <w:sz w:val="20"/>
        </w:rPr>
        <w:t>ROI Justification</w:t>
      </w:r>
    </w:p>
    <w:p>
      <w:pPr>
        <w:pStyle w:val="ListBullet"/>
      </w:pPr>
      <w:r>
        <w:rPr>
          <w:sz w:val="20"/>
        </w:rPr>
        <w:t>Tangible value delivered:</w:t>
      </w:r>
    </w:p>
    <w:p>
      <w:pPr>
        <w:pStyle w:val="ListBullet"/>
      </w:pPr>
      <w:r>
        <w:rPr>
          <w:sz w:val="20"/>
        </w:rPr>
        <w:t>Improved system uptime to 99.999% SLA, resulting in reduced downtime and increased customer satisfaction.</w:t>
      </w:r>
    </w:p>
    <w:p>
      <w:pPr>
        <w:pStyle w:val="ListBullet"/>
      </w:pPr>
      <w:r>
        <w:rPr>
          <w:sz w:val="20"/>
        </w:rPr>
        <w:t>Enhanced scalability to support 10M+ daily transactions during peak loads, resulting in increased revenue and reduced operational costs.</w:t>
      </w:r>
    </w:p>
    <w:p>
      <w:pPr>
        <w:pStyle w:val="ListBullet"/>
      </w:pPr>
      <w:r>
        <w:rPr>
          <w:sz w:val="20"/>
        </w:rPr>
        <w:t>Improved digital channel gaps, resulting in increased customer engagement and loyalty.</w:t>
      </w:r>
    </w:p>
    <w:p>
      <w:pPr>
        <w:pStyle w:val="ListBullet"/>
      </w:pPr>
      <w:r>
        <w:rPr>
          <w:sz w:val="20"/>
        </w:rPr>
        <w:t>Ensured RBI regulatory compliance post-upgrade, resulting in reduced risk and increased reputation.</w:t>
      </w:r>
    </w:p>
    <w:p>
      <w:pPr>
        <w:pStyle w:val="ListBullet"/>
      </w:pPr>
      <w:r>
        <w:rPr>
          <w:sz w:val="20"/>
        </w:rPr>
        <w:t>Optional Add-ons</w:t>
      </w:r>
    </w:p>
    <w:p>
      <w:pPr>
        <w:pStyle w:val="ListBullet"/>
      </w:pPr>
      <w:r>
        <w:rPr>
          <w:sz w:val="20"/>
        </w:rPr>
        <w:t>Premium Support Package: $10,000/month (includes 24/7 support, priority escalation, and dedicated support engineer)</w:t>
      </w:r>
    </w:p>
    <w:p>
      <w:pPr>
        <w:pStyle w:val="ListBullet"/>
      </w:pPr>
      <w:r>
        <w:rPr>
          <w:sz w:val="20"/>
        </w:rPr>
        <w:t>Cloud Migration Accelerator: $50,000 (includes cloud migration planning, execution, and testing)</w:t>
      </w:r>
    </w:p>
    <w:p>
      <w:pPr>
        <w:pStyle w:val="ListBullet"/>
      </w:pPr>
      <w:r>
        <w:rPr>
          <w:sz w:val="20"/>
        </w:rPr>
        <w:t>AI/ML Upskilling Program: $20,000 (includes AI/ML training and upskilling for HDFC Bank team members)</w:t>
      </w:r>
    </w:p>
    <w:tbl>
      <w:tblPr>
        <w:tblStyle w:val="TableGrid"/>
        <w:tblW w:type="auto" w:w="0"/>
        <w:tblLayout w:type="autofit"/>
        <w:tblLook w:firstColumn="1" w:firstRow="1" w:lastColumn="0" w:lastRow="0" w:noHBand="0" w:noVBand="1" w:val="04A0"/>
      </w:tblPr>
      <w:tblGrid>
        <w:gridCol w:w="1560"/>
        <w:gridCol w:w="1560"/>
        <w:gridCol w:w="1560"/>
        <w:gridCol w:w="1560"/>
        <w:gridCol w:w="1560"/>
        <w:gridCol w:w="1560"/>
      </w:tblGrid>
      <w:tr>
        <w:tc>
          <w:tcPr>
            <w:tcW w:type="dxa" w:w="1560"/>
            <w:shd w:fill="00205B" w:color="auto" w:val="clear"/>
            <w:vAlign w:val="center"/>
          </w:tcPr>
          <w:p>
            <w:r>
              <w:rPr>
                <w:rFonts w:ascii="Arial" w:hAnsi="Arial"/>
                <w:b/>
                <w:color w:val="FFFFFF"/>
                <w:sz w:val="20"/>
              </w:rPr>
              <w:t>Role</w:t>
            </w:r>
          </w:p>
        </w:tc>
        <w:tc>
          <w:tcPr>
            <w:tcW w:type="dxa" w:w="1560"/>
            <w:shd w:fill="00205B" w:color="auto" w:val="clear"/>
            <w:vAlign w:val="center"/>
          </w:tcPr>
          <w:p>
            <w:r>
              <w:rPr>
                <w:rFonts w:ascii="Arial" w:hAnsi="Arial"/>
                <w:b/>
                <w:color w:val="FFFFFF"/>
                <w:sz w:val="20"/>
              </w:rPr>
              <w:t>Count</w:t>
            </w:r>
          </w:p>
        </w:tc>
        <w:tc>
          <w:tcPr>
            <w:tcW w:type="dxa" w:w="1560"/>
            <w:shd w:fill="00205B" w:color="auto" w:val="clear"/>
            <w:vAlign w:val="center"/>
          </w:tcPr>
          <w:p>
            <w:r>
              <w:rPr>
                <w:rFonts w:ascii="Arial" w:hAnsi="Arial"/>
                <w:b/>
                <w:color w:val="FFFFFF"/>
                <w:sz w:val="20"/>
              </w:rPr>
              <w:t>Location</w:t>
            </w:r>
          </w:p>
        </w:tc>
        <w:tc>
          <w:tcPr>
            <w:tcW w:type="dxa" w:w="1560"/>
            <w:shd w:fill="00205B" w:color="auto" w:val="clear"/>
            <w:vAlign w:val="center"/>
          </w:tcPr>
          <w:p>
            <w:r>
              <w:rPr>
                <w:rFonts w:ascii="Arial" w:hAnsi="Arial"/>
                <w:b/>
                <w:color w:val="FFFFFF"/>
                <w:sz w:val="20"/>
              </w:rPr>
              <w:t>Hrs/Month</w:t>
            </w:r>
          </w:p>
        </w:tc>
        <w:tc>
          <w:tcPr>
            <w:tcW w:type="dxa" w:w="1560"/>
            <w:shd w:fill="00205B" w:color="auto" w:val="clear"/>
            <w:vAlign w:val="center"/>
          </w:tcPr>
          <w:p>
            <w:r>
              <w:rPr>
                <w:rFonts w:ascii="Arial" w:hAnsi="Arial"/>
                <w:b/>
                <w:color w:val="FFFFFF"/>
                <w:sz w:val="20"/>
              </w:rPr>
              <w:t>Rate/hr</w:t>
            </w:r>
          </w:p>
        </w:tc>
        <w:tc>
          <w:tcPr>
            <w:tcW w:type="dxa" w:w="1560"/>
            <w:shd w:fill="00205B" w:color="auto" w:val="clear"/>
            <w:vAlign w:val="center"/>
          </w:tcPr>
          <w:p>
            <w:r>
              <w:rPr>
                <w:rFonts w:ascii="Arial" w:hAnsi="Arial"/>
                <w:b/>
                <w:color w:val="FFFFFF"/>
                <w:sz w:val="20"/>
              </w:rPr>
              <w:t>Monthly Cost</w:t>
            </w:r>
          </w:p>
        </w:tc>
      </w:tr>
      <w:tr>
        <w:tc>
          <w:tcPr>
            <w:tcW w:type="dxa" w:w="1560"/>
            <w:shd w:fill="F0F2F5" w:color="auto" w:val="clear"/>
            <w:vAlign w:val="center"/>
          </w:tcPr>
          <w:p>
            <w:r>
              <w:rPr>
                <w:rFonts w:ascii="Arial" w:hAnsi="Arial"/>
                <w:sz w:val="20"/>
              </w:rPr>
              <w:t>Solution Architect</w:t>
            </w:r>
          </w:p>
        </w:tc>
        <w:tc>
          <w:tcPr>
            <w:tcW w:type="dxa" w:w="1560"/>
            <w:shd w:fill="F0F2F5" w:color="auto" w:val="clear"/>
            <w:vAlign w:val="center"/>
          </w:tcPr>
          <w:p>
            <w:r>
              <w:rPr>
                <w:rFonts w:ascii="Arial" w:hAnsi="Arial"/>
                <w:sz w:val="20"/>
              </w:rPr>
              <w:t>2</w:t>
            </w:r>
          </w:p>
        </w:tc>
        <w:tc>
          <w:tcPr>
            <w:tcW w:type="dxa" w:w="1560"/>
            <w:shd w:fill="F0F2F5" w:color="auto" w:val="clear"/>
            <w:vAlign w:val="center"/>
          </w:tcPr>
          <w:p>
            <w:r>
              <w:rPr>
                <w:rFonts w:ascii="Arial" w:hAnsi="Arial"/>
                <w:sz w:val="20"/>
              </w:rPr>
              <w:t>Onshore</w:t>
            </w:r>
          </w:p>
        </w:tc>
        <w:tc>
          <w:tcPr>
            <w:tcW w:type="dxa" w:w="1560"/>
            <w:shd w:fill="F0F2F5" w:color="auto" w:val="clear"/>
            <w:vAlign w:val="center"/>
          </w:tcPr>
          <w:p>
            <w:r>
              <w:rPr>
                <w:rFonts w:ascii="Arial" w:hAnsi="Arial"/>
                <w:sz w:val="20"/>
              </w:rPr>
              <w:t>160</w:t>
            </w:r>
          </w:p>
        </w:tc>
        <w:tc>
          <w:tcPr>
            <w:tcW w:type="dxa" w:w="1560"/>
            <w:shd w:fill="F0F2F5" w:color="auto" w:val="clear"/>
            <w:vAlign w:val="center"/>
          </w:tcPr>
          <w:p>
            <w:r>
              <w:rPr>
                <w:rFonts w:ascii="Arial" w:hAnsi="Arial"/>
                <w:sz w:val="20"/>
              </w:rPr>
              <w:t>$100</w:t>
            </w:r>
          </w:p>
        </w:tc>
        <w:tc>
          <w:tcPr>
            <w:tcW w:type="dxa" w:w="1560"/>
            <w:shd w:fill="F0F2F5" w:color="auto" w:val="clear"/>
            <w:vAlign w:val="center"/>
          </w:tcPr>
          <w:p>
            <w:r>
              <w:rPr>
                <w:rFonts w:ascii="Arial" w:hAnsi="Arial"/>
                <w:sz w:val="20"/>
              </w:rPr>
              <w:t>$16,000</w:t>
            </w:r>
          </w:p>
        </w:tc>
      </w:tr>
      <w:tr>
        <w:tc>
          <w:tcPr>
            <w:tcW w:type="dxa" w:w="1560"/>
            <w:vAlign w:val="center"/>
          </w:tcPr>
          <w:p>
            <w:r>
              <w:rPr>
                <w:rFonts w:ascii="Arial" w:hAnsi="Arial"/>
                <w:sz w:val="20"/>
              </w:rPr>
              <w:t>Technical Lead</w:t>
            </w:r>
          </w:p>
        </w:tc>
        <w:tc>
          <w:tcPr>
            <w:tcW w:type="dxa" w:w="1560"/>
            <w:vAlign w:val="center"/>
          </w:tcPr>
          <w:p>
            <w:r>
              <w:rPr>
                <w:rFonts w:ascii="Arial" w:hAnsi="Arial"/>
                <w:sz w:val="20"/>
              </w:rPr>
              <w:t>1</w:t>
            </w:r>
          </w:p>
        </w:tc>
        <w:tc>
          <w:tcPr>
            <w:tcW w:type="dxa" w:w="1560"/>
            <w:vAlign w:val="center"/>
          </w:tcPr>
          <w:p>
            <w:r>
              <w:rPr>
                <w:rFonts w:ascii="Arial" w:hAnsi="Arial"/>
                <w:sz w:val="20"/>
              </w:rPr>
              <w:t>Nearshore</w:t>
            </w:r>
          </w:p>
        </w:tc>
        <w:tc>
          <w:tcPr>
            <w:tcW w:type="dxa" w:w="1560"/>
            <w:vAlign w:val="center"/>
          </w:tcPr>
          <w:p>
            <w:r>
              <w:rPr>
                <w:rFonts w:ascii="Arial" w:hAnsi="Arial"/>
                <w:sz w:val="20"/>
              </w:rPr>
              <w:t>120</w:t>
            </w:r>
          </w:p>
        </w:tc>
        <w:tc>
          <w:tcPr>
            <w:tcW w:type="dxa" w:w="1560"/>
            <w:vAlign w:val="center"/>
          </w:tcPr>
          <w:p>
            <w:r>
              <w:rPr>
                <w:rFonts w:ascii="Arial" w:hAnsi="Arial"/>
                <w:sz w:val="20"/>
              </w:rPr>
              <w:t>$55</w:t>
            </w:r>
          </w:p>
        </w:tc>
        <w:tc>
          <w:tcPr>
            <w:tcW w:type="dxa" w:w="1560"/>
            <w:vAlign w:val="center"/>
          </w:tcPr>
          <w:p>
            <w:r>
              <w:rPr>
                <w:rFonts w:ascii="Arial" w:hAnsi="Arial"/>
                <w:sz w:val="20"/>
              </w:rPr>
              <w:t>$6,600</w:t>
            </w:r>
          </w:p>
        </w:tc>
      </w:tr>
      <w:tr>
        <w:tc>
          <w:tcPr>
            <w:tcW w:type="dxa" w:w="1560"/>
            <w:shd w:fill="F0F2F5" w:color="auto" w:val="clear"/>
            <w:vAlign w:val="center"/>
          </w:tcPr>
          <w:p>
            <w:r>
              <w:rPr>
                <w:rFonts w:ascii="Arial" w:hAnsi="Arial"/>
                <w:sz w:val="20"/>
              </w:rPr>
              <w:t>Cloud Engineer</w:t>
            </w:r>
          </w:p>
        </w:tc>
        <w:tc>
          <w:tcPr>
            <w:tcW w:type="dxa" w:w="1560"/>
            <w:shd w:fill="F0F2F5" w:color="auto" w:val="clear"/>
            <w:vAlign w:val="center"/>
          </w:tcPr>
          <w:p>
            <w:r>
              <w:rPr>
                <w:rFonts w:ascii="Arial" w:hAnsi="Arial"/>
                <w:sz w:val="20"/>
              </w:rPr>
              <w:t>4</w:t>
            </w:r>
          </w:p>
        </w:tc>
        <w:tc>
          <w:tcPr>
            <w:tcW w:type="dxa" w:w="1560"/>
            <w:shd w:fill="F0F2F5" w:color="auto" w:val="clear"/>
            <w:vAlign w:val="center"/>
          </w:tcPr>
          <w:p>
            <w:r>
              <w:rPr>
                <w:rFonts w:ascii="Arial" w:hAnsi="Arial"/>
                <w:sz w:val="20"/>
              </w:rPr>
              <w:t>Offshore</w:t>
            </w:r>
          </w:p>
        </w:tc>
        <w:tc>
          <w:tcPr>
            <w:tcW w:type="dxa" w:w="1560"/>
            <w:shd w:fill="F0F2F5" w:color="auto" w:val="clear"/>
            <w:vAlign w:val="center"/>
          </w:tcPr>
          <w:p>
            <w:r>
              <w:rPr>
                <w:rFonts w:ascii="Arial" w:hAnsi="Arial"/>
                <w:sz w:val="20"/>
              </w:rPr>
              <w:t>240</w:t>
            </w:r>
          </w:p>
        </w:tc>
        <w:tc>
          <w:tcPr>
            <w:tcW w:type="dxa" w:w="1560"/>
            <w:shd w:fill="F0F2F5" w:color="auto" w:val="clear"/>
            <w:vAlign w:val="center"/>
          </w:tcPr>
          <w:p>
            <w:r>
              <w:rPr>
                <w:rFonts w:ascii="Arial" w:hAnsi="Arial"/>
                <w:sz w:val="20"/>
              </w:rPr>
              <w:t>$30</w:t>
            </w:r>
          </w:p>
        </w:tc>
        <w:tc>
          <w:tcPr>
            <w:tcW w:type="dxa" w:w="1560"/>
            <w:shd w:fill="F0F2F5" w:color="auto" w:val="clear"/>
            <w:vAlign w:val="center"/>
          </w:tcPr>
          <w:p>
            <w:r>
              <w:rPr>
                <w:rFonts w:ascii="Arial" w:hAnsi="Arial"/>
                <w:sz w:val="20"/>
              </w:rPr>
              <w:t>$14,400</w:t>
            </w:r>
          </w:p>
        </w:tc>
      </w:tr>
      <w:tr>
        <w:tc>
          <w:tcPr>
            <w:tcW w:type="dxa" w:w="1560"/>
            <w:vAlign w:val="center"/>
          </w:tcPr>
          <w:p>
            <w:r>
              <w:rPr>
                <w:rFonts w:ascii="Arial" w:hAnsi="Arial"/>
                <w:sz w:val="20"/>
              </w:rPr>
              <w:t>QA Engineer</w:t>
            </w:r>
          </w:p>
        </w:tc>
        <w:tc>
          <w:tcPr>
            <w:tcW w:type="dxa" w:w="1560"/>
            <w:vAlign w:val="center"/>
          </w:tcPr>
          <w:p>
            <w:r>
              <w:rPr>
                <w:rFonts w:ascii="Arial" w:hAnsi="Arial"/>
                <w:sz w:val="20"/>
              </w:rPr>
              <w:t>2</w:t>
            </w:r>
          </w:p>
        </w:tc>
        <w:tc>
          <w:tcPr>
            <w:tcW w:type="dxa" w:w="1560"/>
            <w:vAlign w:val="center"/>
          </w:tcPr>
          <w:p>
            <w:r>
              <w:rPr>
                <w:rFonts w:ascii="Arial" w:hAnsi="Arial"/>
                <w:sz w:val="20"/>
              </w:rPr>
              <w:t>Offshore</w:t>
            </w:r>
          </w:p>
        </w:tc>
        <w:tc>
          <w:tcPr>
            <w:tcW w:type="dxa" w:w="1560"/>
            <w:vAlign w:val="center"/>
          </w:tcPr>
          <w:p>
            <w:r>
              <w:rPr>
                <w:rFonts w:ascii="Arial" w:hAnsi="Arial"/>
                <w:sz w:val="20"/>
              </w:rPr>
              <w:t>160</w:t>
            </w:r>
          </w:p>
        </w:tc>
        <w:tc>
          <w:tcPr>
            <w:tcW w:type="dxa" w:w="1560"/>
            <w:vAlign w:val="center"/>
          </w:tcPr>
          <w:p>
            <w:r>
              <w:rPr>
                <w:rFonts w:ascii="Arial" w:hAnsi="Arial"/>
                <w:sz w:val="20"/>
              </w:rPr>
              <w:t>$28</w:t>
            </w:r>
          </w:p>
        </w:tc>
        <w:tc>
          <w:tcPr>
            <w:tcW w:type="dxa" w:w="1560"/>
            <w:vAlign w:val="center"/>
          </w:tcPr>
          <w:p>
            <w:r>
              <w:rPr>
                <w:rFonts w:ascii="Arial" w:hAnsi="Arial"/>
                <w:sz w:val="20"/>
              </w:rPr>
              <w:t>$4,480</w:t>
            </w:r>
          </w:p>
        </w:tc>
      </w:tr>
      <w:tr>
        <w:tc>
          <w:tcPr>
            <w:tcW w:type="dxa" w:w="1560"/>
            <w:shd w:fill="F0F2F5" w:color="auto" w:val="clear"/>
            <w:vAlign w:val="center"/>
          </w:tcPr>
          <w:p>
            <w:r>
              <w:rPr>
                <w:rFonts w:ascii="Arial" w:hAnsi="Arial"/>
                <w:sz w:val="20"/>
              </w:rPr>
              <w:t>DevOps Engineer</w:t>
            </w:r>
          </w:p>
        </w:tc>
        <w:tc>
          <w:tcPr>
            <w:tcW w:type="dxa" w:w="1560"/>
            <w:shd w:fill="F0F2F5" w:color="auto" w:val="clear"/>
            <w:vAlign w:val="center"/>
          </w:tcPr>
          <w:p>
            <w:r>
              <w:rPr>
                <w:rFonts w:ascii="Arial" w:hAnsi="Arial"/>
                <w:sz w:val="20"/>
              </w:rPr>
              <w:t>1</w:t>
            </w:r>
          </w:p>
        </w:tc>
        <w:tc>
          <w:tcPr>
            <w:tcW w:type="dxa" w:w="1560"/>
            <w:shd w:fill="F0F2F5" w:color="auto" w:val="clear"/>
            <w:vAlign w:val="center"/>
          </w:tcPr>
          <w:p>
            <w:r>
              <w:rPr>
                <w:rFonts w:ascii="Arial" w:hAnsi="Arial"/>
                <w:sz w:val="20"/>
              </w:rPr>
              <w:t>Nearshore</w:t>
            </w:r>
          </w:p>
        </w:tc>
        <w:tc>
          <w:tcPr>
            <w:tcW w:type="dxa" w:w="1560"/>
            <w:shd w:fill="F0F2F5" w:color="auto" w:val="clear"/>
            <w:vAlign w:val="center"/>
          </w:tcPr>
          <w:p>
            <w:r>
              <w:rPr>
                <w:rFonts w:ascii="Arial" w:hAnsi="Arial"/>
                <w:sz w:val="20"/>
              </w:rPr>
              <w:t>80</w:t>
            </w:r>
          </w:p>
        </w:tc>
        <w:tc>
          <w:tcPr>
            <w:tcW w:type="dxa" w:w="1560"/>
            <w:shd w:fill="F0F2F5" w:color="auto" w:val="clear"/>
            <w:vAlign w:val="center"/>
          </w:tcPr>
          <w:p>
            <w:r>
              <w:rPr>
                <w:rFonts w:ascii="Arial" w:hAnsi="Arial"/>
                <w:sz w:val="20"/>
              </w:rPr>
              <w:t>$50</w:t>
            </w:r>
          </w:p>
        </w:tc>
        <w:tc>
          <w:tcPr>
            <w:tcW w:type="dxa" w:w="1560"/>
            <w:shd w:fill="F0F2F5" w:color="auto" w:val="clear"/>
            <w:vAlign w:val="center"/>
          </w:tcPr>
          <w:p>
            <w:r>
              <w:rPr>
                <w:rFonts w:ascii="Arial" w:hAnsi="Arial"/>
                <w:sz w:val="20"/>
              </w:rPr>
              <w:t>$4,000</w:t>
            </w:r>
          </w:p>
        </w:tc>
      </w:tr>
      <w:tr>
        <w:tc>
          <w:tcPr>
            <w:tcW w:type="dxa" w:w="1560"/>
            <w:vAlign w:val="center"/>
          </w:tcPr>
          <w:p>
            <w:r>
              <w:rPr>
                <w:rFonts w:ascii="Arial" w:hAnsi="Arial"/>
                <w:sz w:val="20"/>
              </w:rPr>
              <w:t>Business Analyst</w:t>
            </w:r>
          </w:p>
        </w:tc>
        <w:tc>
          <w:tcPr>
            <w:tcW w:type="dxa" w:w="1560"/>
            <w:vAlign w:val="center"/>
          </w:tcPr>
          <w:p>
            <w:r>
              <w:rPr>
                <w:rFonts w:ascii="Arial" w:hAnsi="Arial"/>
                <w:sz w:val="20"/>
              </w:rPr>
              <w:t>1</w:t>
            </w:r>
          </w:p>
        </w:tc>
        <w:tc>
          <w:tcPr>
            <w:tcW w:type="dxa" w:w="1560"/>
            <w:vAlign w:val="center"/>
          </w:tcPr>
          <w:p>
            <w:r>
              <w:rPr>
                <w:rFonts w:ascii="Arial" w:hAnsi="Arial"/>
                <w:sz w:val="20"/>
              </w:rPr>
              <w:t>Onshore</w:t>
            </w:r>
          </w:p>
        </w:tc>
        <w:tc>
          <w:tcPr>
            <w:tcW w:type="dxa" w:w="1560"/>
            <w:vAlign w:val="center"/>
          </w:tcPr>
          <w:p>
            <w:r>
              <w:rPr>
                <w:rFonts w:ascii="Arial" w:hAnsi="Arial"/>
                <w:sz w:val="20"/>
              </w:rPr>
              <w:t>80</w:t>
            </w:r>
          </w:p>
        </w:tc>
        <w:tc>
          <w:tcPr>
            <w:tcW w:type="dxa" w:w="1560"/>
            <w:vAlign w:val="center"/>
          </w:tcPr>
          <w:p>
            <w:r>
              <w:rPr>
                <w:rFonts w:ascii="Arial" w:hAnsi="Arial"/>
                <w:sz w:val="20"/>
              </w:rPr>
              <w:t>$90</w:t>
            </w:r>
          </w:p>
        </w:tc>
        <w:tc>
          <w:tcPr>
            <w:tcW w:type="dxa" w:w="1560"/>
            <w:vAlign w:val="center"/>
          </w:tcPr>
          <w:p>
            <w:r>
              <w:rPr>
                <w:rFonts w:ascii="Arial" w:hAnsi="Arial"/>
                <w:sz w:val="20"/>
              </w:rPr>
              <w:t>$7,200</w:t>
            </w:r>
          </w:p>
        </w:tc>
      </w:tr>
      <w:tr>
        <w:tc>
          <w:tcPr>
            <w:tcW w:type="dxa" w:w="1560"/>
            <w:shd w:fill="F0F2F5" w:color="auto" w:val="clear"/>
            <w:vAlign w:val="center"/>
          </w:tcPr>
          <w:p>
            <w:r>
              <w:rPr>
                <w:rFonts w:ascii="Arial" w:hAnsi="Arial"/>
                <w:sz w:val="20"/>
              </w:rPr>
              <w:t>Project Manager</w:t>
            </w:r>
          </w:p>
        </w:tc>
        <w:tc>
          <w:tcPr>
            <w:tcW w:type="dxa" w:w="1560"/>
            <w:shd w:fill="F0F2F5" w:color="auto" w:val="clear"/>
            <w:vAlign w:val="center"/>
          </w:tcPr>
          <w:p>
            <w:r>
              <w:rPr>
                <w:rFonts w:ascii="Arial" w:hAnsi="Arial"/>
                <w:sz w:val="20"/>
              </w:rPr>
              <w:t>1</w:t>
            </w:r>
          </w:p>
        </w:tc>
        <w:tc>
          <w:tcPr>
            <w:tcW w:type="dxa" w:w="1560"/>
            <w:shd w:fill="F0F2F5" w:color="auto" w:val="clear"/>
            <w:vAlign w:val="center"/>
          </w:tcPr>
          <w:p>
            <w:r>
              <w:rPr>
                <w:rFonts w:ascii="Arial" w:hAnsi="Arial"/>
                <w:sz w:val="20"/>
              </w:rPr>
              <w:t>Onshore</w:t>
            </w:r>
          </w:p>
        </w:tc>
        <w:tc>
          <w:tcPr>
            <w:tcW w:type="dxa" w:w="1560"/>
            <w:shd w:fill="F0F2F5" w:color="auto" w:val="clear"/>
            <w:vAlign w:val="center"/>
          </w:tcPr>
          <w:p>
            <w:r>
              <w:rPr>
                <w:rFonts w:ascii="Arial" w:hAnsi="Arial"/>
                <w:sz w:val="20"/>
              </w:rPr>
              <w:t>80</w:t>
            </w:r>
          </w:p>
        </w:tc>
        <w:tc>
          <w:tcPr>
            <w:tcW w:type="dxa" w:w="1560"/>
            <w:shd w:fill="F0F2F5" w:color="auto" w:val="clear"/>
            <w:vAlign w:val="center"/>
          </w:tcPr>
          <w:p>
            <w:r>
              <w:rPr>
                <w:rFonts w:ascii="Arial" w:hAnsi="Arial"/>
                <w:sz w:val="20"/>
              </w:rPr>
              <w:t>$110</w:t>
            </w:r>
          </w:p>
        </w:tc>
        <w:tc>
          <w:tcPr>
            <w:tcW w:type="dxa" w:w="1560"/>
            <w:shd w:fill="F0F2F5" w:color="auto" w:val="clear"/>
            <w:vAlign w:val="center"/>
          </w:tcPr>
          <w:p>
            <w:r>
              <w:rPr>
                <w:rFonts w:ascii="Arial" w:hAnsi="Arial"/>
                <w:sz w:val="20"/>
              </w:rPr>
              <w:t>$8,800</w:t>
            </w:r>
          </w:p>
        </w:tc>
      </w:tr>
      <w:tr>
        <w:tc>
          <w:tcPr>
            <w:tcW w:type="dxa" w:w="1560"/>
            <w:vAlign w:val="center"/>
          </w:tcPr>
          <w:p>
            <w:r>
              <w:rPr>
                <w:rFonts w:ascii="Arial" w:hAnsi="Arial"/>
                <w:sz w:val="20"/>
              </w:rPr>
              <w:t>AI/ML Engineer</w:t>
            </w:r>
          </w:p>
        </w:tc>
        <w:tc>
          <w:tcPr>
            <w:tcW w:type="dxa" w:w="1560"/>
            <w:vAlign w:val="center"/>
          </w:tcPr>
          <w:p>
            <w:r>
              <w:rPr>
                <w:rFonts w:ascii="Arial" w:hAnsi="Arial"/>
                <w:sz w:val="20"/>
              </w:rPr>
              <w:t>1</w:t>
            </w:r>
          </w:p>
        </w:tc>
        <w:tc>
          <w:tcPr>
            <w:tcW w:type="dxa" w:w="1560"/>
            <w:vAlign w:val="center"/>
          </w:tcPr>
          <w:p>
            <w:r>
              <w:rPr>
                <w:rFonts w:ascii="Arial" w:hAnsi="Arial"/>
                <w:sz w:val="20"/>
              </w:rPr>
              <w:t>Offshore</w:t>
            </w:r>
          </w:p>
        </w:tc>
        <w:tc>
          <w:tcPr>
            <w:tcW w:type="dxa" w:w="1560"/>
            <w:vAlign w:val="center"/>
          </w:tcPr>
          <w:p>
            <w:r>
              <w:rPr>
                <w:rFonts w:ascii="Arial" w:hAnsi="Arial"/>
                <w:sz w:val="20"/>
              </w:rPr>
              <w:t>80</w:t>
            </w:r>
          </w:p>
        </w:tc>
        <w:tc>
          <w:tcPr>
            <w:tcW w:type="dxa" w:w="1560"/>
            <w:vAlign w:val="center"/>
          </w:tcPr>
          <w:p>
            <w:r>
              <w:rPr>
                <w:rFonts w:ascii="Arial" w:hAnsi="Arial"/>
                <w:sz w:val="20"/>
              </w:rPr>
              <w:t>$32</w:t>
            </w:r>
          </w:p>
        </w:tc>
        <w:tc>
          <w:tcPr>
            <w:tcW w:type="dxa" w:w="1560"/>
            <w:vAlign w:val="center"/>
          </w:tcPr>
          <w:p>
            <w:r>
              <w:rPr>
                <w:rFonts w:ascii="Arial" w:hAnsi="Arial"/>
                <w:sz w:val="20"/>
              </w:rPr>
              <w:t>$2,560</w:t>
            </w:r>
          </w:p>
        </w:tc>
      </w:tr>
      <w:tr>
        <w:tc>
          <w:tcPr>
            <w:tcW w:type="dxa" w:w="1560"/>
            <w:shd w:fill="F0F2F5" w:color="auto" w:val="clear"/>
            <w:vAlign w:val="center"/>
          </w:tcPr>
          <w:p>
            <w:r>
              <w:rPr>
                <w:rFonts w:ascii="Arial" w:hAnsi="Arial"/>
                <w:sz w:val="20"/>
              </w:rPr>
              <w:t>API Developer</w:t>
            </w:r>
          </w:p>
        </w:tc>
        <w:tc>
          <w:tcPr>
            <w:tcW w:type="dxa" w:w="1560"/>
            <w:shd w:fill="F0F2F5" w:color="auto" w:val="clear"/>
            <w:vAlign w:val="center"/>
          </w:tcPr>
          <w:p>
            <w:r>
              <w:rPr>
                <w:rFonts w:ascii="Arial" w:hAnsi="Arial"/>
                <w:sz w:val="20"/>
              </w:rPr>
              <w:t>1</w:t>
            </w:r>
          </w:p>
        </w:tc>
        <w:tc>
          <w:tcPr>
            <w:tcW w:type="dxa" w:w="1560"/>
            <w:shd w:fill="F0F2F5" w:color="auto" w:val="clear"/>
            <w:vAlign w:val="center"/>
          </w:tcPr>
          <w:p>
            <w:r>
              <w:rPr>
                <w:rFonts w:ascii="Arial" w:hAnsi="Arial"/>
                <w:sz w:val="20"/>
              </w:rPr>
              <w:t>Nearshore</w:t>
            </w:r>
          </w:p>
        </w:tc>
        <w:tc>
          <w:tcPr>
            <w:tcW w:type="dxa" w:w="1560"/>
            <w:shd w:fill="F0F2F5" w:color="auto" w:val="clear"/>
            <w:vAlign w:val="center"/>
          </w:tcPr>
          <w:p>
            <w:r>
              <w:rPr>
                <w:rFonts w:ascii="Arial" w:hAnsi="Arial"/>
                <w:sz w:val="20"/>
              </w:rPr>
              <w:t>80</w:t>
            </w:r>
          </w:p>
        </w:tc>
        <w:tc>
          <w:tcPr>
            <w:tcW w:type="dxa" w:w="1560"/>
            <w:shd w:fill="F0F2F5" w:color="auto" w:val="clear"/>
            <w:vAlign w:val="center"/>
          </w:tcPr>
          <w:p>
            <w:r>
              <w:rPr>
                <w:rFonts w:ascii="Arial" w:hAnsi="Arial"/>
                <w:sz w:val="20"/>
              </w:rPr>
              <w:t>$45</w:t>
            </w:r>
          </w:p>
        </w:tc>
        <w:tc>
          <w:tcPr>
            <w:tcW w:type="dxa" w:w="1560"/>
            <w:shd w:fill="F0F2F5" w:color="auto" w:val="clear"/>
            <w:vAlign w:val="center"/>
          </w:tcPr>
          <w:p>
            <w:r>
              <w:rPr>
                <w:rFonts w:ascii="Arial" w:hAnsi="Arial"/>
                <w:sz w:val="20"/>
              </w:rPr>
              <w:t>$3,600</w:t>
            </w:r>
          </w:p>
        </w:tc>
      </w:tr>
    </w:tbl>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shd w:fill="00205B" w:color="auto" w:val="clear"/>
            <w:vAlign w:val="center"/>
          </w:tcPr>
          <w:p>
            <w:r>
              <w:rPr>
                <w:rFonts w:ascii="Arial" w:hAnsi="Arial"/>
                <w:b/>
                <w:color w:val="FFFFFF"/>
                <w:sz w:val="20"/>
              </w:rPr>
              <w:t>Phase</w:t>
            </w:r>
          </w:p>
        </w:tc>
        <w:tc>
          <w:tcPr>
            <w:tcW w:type="dxa" w:w="2340"/>
            <w:shd w:fill="00205B" w:color="auto" w:val="clear"/>
            <w:vAlign w:val="center"/>
          </w:tcPr>
          <w:p>
            <w:r>
              <w:rPr>
                <w:rFonts w:ascii="Arial" w:hAnsi="Arial"/>
                <w:b/>
                <w:color w:val="FFFFFF"/>
                <w:sz w:val="20"/>
              </w:rPr>
              <w:t>Duration</w:t>
            </w:r>
          </w:p>
        </w:tc>
        <w:tc>
          <w:tcPr>
            <w:tcW w:type="dxa" w:w="2340"/>
            <w:shd w:fill="00205B" w:color="auto" w:val="clear"/>
            <w:vAlign w:val="center"/>
          </w:tcPr>
          <w:p>
            <w:r>
              <w:rPr>
                <w:rFonts w:ascii="Arial" w:hAnsi="Arial"/>
                <w:b/>
                <w:color w:val="FFFFFF"/>
                <w:sz w:val="20"/>
              </w:rPr>
              <w:t>Team Size</w:t>
            </w:r>
          </w:p>
        </w:tc>
        <w:tc>
          <w:tcPr>
            <w:tcW w:type="dxa" w:w="2340"/>
            <w:shd w:fill="00205B" w:color="auto" w:val="clear"/>
            <w:vAlign w:val="center"/>
          </w:tcPr>
          <w:p>
            <w:r>
              <w:rPr>
                <w:rFonts w:ascii="Arial" w:hAnsi="Arial"/>
                <w:b/>
                <w:color w:val="FFFFFF"/>
                <w:sz w:val="20"/>
              </w:rPr>
              <w:t>Total Cost</w:t>
            </w:r>
          </w:p>
        </w:tc>
      </w:tr>
      <w:tr>
        <w:tc>
          <w:tcPr>
            <w:tcW w:type="dxa" w:w="2340"/>
            <w:shd w:fill="F0F2F5" w:color="auto" w:val="clear"/>
            <w:vAlign w:val="center"/>
          </w:tcPr>
          <w:p>
            <w:r>
              <w:rPr>
                <w:rFonts w:ascii="Arial" w:hAnsi="Arial"/>
                <w:sz w:val="20"/>
              </w:rPr>
              <w:t>Phase 1: Solution Design (4 weeks)</w:t>
            </w:r>
          </w:p>
        </w:tc>
        <w:tc>
          <w:tcPr>
            <w:tcW w:type="dxa" w:w="2340"/>
            <w:shd w:fill="F0F2F5" w:color="auto" w:val="clear"/>
            <w:vAlign w:val="center"/>
          </w:tcPr>
          <w:p>
            <w:r>
              <w:rPr>
                <w:rFonts w:ascii="Arial" w:hAnsi="Arial"/>
                <w:sz w:val="20"/>
              </w:rPr>
              <w:t>4 weeks</w:t>
            </w:r>
          </w:p>
        </w:tc>
        <w:tc>
          <w:tcPr>
            <w:tcW w:type="dxa" w:w="2340"/>
            <w:shd w:fill="F0F2F5" w:color="auto" w:val="clear"/>
            <w:vAlign w:val="center"/>
          </w:tcPr>
          <w:p>
            <w:r>
              <w:rPr>
                <w:rFonts w:ascii="Arial" w:hAnsi="Arial"/>
                <w:sz w:val="20"/>
              </w:rPr>
              <w:t>6</w:t>
            </w:r>
          </w:p>
        </w:tc>
        <w:tc>
          <w:tcPr>
            <w:tcW w:type="dxa" w:w="2340"/>
            <w:shd w:fill="F0F2F5" w:color="auto" w:val="clear"/>
            <w:vAlign w:val="center"/>
          </w:tcPr>
          <w:p>
            <w:r>
              <w:rPr>
                <w:rFonts w:ascii="Arial" w:hAnsi="Arial"/>
                <w:sz w:val="20"/>
              </w:rPr>
              <w:t>$73,440</w:t>
            </w:r>
          </w:p>
        </w:tc>
      </w:tr>
      <w:tr>
        <w:tc>
          <w:tcPr>
            <w:tcW w:type="dxa" w:w="2340"/>
            <w:vAlign w:val="center"/>
          </w:tcPr>
          <w:p>
            <w:r>
              <w:rPr>
                <w:rFonts w:ascii="Arial" w:hAnsi="Arial"/>
                <w:sz w:val="20"/>
              </w:rPr>
              <w:t>Phase 2: Development (16 weeks)</w:t>
            </w:r>
          </w:p>
        </w:tc>
        <w:tc>
          <w:tcPr>
            <w:tcW w:type="dxa" w:w="2340"/>
            <w:vAlign w:val="center"/>
          </w:tcPr>
          <w:p>
            <w:r>
              <w:rPr>
                <w:rFonts w:ascii="Arial" w:hAnsi="Arial"/>
                <w:sz w:val="20"/>
              </w:rPr>
              <w:t>16 weeks</w:t>
            </w:r>
          </w:p>
        </w:tc>
        <w:tc>
          <w:tcPr>
            <w:tcW w:type="dxa" w:w="2340"/>
            <w:vAlign w:val="center"/>
          </w:tcPr>
          <w:p>
            <w:r>
              <w:rPr>
                <w:rFonts w:ascii="Arial" w:hAnsi="Arial"/>
                <w:sz w:val="20"/>
              </w:rPr>
              <w:t>10</w:t>
            </w:r>
          </w:p>
        </w:tc>
        <w:tc>
          <w:tcPr>
            <w:tcW w:type="dxa" w:w="2340"/>
            <w:vAlign w:val="center"/>
          </w:tcPr>
          <w:p>
            <w:r>
              <w:rPr>
                <w:rFonts w:ascii="Arial" w:hAnsi="Arial"/>
                <w:sz w:val="20"/>
              </w:rPr>
              <w:t>$234,400</w:t>
            </w:r>
          </w:p>
        </w:tc>
      </w:tr>
      <w:tr>
        <w:tc>
          <w:tcPr>
            <w:tcW w:type="dxa" w:w="2340"/>
            <w:shd w:fill="F0F2F5" w:color="auto" w:val="clear"/>
            <w:vAlign w:val="center"/>
          </w:tcPr>
          <w:p>
            <w:r>
              <w:rPr>
                <w:rFonts w:ascii="Arial" w:hAnsi="Arial"/>
                <w:sz w:val="20"/>
              </w:rPr>
              <w:t>Phase 3: Testing and QA (8 weeks)</w:t>
            </w:r>
          </w:p>
        </w:tc>
        <w:tc>
          <w:tcPr>
            <w:tcW w:type="dxa" w:w="2340"/>
            <w:shd w:fill="F0F2F5" w:color="auto" w:val="clear"/>
            <w:vAlign w:val="center"/>
          </w:tcPr>
          <w:p>
            <w:r>
              <w:rPr>
                <w:rFonts w:ascii="Arial" w:hAnsi="Arial"/>
                <w:sz w:val="20"/>
              </w:rPr>
              <w:t>8 weeks</w:t>
            </w:r>
          </w:p>
        </w:tc>
        <w:tc>
          <w:tcPr>
            <w:tcW w:type="dxa" w:w="2340"/>
            <w:shd w:fill="F0F2F5" w:color="auto" w:val="clear"/>
            <w:vAlign w:val="center"/>
          </w:tcPr>
          <w:p>
            <w:r>
              <w:rPr>
                <w:rFonts w:ascii="Arial" w:hAnsi="Arial"/>
                <w:sz w:val="20"/>
              </w:rPr>
              <w:t>6</w:t>
            </w:r>
          </w:p>
        </w:tc>
        <w:tc>
          <w:tcPr>
            <w:tcW w:type="dxa" w:w="2340"/>
            <w:shd w:fill="F0F2F5" w:color="auto" w:val="clear"/>
            <w:vAlign w:val="center"/>
          </w:tcPr>
          <w:p>
            <w:r>
              <w:rPr>
                <w:rFonts w:ascii="Arial" w:hAnsi="Arial"/>
                <w:sz w:val="20"/>
              </w:rPr>
              <w:t>$104,800</w:t>
            </w:r>
          </w:p>
        </w:tc>
      </w:tr>
      <w:tr>
        <w:tc>
          <w:tcPr>
            <w:tcW w:type="dxa" w:w="2340"/>
            <w:vAlign w:val="center"/>
          </w:tcPr>
          <w:p>
            <w:r>
              <w:rPr>
                <w:rFonts w:ascii="Arial" w:hAnsi="Arial"/>
                <w:sz w:val="20"/>
              </w:rPr>
              <w:t>Phase 4: Deployment and Go-Live (4 weeks)</w:t>
            </w:r>
          </w:p>
        </w:tc>
        <w:tc>
          <w:tcPr>
            <w:tcW w:type="dxa" w:w="2340"/>
            <w:vAlign w:val="center"/>
          </w:tcPr>
          <w:p>
            <w:r>
              <w:rPr>
                <w:rFonts w:ascii="Arial" w:hAnsi="Arial"/>
                <w:sz w:val="20"/>
              </w:rPr>
              <w:t>4 weeks</w:t>
            </w:r>
          </w:p>
        </w:tc>
        <w:tc>
          <w:tcPr>
            <w:tcW w:type="dxa" w:w="2340"/>
            <w:vAlign w:val="center"/>
          </w:tcPr>
          <w:p>
            <w:r>
              <w:rPr>
                <w:rFonts w:ascii="Arial" w:hAnsi="Arial"/>
                <w:sz w:val="20"/>
              </w:rPr>
              <w:t>5</w:t>
            </w:r>
          </w:p>
        </w:tc>
        <w:tc>
          <w:tcPr>
            <w:tcW w:type="dxa" w:w="2340"/>
            <w:vAlign w:val="center"/>
          </w:tcPr>
          <w:p>
            <w:r>
              <w:rPr>
                <w:rFonts w:ascii="Arial" w:hAnsi="Arial"/>
                <w:sz w:val="20"/>
              </w:rPr>
              <w:t>$64,000</w:t>
            </w:r>
          </w:p>
        </w:tc>
      </w:tr>
      <w:tr>
        <w:tc>
          <w:tcPr>
            <w:tcW w:type="dxa" w:w="2340"/>
            <w:shd w:fill="F0F2F5" w:color="auto" w:val="clear"/>
            <w:vAlign w:val="center"/>
          </w:tcPr>
          <w:p>
            <w:r>
              <w:rPr>
                <w:rFonts w:ascii="Arial" w:hAnsi="Arial"/>
                <w:sz w:val="20"/>
              </w:rPr>
              <w:t>Phase 5: Post-Go-Live Support (12 weeks)</w:t>
            </w:r>
          </w:p>
        </w:tc>
        <w:tc>
          <w:tcPr>
            <w:tcW w:type="dxa" w:w="2340"/>
            <w:shd w:fill="F0F2F5" w:color="auto" w:val="clear"/>
            <w:vAlign w:val="center"/>
          </w:tcPr>
          <w:p>
            <w:r>
              <w:rPr>
                <w:rFonts w:ascii="Arial" w:hAnsi="Arial"/>
                <w:sz w:val="20"/>
              </w:rPr>
              <w:t>12 weeks</w:t>
            </w:r>
          </w:p>
        </w:tc>
        <w:tc>
          <w:tcPr>
            <w:tcW w:type="dxa" w:w="2340"/>
            <w:shd w:fill="F0F2F5" w:color="auto" w:val="clear"/>
            <w:vAlign w:val="center"/>
          </w:tcPr>
          <w:p>
            <w:r>
              <w:rPr>
                <w:rFonts w:ascii="Arial" w:hAnsi="Arial"/>
                <w:sz w:val="20"/>
              </w:rPr>
              <w:t>4</w:t>
            </w:r>
          </w:p>
        </w:tc>
        <w:tc>
          <w:tcPr>
            <w:tcW w:type="dxa" w:w="2340"/>
            <w:shd w:fill="F0F2F5" w:color="auto" w:val="clear"/>
            <w:vAlign w:val="center"/>
          </w:tcPr>
          <w:p>
            <w:r>
              <w:rPr>
                <w:rFonts w:ascii="Arial" w:hAnsi="Arial"/>
                <w:sz w:val="20"/>
              </w:rPr>
              <w:t>$83,200</w:t>
            </w:r>
          </w:p>
        </w:tc>
      </w:tr>
    </w:tbl>
    <w:p/>
    <w:tbl>
      <w:tblPr>
        <w:tblStyle w:val="TableGrid"/>
        <w:tblW w:type="auto" w:w="0"/>
        <w:tblLayout w:type="autofit"/>
        <w:tblLook w:firstColumn="1" w:firstRow="1" w:lastColumn="0" w:lastRow="0" w:noHBand="0" w:noVBand="1" w:val="04A0"/>
      </w:tblPr>
      <w:tblGrid>
        <w:gridCol w:w="3120"/>
        <w:gridCol w:w="3120"/>
        <w:gridCol w:w="3120"/>
      </w:tblGrid>
      <w:tr>
        <w:tc>
          <w:tcPr>
            <w:tcW w:type="dxa" w:w="3120"/>
            <w:shd w:fill="00205B" w:color="auto" w:val="clear"/>
            <w:vAlign w:val="center"/>
          </w:tcPr>
          <w:p>
            <w:r>
              <w:rPr>
                <w:rFonts w:ascii="Arial" w:hAnsi="Arial"/>
                <w:b/>
                <w:color w:val="FFFFFF"/>
                <w:sz w:val="20"/>
              </w:rPr>
              <w:t>Milestone</w:t>
            </w:r>
          </w:p>
        </w:tc>
        <w:tc>
          <w:tcPr>
            <w:tcW w:type="dxa" w:w="3120"/>
            <w:shd w:fill="00205B" w:color="auto" w:val="clear"/>
            <w:vAlign w:val="center"/>
          </w:tcPr>
          <w:p>
            <w:r>
              <w:rPr>
                <w:rFonts w:ascii="Arial" w:hAnsi="Arial"/>
                <w:b/>
                <w:color w:val="FFFFFF"/>
                <w:sz w:val="20"/>
              </w:rPr>
              <w:t>%</w:t>
            </w:r>
          </w:p>
        </w:tc>
        <w:tc>
          <w:tcPr>
            <w:tcW w:type="dxa" w:w="3120"/>
            <w:shd w:fill="00205B" w:color="auto" w:val="clear"/>
            <w:vAlign w:val="center"/>
          </w:tcPr>
          <w:p>
            <w:r>
              <w:rPr>
                <w:rFonts w:ascii="Arial" w:hAnsi="Arial"/>
                <w:b/>
                <w:color w:val="FFFFFF"/>
                <w:sz w:val="20"/>
              </w:rPr>
              <w:t>Trigger</w:t>
            </w:r>
          </w:p>
        </w:tc>
      </w:tr>
      <w:tr>
        <w:tc>
          <w:tcPr>
            <w:tcW w:type="dxa" w:w="3120"/>
            <w:shd w:fill="F0F2F5" w:color="auto" w:val="clear"/>
            <w:vAlign w:val="center"/>
          </w:tcPr>
          <w:p>
            <w:r>
              <w:rPr>
                <w:rFonts w:ascii="Arial" w:hAnsi="Arial"/>
                <w:sz w:val="20"/>
              </w:rPr>
              <w:t>Solution Design Completion</w:t>
            </w:r>
          </w:p>
        </w:tc>
        <w:tc>
          <w:tcPr>
            <w:tcW w:type="dxa" w:w="3120"/>
            <w:shd w:fill="F0F2F5" w:color="auto" w:val="clear"/>
            <w:vAlign w:val="center"/>
          </w:tcPr>
          <w:p>
            <w:r>
              <w:rPr>
                <w:rFonts w:ascii="Arial" w:hAnsi="Arial"/>
                <w:sz w:val="20"/>
              </w:rPr>
              <w:t>20%</w:t>
            </w:r>
          </w:p>
        </w:tc>
        <w:tc>
          <w:tcPr>
            <w:tcW w:type="dxa" w:w="3120"/>
            <w:shd w:fill="F0F2F5" w:color="auto" w:val="clear"/>
            <w:vAlign w:val="center"/>
          </w:tcPr>
          <w:p>
            <w:r>
              <w:rPr>
                <w:rFonts w:ascii="Arial" w:hAnsi="Arial"/>
                <w:sz w:val="20"/>
              </w:rPr>
              <w:t>Phase 1 completion</w:t>
            </w:r>
          </w:p>
        </w:tc>
      </w:tr>
      <w:tr>
        <w:tc>
          <w:tcPr>
            <w:tcW w:type="dxa" w:w="3120"/>
            <w:vAlign w:val="center"/>
          </w:tcPr>
          <w:p>
            <w:r>
              <w:rPr>
                <w:rFonts w:ascii="Arial" w:hAnsi="Arial"/>
                <w:sz w:val="20"/>
              </w:rPr>
              <w:t>Development Completion</w:t>
            </w:r>
          </w:p>
        </w:tc>
        <w:tc>
          <w:tcPr>
            <w:tcW w:type="dxa" w:w="3120"/>
            <w:vAlign w:val="center"/>
          </w:tcPr>
          <w:p>
            <w:r>
              <w:rPr>
                <w:rFonts w:ascii="Arial" w:hAnsi="Arial"/>
                <w:sz w:val="20"/>
              </w:rPr>
              <w:t>40%</w:t>
            </w:r>
          </w:p>
        </w:tc>
        <w:tc>
          <w:tcPr>
            <w:tcW w:type="dxa" w:w="3120"/>
            <w:vAlign w:val="center"/>
          </w:tcPr>
          <w:p>
            <w:r>
              <w:rPr>
                <w:rFonts w:ascii="Arial" w:hAnsi="Arial"/>
                <w:sz w:val="20"/>
              </w:rPr>
              <w:t>Phase 2 completion</w:t>
            </w:r>
          </w:p>
        </w:tc>
      </w:tr>
      <w:tr>
        <w:tc>
          <w:tcPr>
            <w:tcW w:type="dxa" w:w="3120"/>
            <w:shd w:fill="F0F2F5" w:color="auto" w:val="clear"/>
            <w:vAlign w:val="center"/>
          </w:tcPr>
          <w:p>
            <w:r>
              <w:rPr>
                <w:rFonts w:ascii="Arial" w:hAnsi="Arial"/>
                <w:sz w:val="20"/>
              </w:rPr>
              <w:t>Testing and QA Completion</w:t>
            </w:r>
          </w:p>
        </w:tc>
        <w:tc>
          <w:tcPr>
            <w:tcW w:type="dxa" w:w="3120"/>
            <w:shd w:fill="F0F2F5" w:color="auto" w:val="clear"/>
            <w:vAlign w:val="center"/>
          </w:tcPr>
          <w:p>
            <w:r>
              <w:rPr>
                <w:rFonts w:ascii="Arial" w:hAnsi="Arial"/>
                <w:sz w:val="20"/>
              </w:rPr>
              <w:t>30%</w:t>
            </w:r>
          </w:p>
        </w:tc>
        <w:tc>
          <w:tcPr>
            <w:tcW w:type="dxa" w:w="3120"/>
            <w:shd w:fill="F0F2F5" w:color="auto" w:val="clear"/>
            <w:vAlign w:val="center"/>
          </w:tcPr>
          <w:p>
            <w:r>
              <w:rPr>
                <w:rFonts w:ascii="Arial" w:hAnsi="Arial"/>
                <w:sz w:val="20"/>
              </w:rPr>
              <w:t>Phase 3 completion</w:t>
            </w:r>
          </w:p>
        </w:tc>
      </w:tr>
      <w:tr>
        <w:tc>
          <w:tcPr>
            <w:tcW w:type="dxa" w:w="3120"/>
            <w:vAlign w:val="center"/>
          </w:tcPr>
          <w:p>
            <w:r>
              <w:rPr>
                <w:rFonts w:ascii="Arial" w:hAnsi="Arial"/>
                <w:sz w:val="20"/>
              </w:rPr>
              <w:t>Go-Live</w:t>
            </w:r>
          </w:p>
        </w:tc>
        <w:tc>
          <w:tcPr>
            <w:tcW w:type="dxa" w:w="3120"/>
            <w:vAlign w:val="center"/>
          </w:tcPr>
          <w:p>
            <w:r>
              <w:rPr>
                <w:rFonts w:ascii="Arial" w:hAnsi="Arial"/>
                <w:sz w:val="20"/>
              </w:rPr>
              <w:t>10%</w:t>
            </w:r>
          </w:p>
        </w:tc>
        <w:tc>
          <w:tcPr>
            <w:tcW w:type="dxa" w:w="3120"/>
            <w:vAlign w:val="center"/>
          </w:tcPr>
          <w:p>
            <w:r>
              <w:rPr>
                <w:rFonts w:ascii="Arial" w:hAnsi="Arial"/>
                <w:sz w:val="20"/>
              </w:rPr>
              <w:t>Phase 4 completion</w:t>
            </w:r>
          </w:p>
        </w:tc>
      </w:tr>
    </w:tbl>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96969"/>
        <w:sz w:val="16"/>
      </w:rPr>
      <w:t>Proprietary and Confidential  |  Prepared strictly for HDFC  |  April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96969"/>
        <w:sz w:val="16"/>
      </w:rPr>
      <w:t>TECH MAHINDRA CONSULTING | HIGHLY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2323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