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jc w:val="left"/>
      </w:pPr>
      <w:r>
        <w:drawing>
          <wp:inline xmlns:a="http://schemas.openxmlformats.org/drawingml/2006/main" xmlns:pic="http://schemas.openxmlformats.org/drawingml/2006/picture">
            <wp:extent cx="3200400" cy="3200400"/>
            <wp:docPr id="1" name="Picture 1"/>
            <wp:cNvGraphicFramePr>
              <a:graphicFrameLocks noChangeAspect="1"/>
            </wp:cNvGraphicFramePr>
            <a:graphic>
              <a:graphicData uri="http://schemas.openxmlformats.org/drawingml/2006/picture">
                <pic:pic>
                  <pic:nvPicPr>
                    <pic:cNvPr id="0" name="techm_logo.jpg"/>
                    <pic:cNvPicPr/>
                  </pic:nvPicPr>
                  <pic:blipFill>
                    <a:blip r:embed="rId11"/>
                    <a:stretch>
                      <a:fillRect/>
                    </a:stretch>
                  </pic:blipFill>
                  <pic:spPr>
                    <a:xfrm>
                      <a:off x="0" y="0"/>
                      <a:ext cx="3200400" cy="3200400"/>
                    </a:xfrm>
                    <a:prstGeom prst="rect"/>
                  </pic:spPr>
                </pic:pic>
              </a:graphicData>
            </a:graphic>
          </wp:inline>
        </w:drawing>
      </w:r>
    </w:p>
    <w:p>
      <w:pPr>
        <w:jc w:val="left"/>
      </w:pPr>
      <w:r>
        <w:rPr>
          <w:rFonts w:ascii="Arial" w:hAnsi="Arial"/>
          <w:b/>
          <w:color w:val="00205B"/>
          <w:sz w:val="44"/>
        </w:rPr>
        <w:t>STRATEGIC CONSULTING</w:t>
      </w:r>
    </w:p>
    <w:p>
      <w:r>
        <w:br/>
        <w:br/>
        <w:br/>
      </w:r>
    </w:p>
    <w:p>
      <w:pPr>
        <w:jc w:val="left"/>
      </w:pPr>
      <w:r>
        <w:rPr>
          <w:b/>
          <w:color w:val="00205B"/>
          <w:sz w:val="52"/>
        </w:rPr>
        <w:t>Solution Proposal &amp; Strategic Blueprint</w:t>
      </w:r>
    </w:p>
    <w:p>
      <w:pPr>
        <w:jc w:val="left"/>
      </w:pPr>
      <w:r>
        <w:rPr>
          <w:color w:val="696969"/>
          <w:sz w:val="28"/>
        </w:rPr>
        <w:t>Prepared exclusively for: HDFC BANK</w:t>
      </w:r>
    </w:p>
    <w:p>
      <w:r>
        <w:br/>
        <w:br/>
        <w:br/>
        <w:br/>
        <w:br/>
        <w:br/>
      </w:r>
    </w:p>
    <w:p>
      <w:pPr>
        <w:jc w:val="left"/>
      </w:pPr>
      <w:r>
        <w:rPr>
          <w:b/>
          <w:color w:val="E31837"/>
          <w:sz w:val="24"/>
        </w:rPr>
        <w:t>STRICTLY CONFIDENTIAL</w:t>
      </w:r>
    </w:p>
    <w:p>
      <w:pPr>
        <w:jc w:val="left"/>
      </w:pPr>
      <w:r>
        <w:rPr>
          <w:color w:val="696969"/>
          <w:sz w:val="22"/>
        </w:rPr>
        <w:t>Date: 27 April 2026</w:t>
        <w:br/>
        <w:t>Version: 1.0 (Final Draft)</w:t>
      </w:r>
    </w:p>
    <w:p>
      <w:r>
        <w:br w:type="page"/>
      </w:r>
    </w:p>
    <w:p>
      <w:pPr>
        <w:pStyle w:val="Heading1"/>
        <w:pBdr>
          <w:bottom w:val="single" w:sz="16" w:space="1" w:color="E31837"/>
        </w:pBdr>
      </w:pPr>
      <w:r>
        <w:rPr>
          <w:rFonts w:ascii="Arial" w:hAnsi="Arial"/>
          <w:color w:val="00205B"/>
        </w:rPr>
        <w:t>Tech Mahindra – Solution Proposal for HDFC Bank</w:t>
      </w:r>
    </w:p>
    <w:p>
      <w:pPr>
        <w:pStyle w:val="Heading1"/>
        <w:pBdr>
          <w:bottom w:val="single" w:sz="16" w:space="1" w:color="E31837"/>
        </w:pBdr>
      </w:pPr>
      <w:r>
        <w:rPr>
          <w:rFonts w:ascii="Arial" w:hAnsi="Arial"/>
          <w:color w:val="00205B"/>
        </w:rPr>
        <w:t>1. Executive Summary</w:t>
      </w:r>
    </w:p>
    <w:p>
      <w:pPr>
        <w:pStyle w:val="ListBullet"/>
      </w:pPr>
      <w:r>
        <w:rPr>
          <w:sz w:val="22"/>
        </w:rPr>
        <w:t>HDFC Bank, India's largest private sector bank, seeks to modernize its core banking system (CBS) by leveraging cloud-native technology. Our proposal outlines a comprehensive solution to evaluate and implement a cloud-native core banking platform, ensuring regulatory compliance, high scalability, and uptime. Our team will work closely with HDFC Bank to establish a long-term strategic technology partnership, driving digital transformation and business growth.</w:t>
      </w:r>
    </w:p>
    <w:p>
      <w:pPr>
        <w:pStyle w:val="ListBullet"/>
      </w:pPr>
      <w:r>
        <w:rPr>
          <w:sz w:val="22"/>
        </w:rPr>
        <w:t>Our proposed solution will deliver key benefits, including improved scalability to handle 10M+ daily transactions, enhanced digital channel capabilities, and achieved 99.999% system uptime SLA. We will also ensure RBI regulatory compliance post-upgrade, providing a secure and reliable platform for HDFC Bank's customers.</w:t>
      </w:r>
    </w:p>
    <w:p>
      <w:pPr>
        <w:pStyle w:val="ListBullet"/>
      </w:pPr>
      <w:r>
        <w:rPr>
          <w:sz w:val="22"/>
        </w:rPr>
        <w:t>Our team of experts, comprising Solution Architects, Cloud Engineers, Core Banking Specialists, Integration Specialists, Data Engineers, Analytics Specialists, Security Specialists, Project Managers, QA Engineers, and DevOps Engineers, will work in collaboration to deliver this project. We are confident that our solution will meet HDFC Bank's requirements and provide a strong foundation for future growth.</w:t>
      </w:r>
    </w:p>
    <w:p>
      <w:pPr>
        <w:pStyle w:val="Heading1"/>
        <w:pBdr>
          <w:bottom w:val="single" w:sz="16" w:space="1" w:color="E31837"/>
        </w:pBdr>
      </w:pPr>
      <w:r>
        <w:rPr>
          <w:rFonts w:ascii="Arial" w:hAnsi="Arial"/>
          <w:color w:val="00205B"/>
        </w:rPr>
        <w:t>2. Understanding Your Challenge</w:t>
      </w:r>
    </w:p>
    <w:p>
      <w:pPr>
        <w:pStyle w:val="ListBullet"/>
      </w:pPr>
      <w:r>
        <w:rPr>
          <w:sz w:val="22"/>
        </w:rPr>
        <w:t>HDFC Bank faces significant challenges in its current core banking system, including scalability issues, regulatory compliance concerns, and the need for digital transformation. The bank's existing system is unable to handle the increasing volume of transactions, leading to downtime and lost revenue. Furthermore, the system's lack of regulatory compliance poses a significant risk to HDFC Bank's reputation and business operations.</w:t>
      </w:r>
    </w:p>
    <w:p>
      <w:pPr>
        <w:pStyle w:val="ListBullet"/>
      </w:pPr>
      <w:r>
        <w:rPr>
          <w:sz w:val="22"/>
        </w:rPr>
        <w:t>To address these challenges, HDFC Bank requires a modernized core banking system that can handle high volumes of transactions, ensure regulatory compliance, and provide a secure and reliable platform for customers. Our proposed solution will address these challenges by evaluating and implementing a cloud-native core banking platform, establishing a long-term strategic technology partnership with HDFC Bank.</w:t>
      </w:r>
    </w:p>
    <w:p>
      <w:pPr>
        <w:pStyle w:val="Heading1"/>
        <w:pBdr>
          <w:bottom w:val="single" w:sz="16" w:space="1" w:color="E31837"/>
        </w:pBdr>
      </w:pPr>
      <w:r>
        <w:rPr>
          <w:rFonts w:ascii="Arial" w:hAnsi="Arial"/>
          <w:color w:val="00205B"/>
        </w:rPr>
        <w:t>3. Our Proposed Solution</w:t>
      </w:r>
    </w:p>
    <w:p>
      <w:pPr>
        <w:pStyle w:val="ListBullet"/>
      </w:pPr>
      <w:r>
        <w:rPr>
          <w:sz w:val="22"/>
        </w:rPr>
        <w:t>Our proposed solution will evaluate and implement a cloud-native core banking platform, ensuring regulatory compliance, high scalability, and uptime. The solution will comprise the following components:</w:t>
      </w:r>
    </w:p>
    <w:p>
      <w:pPr>
        <w:pStyle w:val="ListBullet"/>
      </w:pPr>
      <w:r>
        <w:rPr>
          <w:sz w:val="22"/>
        </w:rPr>
        <w:t>Cloud-Native Core Banking Platform: Our solution will evaluate and implement a cloud-native core banking platform that can handle high volumes of transactions, ensure regulatory compliance, and provide a secure and reliable platform for customers.</w:t>
      </w:r>
    </w:p>
    <w:p>
      <w:pPr>
        <w:pStyle w:val="ListBullet"/>
      </w:pPr>
      <w:r>
        <w:rPr>
          <w:sz w:val="22"/>
        </w:rPr>
        <w:t>Regulatory Compliance: Our solution will ensure RBI regulatory compliance post-upgrade, providing a secure and reliable platform for HDFC Bank's customers.</w:t>
      </w:r>
    </w:p>
    <w:p>
      <w:pPr>
        <w:pStyle w:val="ListBullet"/>
      </w:pPr>
      <w:r>
        <w:rPr>
          <w:sz w:val="22"/>
        </w:rPr>
        <w:t>Digital Channel Capabilities: Our solution will enhance digital channel capabilities, enabling HDFC Bank to provide a seamless customer experience across multiple channels.</w:t>
      </w:r>
    </w:p>
    <w:p>
      <w:pPr>
        <w:pStyle w:val="ListBullet"/>
      </w:pPr>
      <w:r>
        <w:rPr>
          <w:sz w:val="22"/>
        </w:rPr>
        <w:t>Scalability: Our solution will improve scalability to handle 10M+ daily transactions during peak loads, ensuring that HDFC Bank's customers can access their accounts and conduct transactions without interruption.</w:t>
      </w:r>
    </w:p>
    <w:p>
      <w:pPr>
        <w:pStyle w:val="ListBullet"/>
      </w:pPr>
      <w:r>
        <w:rPr>
          <w:sz w:val="22"/>
        </w:rPr>
        <w:t>Uptime: Our solution will achieve 99.999% system uptime SLA, ensuring that HDFC Bank's customers can access their accounts and conduct transactions without interruption.</w:t>
      </w:r>
    </w:p>
    <w:p>
      <w:pPr>
        <w:pStyle w:val="Heading1"/>
        <w:pBdr>
          <w:bottom w:val="single" w:sz="16" w:space="1" w:color="E31837"/>
        </w:pBdr>
      </w:pPr>
      <w:r>
        <w:rPr>
          <w:rFonts w:ascii="Arial" w:hAnsi="Arial"/>
          <w:color w:val="00205B"/>
        </w:rPr>
        <w:t>4. Solution Architecture</w:t>
      </w:r>
    </w:p>
    <w:p>
      <w:pPr>
        <w:jc w:val="center"/>
      </w:pPr>
      <w:r>
        <w:drawing>
          <wp:inline xmlns:a="http://schemas.openxmlformats.org/drawingml/2006/main" xmlns:pic="http://schemas.openxmlformats.org/drawingml/2006/picture">
            <wp:extent cx="5669280" cy="702637"/>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702637"/>
                    </a:xfrm>
                    <a:prstGeom prst="rect"/>
                  </pic:spPr>
                </pic:pic>
              </a:graphicData>
            </a:graphic>
          </wp:inline>
        </w:drawing>
      </w:r>
    </w:p>
    <w:p>
      <w:pPr>
        <w:jc w:val="center"/>
      </w:pPr>
      <w:r>
        <w:rPr>
          <w:i/>
          <w:color w:val="696969"/>
          <w:sz w:val="18"/>
        </w:rPr>
        <w:t>Exhibit: High-Level Solution Architecture</w:t>
      </w:r>
    </w:p>
    <w:p>
      <w:pPr>
        <w:pStyle w:val="Heading1"/>
        <w:pBdr>
          <w:bottom w:val="single" w:sz="16" w:space="1" w:color="E31837"/>
        </w:pBdr>
      </w:pPr>
      <w:r>
        <w:rPr>
          <w:rFonts w:ascii="Arial" w:hAnsi="Arial"/>
          <w:color w:val="00205B"/>
        </w:rPr>
        <w:t>5. Team Structure &amp; Operating Model</w:t>
      </w:r>
    </w:p>
    <w:p>
      <w:pPr>
        <w:pStyle w:val="ListBullet"/>
      </w:pPr>
      <w:r>
        <w:rPr>
          <w:sz w:val="22"/>
        </w:rPr>
        <w:t>Our team will comprise the following members:</w:t>
      </w:r>
    </w:p>
    <w:p>
      <w:pPr>
        <w:pStyle w:val="ListBullet"/>
      </w:pPr>
      <w:r>
        <w:rPr>
          <w:sz w:val="22"/>
        </w:rPr>
        <w:t>Solution Architect: 2 members, onshore</w:t>
      </w:r>
    </w:p>
    <w:p>
      <w:pPr>
        <w:pStyle w:val="ListBullet"/>
      </w:pPr>
      <w:r>
        <w:rPr>
          <w:sz w:val="22"/>
        </w:rPr>
        <w:t>Cloud Engineer: 4 members, offshore</w:t>
      </w:r>
    </w:p>
    <w:p>
      <w:pPr>
        <w:pStyle w:val="ListBullet"/>
      </w:pPr>
      <w:r>
        <w:rPr>
          <w:sz w:val="22"/>
        </w:rPr>
        <w:t>Core Banking Specialist: 2 members, nearshore</w:t>
      </w:r>
    </w:p>
    <w:p>
      <w:pPr>
        <w:pStyle w:val="ListBullet"/>
      </w:pPr>
      <w:r>
        <w:rPr>
          <w:sz w:val="22"/>
        </w:rPr>
        <w:t>Integration Specialist: 2 members, offshore</w:t>
      </w:r>
    </w:p>
    <w:p>
      <w:pPr>
        <w:pStyle w:val="ListBullet"/>
      </w:pPr>
      <w:r>
        <w:rPr>
          <w:sz w:val="22"/>
        </w:rPr>
        <w:t>Data Engineer: 1 member, onshore</w:t>
      </w:r>
    </w:p>
    <w:p>
      <w:pPr>
        <w:pStyle w:val="ListBullet"/>
      </w:pPr>
      <w:r>
        <w:rPr>
          <w:sz w:val="22"/>
        </w:rPr>
        <w:t>Analytics Specialist: 1 member, offshore</w:t>
      </w:r>
    </w:p>
    <w:p>
      <w:pPr>
        <w:pStyle w:val="ListBullet"/>
      </w:pPr>
      <w:r>
        <w:rPr>
          <w:sz w:val="22"/>
        </w:rPr>
        <w:t>Security Specialist: 1 member, nearshore</w:t>
      </w:r>
    </w:p>
    <w:p>
      <w:pPr>
        <w:pStyle w:val="ListBullet"/>
      </w:pPr>
      <w:r>
        <w:rPr>
          <w:sz w:val="22"/>
        </w:rPr>
        <w:t>Project Manager: 1 member, onshore</w:t>
      </w:r>
    </w:p>
    <w:p>
      <w:pPr>
        <w:pStyle w:val="ListBullet"/>
      </w:pPr>
      <w:r>
        <w:rPr>
          <w:sz w:val="22"/>
        </w:rPr>
        <w:t>QA Engineer: 2 members, offshore</w:t>
      </w:r>
    </w:p>
    <w:p>
      <w:pPr>
        <w:pStyle w:val="ListBullet"/>
      </w:pPr>
      <w:r>
        <w:rPr>
          <w:sz w:val="22"/>
        </w:rPr>
        <w:t>DevOps Engineer: 1 member, nearshore</w:t>
      </w:r>
    </w:p>
    <w:p>
      <w:pPr>
        <w:pStyle w:val="ListBullet"/>
      </w:pPr>
      <w:r>
        <w:rPr>
          <w:sz w:val="22"/>
        </w:rPr>
        <w:t>Our team will work in collaboration to deliver this project, with regular meetings and progress updates to ensure that the project is on track and meeting HDFC Bank's requirements.</w:t>
      </w:r>
    </w:p>
    <w:p>
      <w:pPr>
        <w:pStyle w:val="Heading1"/>
        <w:pBdr>
          <w:bottom w:val="single" w:sz="16" w:space="1" w:color="E31837"/>
        </w:pBdr>
      </w:pPr>
      <w:r>
        <w:rPr>
          <w:rFonts w:ascii="Arial" w:hAnsi="Arial"/>
          <w:color w:val="00205B"/>
        </w:rPr>
        <w:t>6. Delivery Roadmap</w:t>
      </w:r>
    </w:p>
    <w:p>
      <w:pPr>
        <w:pStyle w:val="ListBullet"/>
      </w:pPr>
      <w:r>
        <w:rPr>
          <w:sz w:val="22"/>
        </w:rPr>
        <w:t>Our delivery roadmap will comprise the following phases:</w:t>
      </w:r>
    </w:p>
    <w:p>
      <w:pPr>
        <w:pStyle w:val="ListBullet"/>
      </w:pPr>
      <w:r>
        <w:rPr>
          <w:sz w:val="22"/>
        </w:rPr>
        <w:t>Phase 1: Requirements Gathering and Solution Design (Weeks 1-4)</w:t>
      </w:r>
    </w:p>
    <w:p>
      <w:pPr>
        <w:pStyle w:val="ListBullet"/>
      </w:pPr>
      <w:r>
        <w:rPr>
          <w:sz w:val="22"/>
        </w:rPr>
        <w:t>Phase 2: Solution Implementation (Weeks 5-12)</w:t>
      </w:r>
    </w:p>
    <w:p>
      <w:pPr>
        <w:pStyle w:val="ListBullet"/>
      </w:pPr>
      <w:r>
        <w:rPr>
          <w:sz w:val="22"/>
        </w:rPr>
        <w:t>Phase 3: Testing and Quality Assurance (Weeks 13-16)</w:t>
      </w:r>
    </w:p>
    <w:p>
      <w:pPr>
        <w:pStyle w:val="ListBullet"/>
      </w:pPr>
      <w:r>
        <w:rPr>
          <w:sz w:val="22"/>
        </w:rPr>
        <w:t>Phase 4: Deployment and Go-Live (Weeks 17-20)</w:t>
      </w:r>
    </w:p>
    <w:p>
      <w:pPr>
        <w:pStyle w:val="ListBullet"/>
      </w:pPr>
      <w:r>
        <w:rPr>
          <w:sz w:val="22"/>
        </w:rPr>
        <w:t>Phase 5: Post-Implementation Support and Maintenance (Weeks 21-52)</w:t>
      </w:r>
    </w:p>
    <w:p>
      <w:pPr>
        <w:pStyle w:val="Heading1"/>
        <w:pBdr>
          <w:bottom w:val="single" w:sz="16" w:space="1" w:color="E31837"/>
        </w:pBdr>
      </w:pPr>
      <w:r>
        <w:rPr>
          <w:rFonts w:ascii="Arial" w:hAnsi="Arial"/>
          <w:color w:val="00205B"/>
        </w:rPr>
        <w:t>7. Commercial Summary</w:t>
      </w:r>
    </w:p>
    <w:p>
      <w:pPr>
        <w:pStyle w:val="ListBullet"/>
      </w:pPr>
      <w:r>
        <w:rPr>
          <w:sz w:val="22"/>
        </w:rPr>
        <w:t>Our commercial model will comprise the following components:</w:t>
      </w:r>
    </w:p>
    <w:p>
      <w:pPr>
        <w:pStyle w:val="ListBullet"/>
      </w:pPr>
      <w:r>
        <w:rPr>
          <w:sz w:val="22"/>
        </w:rPr>
        <w:t>Total Monthly Cost: $82,120</w:t>
      </w:r>
    </w:p>
    <w:p>
      <w:pPr>
        <w:pStyle w:val="ListBullet"/>
      </w:pPr>
      <w:r>
        <w:rPr>
          <w:sz w:val="22"/>
        </w:rPr>
        <w:t>Total Contract Value: $2,400,000 (24 months)</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shd w:fill="00205B" w:color="auto" w:val="clear"/>
            <w:vAlign w:val="center"/>
          </w:tcPr>
          <w:p>
            <w:r>
              <w:rPr>
                <w:rFonts w:ascii="Arial" w:hAnsi="Arial"/>
                <w:b/>
                <w:color w:val="FFFFFF"/>
                <w:sz w:val="20"/>
              </w:rPr>
              <w:t>Role</w:t>
            </w:r>
          </w:p>
        </w:tc>
        <w:tc>
          <w:tcPr>
            <w:tcW w:type="dxa" w:w="1560"/>
            <w:shd w:fill="00205B" w:color="auto" w:val="clear"/>
            <w:vAlign w:val="center"/>
          </w:tcPr>
          <w:p>
            <w:r>
              <w:rPr>
                <w:rFonts w:ascii="Arial" w:hAnsi="Arial"/>
                <w:b/>
                <w:color w:val="FFFFFF"/>
                <w:sz w:val="20"/>
              </w:rPr>
              <w:t>Count</w:t>
            </w:r>
          </w:p>
        </w:tc>
        <w:tc>
          <w:tcPr>
            <w:tcW w:type="dxa" w:w="1560"/>
            <w:shd w:fill="00205B" w:color="auto" w:val="clear"/>
            <w:vAlign w:val="center"/>
          </w:tcPr>
          <w:p>
            <w:r>
              <w:rPr>
                <w:rFonts w:ascii="Arial" w:hAnsi="Arial"/>
                <w:b/>
                <w:color w:val="FFFFFF"/>
                <w:sz w:val="20"/>
              </w:rPr>
              <w:t>Location</w:t>
            </w:r>
          </w:p>
        </w:tc>
        <w:tc>
          <w:tcPr>
            <w:tcW w:type="dxa" w:w="1560"/>
            <w:shd w:fill="00205B" w:color="auto" w:val="clear"/>
            <w:vAlign w:val="center"/>
          </w:tcPr>
          <w:p>
            <w:r>
              <w:rPr>
                <w:rFonts w:ascii="Arial" w:hAnsi="Arial"/>
                <w:b/>
                <w:color w:val="FFFFFF"/>
                <w:sz w:val="20"/>
              </w:rPr>
              <w:t>Hrs/Month</w:t>
            </w:r>
          </w:p>
        </w:tc>
        <w:tc>
          <w:tcPr>
            <w:tcW w:type="dxa" w:w="1560"/>
            <w:shd w:fill="00205B" w:color="auto" w:val="clear"/>
            <w:vAlign w:val="center"/>
          </w:tcPr>
          <w:p>
            <w:r>
              <w:rPr>
                <w:rFonts w:ascii="Arial" w:hAnsi="Arial"/>
                <w:b/>
                <w:color w:val="FFFFFF"/>
                <w:sz w:val="20"/>
              </w:rPr>
              <w:t>Rate/hr</w:t>
            </w:r>
          </w:p>
        </w:tc>
        <w:tc>
          <w:tcPr>
            <w:tcW w:type="dxa" w:w="1560"/>
            <w:shd w:fill="00205B" w:color="auto" w:val="clear"/>
            <w:vAlign w:val="center"/>
          </w:tcPr>
          <w:p>
            <w:r>
              <w:rPr>
                <w:rFonts w:ascii="Arial" w:hAnsi="Arial"/>
                <w:b/>
                <w:color w:val="FFFFFF"/>
                <w:sz w:val="20"/>
              </w:rPr>
              <w:t>Monthly Cost</w:t>
            </w:r>
          </w:p>
        </w:tc>
      </w:tr>
      <w:tr>
        <w:tc>
          <w:tcPr>
            <w:tcW w:type="dxa" w:w="1560"/>
            <w:shd w:fill="F0F2F5" w:color="auto" w:val="clear"/>
            <w:vAlign w:val="center"/>
          </w:tcPr>
          <w:p>
            <w:r>
              <w:rPr>
                <w:rFonts w:ascii="Arial" w:hAnsi="Arial"/>
                <w:sz w:val="20"/>
              </w:rPr>
              <w:t>Solution Architect</w:t>
            </w:r>
          </w:p>
        </w:tc>
        <w:tc>
          <w:tcPr>
            <w:tcW w:type="dxa" w:w="1560"/>
            <w:shd w:fill="F0F2F5" w:color="auto" w:val="clear"/>
            <w:vAlign w:val="center"/>
          </w:tcPr>
          <w:p>
            <w:r>
              <w:rPr>
                <w:rFonts w:ascii="Arial" w:hAnsi="Arial"/>
                <w:sz w:val="20"/>
              </w:rPr>
              <w:t>2</w:t>
            </w:r>
          </w:p>
        </w:tc>
        <w:tc>
          <w:tcPr>
            <w:tcW w:type="dxa" w:w="1560"/>
            <w:shd w:fill="F0F2F5" w:color="auto" w:val="clear"/>
            <w:vAlign w:val="center"/>
          </w:tcPr>
          <w:p>
            <w:r>
              <w:rPr>
                <w:rFonts w:ascii="Arial" w:hAnsi="Arial"/>
                <w:sz w:val="20"/>
              </w:rPr>
              <w:t>Onshore</w:t>
            </w:r>
          </w:p>
        </w:tc>
        <w:tc>
          <w:tcPr>
            <w:tcW w:type="dxa" w:w="1560"/>
            <w:shd w:fill="F0F2F5" w:color="auto" w:val="clear"/>
            <w:vAlign w:val="center"/>
          </w:tcPr>
          <w:p>
            <w:r>
              <w:rPr>
                <w:rFonts w:ascii="Arial" w:hAnsi="Arial"/>
                <w:sz w:val="20"/>
              </w:rPr>
              <w:t>160</w:t>
            </w:r>
          </w:p>
        </w:tc>
        <w:tc>
          <w:tcPr>
            <w:tcW w:type="dxa" w:w="1560"/>
            <w:shd w:fill="F0F2F5" w:color="auto" w:val="clear"/>
            <w:vAlign w:val="center"/>
          </w:tcPr>
          <w:p>
            <w:r>
              <w:rPr>
                <w:rFonts w:ascii="Arial" w:hAnsi="Arial"/>
                <w:sz w:val="20"/>
              </w:rPr>
              <w:t>$100</w:t>
            </w:r>
          </w:p>
        </w:tc>
        <w:tc>
          <w:tcPr>
            <w:tcW w:type="dxa" w:w="1560"/>
            <w:shd w:fill="F0F2F5" w:color="auto" w:val="clear"/>
            <w:vAlign w:val="center"/>
          </w:tcPr>
          <w:p>
            <w:r>
              <w:rPr>
                <w:rFonts w:ascii="Arial" w:hAnsi="Arial"/>
                <w:sz w:val="20"/>
              </w:rPr>
              <w:t>$16,000</w:t>
            </w:r>
          </w:p>
        </w:tc>
      </w:tr>
      <w:tr>
        <w:tc>
          <w:tcPr>
            <w:tcW w:type="dxa" w:w="1560"/>
            <w:vAlign w:val="center"/>
          </w:tcPr>
          <w:p>
            <w:r>
              <w:rPr>
                <w:rFonts w:ascii="Arial" w:hAnsi="Arial"/>
                <w:sz w:val="20"/>
              </w:rPr>
              <w:t>Cloud Engineer</w:t>
            </w:r>
          </w:p>
        </w:tc>
        <w:tc>
          <w:tcPr>
            <w:tcW w:type="dxa" w:w="1560"/>
            <w:vAlign w:val="center"/>
          </w:tcPr>
          <w:p>
            <w:r>
              <w:rPr>
                <w:rFonts w:ascii="Arial" w:hAnsi="Arial"/>
                <w:sz w:val="20"/>
              </w:rPr>
              <w:t>4</w:t>
            </w:r>
          </w:p>
        </w:tc>
        <w:tc>
          <w:tcPr>
            <w:tcW w:type="dxa" w:w="1560"/>
            <w:vAlign w:val="center"/>
          </w:tcPr>
          <w:p>
            <w:r>
              <w:rPr>
                <w:rFonts w:ascii="Arial" w:hAnsi="Arial"/>
                <w:sz w:val="20"/>
              </w:rPr>
              <w:t>Offshore</w:t>
            </w:r>
          </w:p>
        </w:tc>
        <w:tc>
          <w:tcPr>
            <w:tcW w:type="dxa" w:w="1560"/>
            <w:vAlign w:val="center"/>
          </w:tcPr>
          <w:p>
            <w:r>
              <w:rPr>
                <w:rFonts w:ascii="Arial" w:hAnsi="Arial"/>
                <w:sz w:val="20"/>
              </w:rPr>
              <w:t>240</w:t>
            </w:r>
          </w:p>
        </w:tc>
        <w:tc>
          <w:tcPr>
            <w:tcW w:type="dxa" w:w="1560"/>
            <w:vAlign w:val="center"/>
          </w:tcPr>
          <w:p>
            <w:r>
              <w:rPr>
                <w:rFonts w:ascii="Arial" w:hAnsi="Arial"/>
                <w:sz w:val="20"/>
              </w:rPr>
              <w:t>$30</w:t>
            </w:r>
          </w:p>
        </w:tc>
        <w:tc>
          <w:tcPr>
            <w:tcW w:type="dxa" w:w="1560"/>
            <w:vAlign w:val="center"/>
          </w:tcPr>
          <w:p>
            <w:r>
              <w:rPr>
                <w:rFonts w:ascii="Arial" w:hAnsi="Arial"/>
                <w:sz w:val="20"/>
              </w:rPr>
              <w:t>$7,200</w:t>
            </w:r>
          </w:p>
        </w:tc>
      </w:tr>
      <w:tr>
        <w:tc>
          <w:tcPr>
            <w:tcW w:type="dxa" w:w="1560"/>
            <w:shd w:fill="F0F2F5" w:color="auto" w:val="clear"/>
            <w:vAlign w:val="center"/>
          </w:tcPr>
          <w:p>
            <w:r>
              <w:rPr>
                <w:rFonts w:ascii="Arial" w:hAnsi="Arial"/>
                <w:sz w:val="20"/>
              </w:rPr>
              <w:t>Core Banking Specialist</w:t>
            </w:r>
          </w:p>
        </w:tc>
        <w:tc>
          <w:tcPr>
            <w:tcW w:type="dxa" w:w="1560"/>
            <w:shd w:fill="F0F2F5" w:color="auto" w:val="clear"/>
            <w:vAlign w:val="center"/>
          </w:tcPr>
          <w:p>
            <w:r>
              <w:rPr>
                <w:rFonts w:ascii="Arial" w:hAnsi="Arial"/>
                <w:sz w:val="20"/>
              </w:rPr>
              <w:t>2</w:t>
            </w:r>
          </w:p>
        </w:tc>
        <w:tc>
          <w:tcPr>
            <w:tcW w:type="dxa" w:w="1560"/>
            <w:shd w:fill="F0F2F5" w:color="auto" w:val="clear"/>
            <w:vAlign w:val="center"/>
          </w:tcPr>
          <w:p>
            <w:r>
              <w:rPr>
                <w:rFonts w:ascii="Arial" w:hAnsi="Arial"/>
                <w:sz w:val="20"/>
              </w:rPr>
              <w:t>Nearshore</w:t>
            </w:r>
          </w:p>
        </w:tc>
        <w:tc>
          <w:tcPr>
            <w:tcW w:type="dxa" w:w="1560"/>
            <w:shd w:fill="F0F2F5" w:color="auto" w:val="clear"/>
            <w:vAlign w:val="center"/>
          </w:tcPr>
          <w:p>
            <w:r>
              <w:rPr>
                <w:rFonts w:ascii="Arial" w:hAnsi="Arial"/>
                <w:sz w:val="20"/>
              </w:rPr>
              <w:t>160</w:t>
            </w:r>
          </w:p>
        </w:tc>
        <w:tc>
          <w:tcPr>
            <w:tcW w:type="dxa" w:w="1560"/>
            <w:shd w:fill="F0F2F5" w:color="auto" w:val="clear"/>
            <w:vAlign w:val="center"/>
          </w:tcPr>
          <w:p>
            <w:r>
              <w:rPr>
                <w:rFonts w:ascii="Arial" w:hAnsi="Arial"/>
                <w:sz w:val="20"/>
              </w:rPr>
              <w:t>$55</w:t>
            </w:r>
          </w:p>
        </w:tc>
        <w:tc>
          <w:tcPr>
            <w:tcW w:type="dxa" w:w="1560"/>
            <w:shd w:fill="F0F2F5" w:color="auto" w:val="clear"/>
            <w:vAlign w:val="center"/>
          </w:tcPr>
          <w:p>
            <w:r>
              <w:rPr>
                <w:rFonts w:ascii="Arial" w:hAnsi="Arial"/>
                <w:sz w:val="20"/>
              </w:rPr>
              <w:t>$8,800</w:t>
            </w:r>
          </w:p>
        </w:tc>
      </w:tr>
      <w:tr>
        <w:tc>
          <w:tcPr>
            <w:tcW w:type="dxa" w:w="1560"/>
            <w:vAlign w:val="center"/>
          </w:tcPr>
          <w:p>
            <w:r>
              <w:rPr>
                <w:rFonts w:ascii="Arial" w:hAnsi="Arial"/>
                <w:sz w:val="20"/>
              </w:rPr>
              <w:t>Integration Specialist</w:t>
            </w:r>
          </w:p>
        </w:tc>
        <w:tc>
          <w:tcPr>
            <w:tcW w:type="dxa" w:w="1560"/>
            <w:vAlign w:val="center"/>
          </w:tcPr>
          <w:p>
            <w:r>
              <w:rPr>
                <w:rFonts w:ascii="Arial" w:hAnsi="Arial"/>
                <w:sz w:val="20"/>
              </w:rPr>
              <w:t>2</w:t>
            </w:r>
          </w:p>
        </w:tc>
        <w:tc>
          <w:tcPr>
            <w:tcW w:type="dxa" w:w="1560"/>
            <w:vAlign w:val="center"/>
          </w:tcPr>
          <w:p>
            <w:r>
              <w:rPr>
                <w:rFonts w:ascii="Arial" w:hAnsi="Arial"/>
                <w:sz w:val="20"/>
              </w:rPr>
              <w:t>Offshore</w:t>
            </w:r>
          </w:p>
        </w:tc>
        <w:tc>
          <w:tcPr>
            <w:tcW w:type="dxa" w:w="1560"/>
            <w:vAlign w:val="center"/>
          </w:tcPr>
          <w:p>
            <w:r>
              <w:rPr>
                <w:rFonts w:ascii="Arial" w:hAnsi="Arial"/>
                <w:sz w:val="20"/>
              </w:rPr>
              <w:t>160</w:t>
            </w:r>
          </w:p>
        </w:tc>
        <w:tc>
          <w:tcPr>
            <w:tcW w:type="dxa" w:w="1560"/>
            <w:vAlign w:val="center"/>
          </w:tcPr>
          <w:p>
            <w:r>
              <w:rPr>
                <w:rFonts w:ascii="Arial" w:hAnsi="Arial"/>
                <w:sz w:val="20"/>
              </w:rPr>
              <w:t>$28</w:t>
            </w:r>
          </w:p>
        </w:tc>
        <w:tc>
          <w:tcPr>
            <w:tcW w:type="dxa" w:w="1560"/>
            <w:vAlign w:val="center"/>
          </w:tcPr>
          <w:p>
            <w:r>
              <w:rPr>
                <w:rFonts w:ascii="Arial" w:hAnsi="Arial"/>
                <w:sz w:val="20"/>
              </w:rPr>
              <w:t>$4,480</w:t>
            </w:r>
          </w:p>
        </w:tc>
      </w:tr>
      <w:tr>
        <w:tc>
          <w:tcPr>
            <w:tcW w:type="dxa" w:w="1560"/>
            <w:shd w:fill="F0F2F5" w:color="auto" w:val="clear"/>
            <w:vAlign w:val="center"/>
          </w:tcPr>
          <w:p>
            <w:r>
              <w:rPr>
                <w:rFonts w:ascii="Arial" w:hAnsi="Arial"/>
                <w:sz w:val="20"/>
              </w:rPr>
              <w:t>Data Engineer</w:t>
            </w:r>
          </w:p>
        </w:tc>
        <w:tc>
          <w:tcPr>
            <w:tcW w:type="dxa" w:w="1560"/>
            <w:shd w:fill="F0F2F5" w:color="auto" w:val="clear"/>
            <w:vAlign w:val="center"/>
          </w:tcPr>
          <w:p>
            <w:r>
              <w:rPr>
                <w:rFonts w:ascii="Arial" w:hAnsi="Arial"/>
                <w:sz w:val="20"/>
              </w:rPr>
              <w:t>1</w:t>
            </w:r>
          </w:p>
        </w:tc>
        <w:tc>
          <w:tcPr>
            <w:tcW w:type="dxa" w:w="1560"/>
            <w:shd w:fill="F0F2F5" w:color="auto" w:val="clear"/>
            <w:vAlign w:val="center"/>
          </w:tcPr>
          <w:p>
            <w:r>
              <w:rPr>
                <w:rFonts w:ascii="Arial" w:hAnsi="Arial"/>
                <w:sz w:val="20"/>
              </w:rPr>
              <w:t>Onshore</w:t>
            </w:r>
          </w:p>
        </w:tc>
        <w:tc>
          <w:tcPr>
            <w:tcW w:type="dxa" w:w="1560"/>
            <w:shd w:fill="F0F2F5" w:color="auto" w:val="clear"/>
            <w:vAlign w:val="center"/>
          </w:tcPr>
          <w:p>
            <w:r>
              <w:rPr>
                <w:rFonts w:ascii="Arial" w:hAnsi="Arial"/>
                <w:sz w:val="20"/>
              </w:rPr>
              <w:t>80</w:t>
            </w:r>
          </w:p>
        </w:tc>
        <w:tc>
          <w:tcPr>
            <w:tcW w:type="dxa" w:w="1560"/>
            <w:shd w:fill="F0F2F5" w:color="auto" w:val="clear"/>
            <w:vAlign w:val="center"/>
          </w:tcPr>
          <w:p>
            <w:r>
              <w:rPr>
                <w:rFonts w:ascii="Arial" w:hAnsi="Arial"/>
                <w:sz w:val="20"/>
              </w:rPr>
              <w:t>$90</w:t>
            </w:r>
          </w:p>
        </w:tc>
        <w:tc>
          <w:tcPr>
            <w:tcW w:type="dxa" w:w="1560"/>
            <w:shd w:fill="F0F2F5" w:color="auto" w:val="clear"/>
            <w:vAlign w:val="center"/>
          </w:tcPr>
          <w:p>
            <w:r>
              <w:rPr>
                <w:rFonts w:ascii="Arial" w:hAnsi="Arial"/>
                <w:sz w:val="20"/>
              </w:rPr>
              <w:t>$7,200</w:t>
            </w:r>
          </w:p>
        </w:tc>
      </w:tr>
      <w:tr>
        <w:tc>
          <w:tcPr>
            <w:tcW w:type="dxa" w:w="1560"/>
            <w:vAlign w:val="center"/>
          </w:tcPr>
          <w:p>
            <w:r>
              <w:rPr>
                <w:rFonts w:ascii="Arial" w:hAnsi="Arial"/>
                <w:sz w:val="20"/>
              </w:rPr>
              <w:t>Analytics Specialist</w:t>
            </w:r>
          </w:p>
        </w:tc>
        <w:tc>
          <w:tcPr>
            <w:tcW w:type="dxa" w:w="1560"/>
            <w:vAlign w:val="center"/>
          </w:tcPr>
          <w:p>
            <w:r>
              <w:rPr>
                <w:rFonts w:ascii="Arial" w:hAnsi="Arial"/>
                <w:sz w:val="20"/>
              </w:rPr>
              <w:t>1</w:t>
            </w:r>
          </w:p>
        </w:tc>
        <w:tc>
          <w:tcPr>
            <w:tcW w:type="dxa" w:w="1560"/>
            <w:vAlign w:val="center"/>
          </w:tcPr>
          <w:p>
            <w:r>
              <w:rPr>
                <w:rFonts w:ascii="Arial" w:hAnsi="Arial"/>
                <w:sz w:val="20"/>
              </w:rPr>
              <w:t>Offshore</w:t>
            </w:r>
          </w:p>
        </w:tc>
        <w:tc>
          <w:tcPr>
            <w:tcW w:type="dxa" w:w="1560"/>
            <w:vAlign w:val="center"/>
          </w:tcPr>
          <w:p>
            <w:r>
              <w:rPr>
                <w:rFonts w:ascii="Arial" w:hAnsi="Arial"/>
                <w:sz w:val="20"/>
              </w:rPr>
              <w:t>80</w:t>
            </w:r>
          </w:p>
        </w:tc>
        <w:tc>
          <w:tcPr>
            <w:tcW w:type="dxa" w:w="1560"/>
            <w:vAlign w:val="center"/>
          </w:tcPr>
          <w:p>
            <w:r>
              <w:rPr>
                <w:rFonts w:ascii="Arial" w:hAnsi="Arial"/>
                <w:sz w:val="20"/>
              </w:rPr>
              <w:t>$32</w:t>
            </w:r>
          </w:p>
        </w:tc>
        <w:tc>
          <w:tcPr>
            <w:tcW w:type="dxa" w:w="1560"/>
            <w:vAlign w:val="center"/>
          </w:tcPr>
          <w:p>
            <w:r>
              <w:rPr>
                <w:rFonts w:ascii="Arial" w:hAnsi="Arial"/>
                <w:sz w:val="20"/>
              </w:rPr>
              <w:t>$2,560</w:t>
            </w:r>
          </w:p>
        </w:tc>
      </w:tr>
      <w:tr>
        <w:tc>
          <w:tcPr>
            <w:tcW w:type="dxa" w:w="1560"/>
            <w:shd w:fill="F0F2F5" w:color="auto" w:val="clear"/>
            <w:vAlign w:val="center"/>
          </w:tcPr>
          <w:p>
            <w:r>
              <w:rPr>
                <w:rFonts w:ascii="Arial" w:hAnsi="Arial"/>
                <w:sz w:val="20"/>
              </w:rPr>
              <w:t>Security Specialist</w:t>
            </w:r>
          </w:p>
        </w:tc>
        <w:tc>
          <w:tcPr>
            <w:tcW w:type="dxa" w:w="1560"/>
            <w:shd w:fill="F0F2F5" w:color="auto" w:val="clear"/>
            <w:vAlign w:val="center"/>
          </w:tcPr>
          <w:p>
            <w:r>
              <w:rPr>
                <w:rFonts w:ascii="Arial" w:hAnsi="Arial"/>
                <w:sz w:val="20"/>
              </w:rPr>
              <w:t>1</w:t>
            </w:r>
          </w:p>
        </w:tc>
        <w:tc>
          <w:tcPr>
            <w:tcW w:type="dxa" w:w="1560"/>
            <w:shd w:fill="F0F2F5" w:color="auto" w:val="clear"/>
            <w:vAlign w:val="center"/>
          </w:tcPr>
          <w:p>
            <w:r>
              <w:rPr>
                <w:rFonts w:ascii="Arial" w:hAnsi="Arial"/>
                <w:sz w:val="20"/>
              </w:rPr>
              <w:t>Nearshore</w:t>
            </w:r>
          </w:p>
        </w:tc>
        <w:tc>
          <w:tcPr>
            <w:tcW w:type="dxa" w:w="1560"/>
            <w:shd w:fill="F0F2F5" w:color="auto" w:val="clear"/>
            <w:vAlign w:val="center"/>
          </w:tcPr>
          <w:p>
            <w:r>
              <w:rPr>
                <w:rFonts w:ascii="Arial" w:hAnsi="Arial"/>
                <w:sz w:val="20"/>
              </w:rPr>
              <w:t>80</w:t>
            </w:r>
          </w:p>
        </w:tc>
        <w:tc>
          <w:tcPr>
            <w:tcW w:type="dxa" w:w="1560"/>
            <w:shd w:fill="F0F2F5" w:color="auto" w:val="clear"/>
            <w:vAlign w:val="center"/>
          </w:tcPr>
          <w:p>
            <w:r>
              <w:rPr>
                <w:rFonts w:ascii="Arial" w:hAnsi="Arial"/>
                <w:sz w:val="20"/>
              </w:rPr>
              <w:t>$60</w:t>
            </w:r>
          </w:p>
        </w:tc>
        <w:tc>
          <w:tcPr>
            <w:tcW w:type="dxa" w:w="1560"/>
            <w:shd w:fill="F0F2F5" w:color="auto" w:val="clear"/>
            <w:vAlign w:val="center"/>
          </w:tcPr>
          <w:p>
            <w:r>
              <w:rPr>
                <w:rFonts w:ascii="Arial" w:hAnsi="Arial"/>
                <w:sz w:val="20"/>
              </w:rPr>
              <w:t>$4,800</w:t>
            </w:r>
          </w:p>
        </w:tc>
      </w:tr>
      <w:tr>
        <w:tc>
          <w:tcPr>
            <w:tcW w:type="dxa" w:w="1560"/>
            <w:vAlign w:val="center"/>
          </w:tcPr>
          <w:p>
            <w:r>
              <w:rPr>
                <w:rFonts w:ascii="Arial" w:hAnsi="Arial"/>
                <w:sz w:val="20"/>
              </w:rPr>
              <w:t>Project Manager</w:t>
            </w:r>
          </w:p>
        </w:tc>
        <w:tc>
          <w:tcPr>
            <w:tcW w:type="dxa" w:w="1560"/>
            <w:vAlign w:val="center"/>
          </w:tcPr>
          <w:p>
            <w:r>
              <w:rPr>
                <w:rFonts w:ascii="Arial" w:hAnsi="Arial"/>
                <w:sz w:val="20"/>
              </w:rPr>
              <w:t>1</w:t>
            </w:r>
          </w:p>
        </w:tc>
        <w:tc>
          <w:tcPr>
            <w:tcW w:type="dxa" w:w="1560"/>
            <w:vAlign w:val="center"/>
          </w:tcPr>
          <w:p>
            <w:r>
              <w:rPr>
                <w:rFonts w:ascii="Arial" w:hAnsi="Arial"/>
                <w:sz w:val="20"/>
              </w:rPr>
              <w:t>Onshore</w:t>
            </w:r>
          </w:p>
        </w:tc>
        <w:tc>
          <w:tcPr>
            <w:tcW w:type="dxa" w:w="1560"/>
            <w:vAlign w:val="center"/>
          </w:tcPr>
          <w:p>
            <w:r>
              <w:rPr>
                <w:rFonts w:ascii="Arial" w:hAnsi="Arial"/>
                <w:sz w:val="20"/>
              </w:rPr>
              <w:t>160</w:t>
            </w:r>
          </w:p>
        </w:tc>
        <w:tc>
          <w:tcPr>
            <w:tcW w:type="dxa" w:w="1560"/>
            <w:vAlign w:val="center"/>
          </w:tcPr>
          <w:p>
            <w:r>
              <w:rPr>
                <w:rFonts w:ascii="Arial" w:hAnsi="Arial"/>
                <w:sz w:val="20"/>
              </w:rPr>
              <w:t>$120</w:t>
            </w:r>
          </w:p>
        </w:tc>
        <w:tc>
          <w:tcPr>
            <w:tcW w:type="dxa" w:w="1560"/>
            <w:vAlign w:val="center"/>
          </w:tcPr>
          <w:p>
            <w:r>
              <w:rPr>
                <w:rFonts w:ascii="Arial" w:hAnsi="Arial"/>
                <w:sz w:val="20"/>
              </w:rPr>
              <w:t>$19,200</w:t>
            </w:r>
          </w:p>
        </w:tc>
      </w:tr>
      <w:tr>
        <w:tc>
          <w:tcPr>
            <w:tcW w:type="dxa" w:w="1560"/>
            <w:shd w:fill="F0F2F5" w:color="auto" w:val="clear"/>
            <w:vAlign w:val="center"/>
          </w:tcPr>
          <w:p>
            <w:r>
              <w:rPr>
                <w:rFonts w:ascii="Arial" w:hAnsi="Arial"/>
                <w:sz w:val="20"/>
              </w:rPr>
              <w:t>QA Engineer</w:t>
            </w:r>
          </w:p>
        </w:tc>
        <w:tc>
          <w:tcPr>
            <w:tcW w:type="dxa" w:w="1560"/>
            <w:shd w:fill="F0F2F5" w:color="auto" w:val="clear"/>
            <w:vAlign w:val="center"/>
          </w:tcPr>
          <w:p>
            <w:r>
              <w:rPr>
                <w:rFonts w:ascii="Arial" w:hAnsi="Arial"/>
                <w:sz w:val="20"/>
              </w:rPr>
              <w:t>2</w:t>
            </w:r>
          </w:p>
        </w:tc>
        <w:tc>
          <w:tcPr>
            <w:tcW w:type="dxa" w:w="1560"/>
            <w:shd w:fill="F0F2F5" w:color="auto" w:val="clear"/>
            <w:vAlign w:val="center"/>
          </w:tcPr>
          <w:p>
            <w:r>
              <w:rPr>
                <w:rFonts w:ascii="Arial" w:hAnsi="Arial"/>
                <w:sz w:val="20"/>
              </w:rPr>
              <w:t>Offshore</w:t>
            </w:r>
          </w:p>
        </w:tc>
        <w:tc>
          <w:tcPr>
            <w:tcW w:type="dxa" w:w="1560"/>
            <w:shd w:fill="F0F2F5" w:color="auto" w:val="clear"/>
            <w:vAlign w:val="center"/>
          </w:tcPr>
          <w:p>
            <w:r>
              <w:rPr>
                <w:rFonts w:ascii="Arial" w:hAnsi="Arial"/>
                <w:sz w:val="20"/>
              </w:rPr>
              <w:t>160</w:t>
            </w:r>
          </w:p>
        </w:tc>
        <w:tc>
          <w:tcPr>
            <w:tcW w:type="dxa" w:w="1560"/>
            <w:shd w:fill="F0F2F5" w:color="auto" w:val="clear"/>
            <w:vAlign w:val="center"/>
          </w:tcPr>
          <w:p>
            <w:r>
              <w:rPr>
                <w:rFonts w:ascii="Arial" w:hAnsi="Arial"/>
                <w:sz w:val="20"/>
              </w:rPr>
              <w:t>$25</w:t>
            </w:r>
          </w:p>
        </w:tc>
        <w:tc>
          <w:tcPr>
            <w:tcW w:type="dxa" w:w="1560"/>
            <w:shd w:fill="F0F2F5" w:color="auto" w:val="clear"/>
            <w:vAlign w:val="center"/>
          </w:tcPr>
          <w:p>
            <w:r>
              <w:rPr>
                <w:rFonts w:ascii="Arial" w:hAnsi="Arial"/>
                <w:sz w:val="20"/>
              </w:rPr>
              <w:t>$4,000</w:t>
            </w:r>
          </w:p>
        </w:tc>
      </w:tr>
      <w:tr>
        <w:tc>
          <w:tcPr>
            <w:tcW w:type="dxa" w:w="1560"/>
            <w:vAlign w:val="center"/>
          </w:tcPr>
          <w:p>
            <w:r>
              <w:rPr>
                <w:rFonts w:ascii="Arial" w:hAnsi="Arial"/>
                <w:sz w:val="20"/>
              </w:rPr>
              <w:t>DevOps Engineer</w:t>
            </w:r>
          </w:p>
        </w:tc>
        <w:tc>
          <w:tcPr>
            <w:tcW w:type="dxa" w:w="1560"/>
            <w:vAlign w:val="center"/>
          </w:tcPr>
          <w:p>
            <w:r>
              <w:rPr>
                <w:rFonts w:ascii="Arial" w:hAnsi="Arial"/>
                <w:sz w:val="20"/>
              </w:rPr>
              <w:t>1</w:t>
            </w:r>
          </w:p>
        </w:tc>
        <w:tc>
          <w:tcPr>
            <w:tcW w:type="dxa" w:w="1560"/>
            <w:vAlign w:val="center"/>
          </w:tcPr>
          <w:p>
            <w:r>
              <w:rPr>
                <w:rFonts w:ascii="Arial" w:hAnsi="Arial"/>
                <w:sz w:val="20"/>
              </w:rPr>
              <w:t>Nearshore</w:t>
            </w:r>
          </w:p>
        </w:tc>
        <w:tc>
          <w:tcPr>
            <w:tcW w:type="dxa" w:w="1560"/>
            <w:vAlign w:val="center"/>
          </w:tcPr>
          <w:p>
            <w:r>
              <w:rPr>
                <w:rFonts w:ascii="Arial" w:hAnsi="Arial"/>
                <w:sz w:val="20"/>
              </w:rPr>
              <w:t>80</w:t>
            </w:r>
          </w:p>
        </w:tc>
        <w:tc>
          <w:tcPr>
            <w:tcW w:type="dxa" w:w="1560"/>
            <w:vAlign w:val="center"/>
          </w:tcPr>
          <w:p>
            <w:r>
              <w:rPr>
                <w:rFonts w:ascii="Arial" w:hAnsi="Arial"/>
                <w:sz w:val="20"/>
              </w:rPr>
              <w:t>$40</w:t>
            </w:r>
          </w:p>
        </w:tc>
        <w:tc>
          <w:tcPr>
            <w:tcW w:type="dxa" w:w="1560"/>
            <w:vAlign w:val="center"/>
          </w:tcPr>
          <w:p>
            <w:r>
              <w:rPr>
                <w:rFonts w:ascii="Arial" w:hAnsi="Arial"/>
                <w:sz w:val="20"/>
              </w:rPr>
              <w:t>$3,200</w:t>
            </w:r>
          </w:p>
        </w:tc>
      </w:tr>
    </w:tbl>
    <w:p/>
    <w:p>
      <w:pPr>
        <w:pStyle w:val="Heading1"/>
        <w:pBdr>
          <w:bottom w:val="single" w:sz="16" w:space="1" w:color="E31837"/>
        </w:pBdr>
      </w:pPr>
      <w:r>
        <w:rPr>
          <w:rFonts w:ascii="Arial" w:hAnsi="Arial"/>
          <w:color w:val="00205B"/>
        </w:rPr>
        <w:t>8. Why Tech Mahindra?</w:t>
      </w:r>
    </w:p>
    <w:p>
      <w:pPr>
        <w:pStyle w:val="ListBullet"/>
      </w:pPr>
      <w:r>
        <w:rPr>
          <w:sz w:val="22"/>
        </w:rPr>
        <w:t>Tech Mahindra is a leading global technology company that provides innovative and business-driven solutions to its clients. Our company has a strong track record of delivering successful projects and has a deep understanding of the financial services industry. We have a team of experts with extensive experience in cloud-native core banking platforms, regulatory compliance, and digital transformation.</w:t>
      </w:r>
    </w:p>
    <w:p>
      <w:pPr>
        <w:pStyle w:val="ListBullet"/>
      </w:pPr>
      <w:r>
        <w:rPr>
          <w:sz w:val="22"/>
        </w:rPr>
        <w:t>Our company has the following differentiators:</w:t>
      </w:r>
    </w:p>
    <w:p>
      <w:pPr>
        <w:pStyle w:val="ListBullet"/>
      </w:pPr>
      <w:r>
        <w:rPr>
          <w:sz w:val="22"/>
        </w:rPr>
        <w:t>Expertise in Cloud-Native Core Banking Platforms: Tech Mahindra has a strong track record of delivering cloud-native core banking platforms to its clients, ensuring high scalability, uptime, and regulatory compliance.</w:t>
      </w:r>
    </w:p>
    <w:p>
      <w:pPr>
        <w:pStyle w:val="ListBullet"/>
      </w:pPr>
      <w:r>
        <w:rPr>
          <w:sz w:val="22"/>
        </w:rPr>
        <w:t>Regulatory Compliance: Our company has a deep understanding of regulatory requirements and ensures that our solutions meet the highest standards of compliance.</w:t>
      </w:r>
    </w:p>
    <w:p>
      <w:pPr>
        <w:pStyle w:val="ListBullet"/>
      </w:pPr>
      <w:r>
        <w:rPr>
          <w:sz w:val="22"/>
        </w:rPr>
        <w:t>Digital Transformation: Tech Mahindra has a strong track record of delivering digital transformation projects to its clients, enabling them to provide a seamless customer experience across multiple channels.</w:t>
      </w:r>
    </w:p>
    <w:p>
      <w:pPr>
        <w:pStyle w:val="Heading1"/>
        <w:pBdr>
          <w:bottom w:val="single" w:sz="16" w:space="1" w:color="E31837"/>
        </w:pBdr>
      </w:pPr>
      <w:r>
        <w:rPr>
          <w:rFonts w:ascii="Arial" w:hAnsi="Arial"/>
          <w:color w:val="00205B"/>
        </w:rPr>
        <w:t>9. Next Steps</w:t>
      </w:r>
    </w:p>
    <w:p>
      <w:pPr>
        <w:pStyle w:val="ListBullet"/>
      </w:pPr>
      <w:r>
        <w:rPr>
          <w:sz w:val="22"/>
        </w:rPr>
        <w:t>We propose the following next steps:</w:t>
      </w:r>
    </w:p>
    <w:p>
      <w:pPr>
        <w:pStyle w:val="ListBullet"/>
      </w:pPr>
      <w:r>
        <w:rPr>
          <w:sz w:val="22"/>
        </w:rPr>
        <w:t>Sign a Non-Disclosure Agreement (NDA): We propose that HDFC Bank signs an NDA to protect the confidentiality of our proposal and discussions.</w:t>
      </w:r>
    </w:p>
    <w:p>
      <w:pPr>
        <w:pStyle w:val="ListBullet"/>
      </w:pPr>
      <w:r>
        <w:rPr>
          <w:sz w:val="22"/>
        </w:rPr>
        <w:t>Conduct a Detailed Requirements Gathering Session: We propose that HDFC Bank conducts a detailed requirements gathering session with our team to ensure that our solution meets its requirements.</w:t>
      </w:r>
    </w:p>
    <w:p>
      <w:pPr>
        <w:pStyle w:val="ListBullet"/>
      </w:pPr>
      <w:r>
        <w:rPr>
          <w:sz w:val="22"/>
        </w:rPr>
        <w:t>Finalize the Contract: We propose that HDFC Bank finalizes the contract with Tech Mahindra, outlining the scope of work, timelines, and commercial terms.</w:t>
      </w:r>
    </w:p>
    <w:p>
      <w:pPr>
        <w:pStyle w:val="ListBullet"/>
      </w:pPr>
      <w:r>
        <w:rPr>
          <w:sz w:val="22"/>
        </w:rPr>
        <w:t>Begin the Project: We propose that HDFC Bank begins the project with our team, ensuring a smooth and successful delivery of the cloud-native core banking platform.</w:t>
      </w:r>
    </w:p>
    <w:p>
      <w:r>
        <w:br w:type="page"/>
      </w:r>
    </w:p>
    <w:p>
      <w:pPr>
        <w:pStyle w:val="Heading1"/>
        <w:pBdr>
          <w:bottom w:val="single" w:sz="16" w:space="1" w:color="E31837"/>
        </w:pBdr>
      </w:pPr>
      <w:r>
        <w:rPr>
          <w:rFonts w:ascii="Arial" w:hAnsi="Arial"/>
          <w:color w:val="696969"/>
        </w:rPr>
        <w:t>Appendix: Detailed Diagnostic Analysis</w:t>
      </w:r>
    </w:p>
    <w:p>
      <w:pPr>
        <w:pStyle w:val="Heading2"/>
      </w:pPr>
      <w:r>
        <w:rPr>
          <w:rFonts w:ascii="Arial" w:hAnsi="Arial"/>
          <w:color w:val="00205B"/>
        </w:rPr>
        <w:t>Requirements Analysis</w:t>
      </w:r>
    </w:p>
    <w:p>
      <w:pPr>
        <w:pStyle w:val="ListBullet"/>
      </w:pPr>
      <w:r>
        <w:rPr>
          <w:sz w:val="20"/>
        </w:rPr>
        <w:t>Client Background</w:t>
      </w:r>
    </w:p>
    <w:p>
      <w:pPr>
        <w:pStyle w:val="ListBullet"/>
      </w:pPr>
      <w:r>
        <w:rPr>
          <w:sz w:val="20"/>
        </w:rPr>
        <w:t>HDFC Bank Overview</w:t>
      </w:r>
    </w:p>
    <w:p>
      <w:pPr>
        <w:pStyle w:val="ListBullet"/>
      </w:pPr>
      <w:r>
        <w:rPr>
          <w:sz w:val="20"/>
        </w:rPr>
        <w:t>HDFC Bank Limited is India's largest private sector bank by assets, headquartered in Mumbai, Maharashtra.</w:t>
      </w:r>
    </w:p>
    <w:p>
      <w:pPr>
        <w:pStyle w:val="ListBullet"/>
      </w:pPr>
      <w:r>
        <w:rPr>
          <w:sz w:val="20"/>
        </w:rPr>
        <w:t>Established in 1994, the bank serves over 88 million customers through 8,700+ branches and 21,000+ ATMs across India.</w:t>
      </w:r>
    </w:p>
    <w:p>
      <w:pPr>
        <w:pStyle w:val="ListBullet"/>
      </w:pPr>
      <w:r>
        <w:rPr>
          <w:sz w:val="20"/>
        </w:rPr>
        <w:t>Balance Sheet size exceeding ₹35 trillion and a market capitalisation of ~₹12 trillion.</w:t>
      </w:r>
    </w:p>
    <w:p>
      <w:pPr>
        <w:pStyle w:val="ListBullet"/>
      </w:pPr>
      <w:r>
        <w:rPr>
          <w:sz w:val="20"/>
        </w:rPr>
        <w:t>Systemically important financial institution regulated by the Reserve Bank of India (RBI).</w:t>
      </w:r>
    </w:p>
    <w:p>
      <w:pPr>
        <w:pStyle w:val="ListBullet"/>
      </w:pPr>
      <w:r>
        <w:rPr>
          <w:sz w:val="20"/>
        </w:rPr>
        <w:t>Key Requirements (functional &amp; non-functional)</w:t>
      </w:r>
    </w:p>
    <w:p>
      <w:pPr>
        <w:pStyle w:val="ListBullet"/>
      </w:pPr>
      <w:r>
        <w:rPr>
          <w:sz w:val="20"/>
        </w:rPr>
        <w:t>Functional Requirements</w:t>
      </w:r>
    </w:p>
    <w:p>
      <w:pPr>
        <w:pStyle w:val="ListBullet"/>
      </w:pPr>
      <w:r>
        <w:rPr>
          <w:sz w:val="20"/>
        </w:rPr>
        <w:t>Solicit qualified technology vendors for CBS modernization.</w:t>
      </w:r>
    </w:p>
    <w:p>
      <w:pPr>
        <w:pStyle w:val="ListBullet"/>
      </w:pPr>
      <w:r>
        <w:rPr>
          <w:sz w:val="20"/>
        </w:rPr>
        <w:t>Evaluate cloud-native core banking platforms.</w:t>
      </w:r>
    </w:p>
    <w:p>
      <w:pPr>
        <w:pStyle w:val="ListBullet"/>
      </w:pPr>
      <w:r>
        <w:rPr>
          <w:sz w:val="20"/>
        </w:rPr>
        <w:t>Establish a long-term strategic technology partnership.</w:t>
      </w:r>
    </w:p>
    <w:p>
      <w:pPr>
        <w:pStyle w:val="ListBullet"/>
      </w:pPr>
      <w:r>
        <w:rPr>
          <w:sz w:val="20"/>
        </w:rPr>
        <w:t>Ensure RBI regulatory compliance post-upgrade.</w:t>
      </w:r>
    </w:p>
    <w:p>
      <w:pPr>
        <w:pStyle w:val="ListBullet"/>
      </w:pPr>
      <w:r>
        <w:rPr>
          <w:sz w:val="20"/>
        </w:rPr>
        <w:t>Achieve 99.999% system uptime SLA.</w:t>
      </w:r>
    </w:p>
    <w:p>
      <w:pPr>
        <w:pStyle w:val="ListBullet"/>
      </w:pPr>
      <w:r>
        <w:rPr>
          <w:sz w:val="20"/>
        </w:rPr>
        <w:t>Non-Functional Requirements</w:t>
      </w:r>
    </w:p>
    <w:p>
      <w:pPr>
        <w:pStyle w:val="ListBullet"/>
      </w:pPr>
      <w:r>
        <w:rPr>
          <w:sz w:val="20"/>
        </w:rPr>
        <w:t>Scalability: handle 10M+ daily transactions during peak loads (festival seasons, IPO days).</w:t>
      </w:r>
    </w:p>
    <w:p>
      <w:pPr>
        <w:pStyle w:val="ListBullet"/>
      </w:pPr>
      <w:r>
        <w:rPr>
          <w:sz w:val="20"/>
        </w:rPr>
        <w:t>Digital Channel Gaps: improve digital channel capabilities.</w:t>
      </w:r>
    </w:p>
    <w:p>
      <w:pPr>
        <w:pStyle w:val="ListBullet"/>
      </w:pPr>
      <w:r>
        <w:rPr>
          <w:sz w:val="20"/>
        </w:rPr>
        <w:t>Scope of Work</w:t>
      </w:r>
    </w:p>
    <w:p>
      <w:pPr>
        <w:pStyle w:val="ListBullet"/>
      </w:pPr>
      <w:r>
        <w:rPr>
          <w:sz w:val="20"/>
        </w:rPr>
        <w:t>The scope of work includes:</w:t>
      </w:r>
    </w:p>
    <w:p>
      <w:pPr>
        <w:pStyle w:val="ListBullet"/>
      </w:pPr>
      <w:r>
        <w:rPr>
          <w:sz w:val="20"/>
        </w:rPr>
        <w:t>Evaluating cloud-native core banking platforms.</w:t>
      </w:r>
    </w:p>
    <w:p>
      <w:pPr>
        <w:pStyle w:val="ListBullet"/>
      </w:pPr>
      <w:r>
        <w:rPr>
          <w:sz w:val="20"/>
        </w:rPr>
        <w:t>Establishing a long-term strategic technology partnership.</w:t>
      </w:r>
    </w:p>
    <w:p>
      <w:pPr>
        <w:pStyle w:val="ListBullet"/>
      </w:pPr>
      <w:r>
        <w:rPr>
          <w:sz w:val="20"/>
        </w:rPr>
        <w:t>Ensuring RBI regulatory compliance post-upgrade.</w:t>
      </w:r>
    </w:p>
    <w:p>
      <w:pPr>
        <w:pStyle w:val="ListBullet"/>
      </w:pPr>
      <w:r>
        <w:rPr>
          <w:sz w:val="20"/>
        </w:rPr>
        <w:t>Achieving 99.999% system uptime SLA.</w:t>
      </w:r>
    </w:p>
    <w:p>
      <w:pPr>
        <w:pStyle w:val="ListBullet"/>
      </w:pPr>
      <w:r>
        <w:rPr>
          <w:sz w:val="20"/>
        </w:rPr>
        <w:t>Improving scalability to handle 10M+ daily transactions during peak loads.</w:t>
      </w:r>
    </w:p>
    <w:p>
      <w:pPr>
        <w:pStyle w:val="ListBullet"/>
      </w:pPr>
      <w:r>
        <w:rPr>
          <w:sz w:val="20"/>
        </w:rPr>
        <w:t>Enhancing digital channel capabilities.</w:t>
      </w:r>
    </w:p>
    <w:p>
      <w:pPr>
        <w:pStyle w:val="ListBullet"/>
      </w:pPr>
      <w:r>
        <w:rPr>
          <w:sz w:val="20"/>
        </w:rPr>
        <w:t>Evaluation Criteria</w:t>
      </w:r>
    </w:p>
    <w:p>
      <w:pPr>
        <w:pStyle w:val="Heading2"/>
      </w:pPr>
      <w:r>
        <w:rPr>
          <w:rFonts w:ascii="Arial" w:hAnsi="Arial"/>
          <w:color w:val="00205B"/>
        </w:rPr>
        <w:t>Architecture Blueprint</w:t>
      </w:r>
    </w:p>
    <w:p>
      <w:pPr>
        <w:pStyle w:val="ListBullet"/>
      </w:pPr>
      <w:r>
        <w:rPr>
          <w:sz w:val="20"/>
        </w:rPr>
        <w:t>Solution Overview</w:t>
      </w:r>
    </w:p>
    <w:p>
      <w:pPr>
        <w:pStyle w:val="ListBullet"/>
      </w:pPr>
      <w:r>
        <w:rPr>
          <w:sz w:val="20"/>
        </w:rPr>
        <w:t>Modernized Cloud-Native Core Banking Platform</w:t>
      </w:r>
    </w:p>
    <w:p>
      <w:pPr>
        <w:pStyle w:val="ListBullet"/>
      </w:pPr>
      <w:r>
        <w:rPr>
          <w:sz w:val="20"/>
        </w:rPr>
        <w:t>HDFC Bank's objective is to modernize its core banking system (CBS) by leveraging cloud-native technology, ensuring regulatory compliance, and achieving high scalability and uptime. Our solution will evaluate and implement a cloud-native core banking platform, establishing a long-term strategic technology partnership with HDFC Bank.</w:t>
      </w:r>
    </w:p>
    <w:p>
      <w:pPr>
        <w:pStyle w:val="ListBullet"/>
      </w:pPr>
      <w:r>
        <w:rPr>
          <w:sz w:val="20"/>
        </w:rPr>
        <w:t>Key Benefits</w:t>
      </w:r>
    </w:p>
    <w:p>
      <w:pPr>
        <w:pStyle w:val="ListBullet"/>
      </w:pPr>
      <w:r>
        <w:rPr>
          <w:sz w:val="20"/>
        </w:rPr>
        <w:t>Improved scalability to handle 10M+ daily transactions during peak loads</w:t>
      </w:r>
    </w:p>
    <w:p>
      <w:pPr>
        <w:pStyle w:val="ListBullet"/>
      </w:pPr>
      <w:r>
        <w:rPr>
          <w:sz w:val="20"/>
        </w:rPr>
        <w:t>Enhanced digital channel capabilities</w:t>
      </w:r>
    </w:p>
    <w:p>
      <w:pPr>
        <w:pStyle w:val="ListBullet"/>
      </w:pPr>
      <w:r>
        <w:rPr>
          <w:sz w:val="20"/>
        </w:rPr>
        <w:t>Achieved 99.999% system uptime SLA</w:t>
      </w:r>
    </w:p>
    <w:p>
      <w:pPr>
        <w:pStyle w:val="ListBullet"/>
      </w:pPr>
      <w:r>
        <w:rPr>
          <w:sz w:val="20"/>
        </w:rPr>
        <w:t>Ensured RBI regulatory compliance post-upgrade</w:t>
      </w:r>
    </w:p>
    <w:p>
      <w:pPr>
        <w:pStyle w:val="ListBullet"/>
      </w:pPr>
      <w:r>
        <w:rPr>
          <w:sz w:val="20"/>
        </w:rPr>
        <w:t>Established a long-term strategic technology partnership</w:t>
      </w:r>
    </w:p>
    <w:p>
      <w:pPr>
        <w:pStyle w:val="ListBullet"/>
      </w:pPr>
      <w:r>
        <w:rPr>
          <w:sz w:val="20"/>
        </w:rPr>
        <w:t>Technology Stack</w:t>
      </w:r>
    </w:p>
    <w:p>
      <w:pPr>
        <w:pStyle w:val="ListBullet"/>
      </w:pPr>
      <w:r>
        <w:rPr>
          <w:sz w:val="20"/>
        </w:rPr>
        <w:t>Cloud-Native Core Banking Platform</w:t>
      </w:r>
    </w:p>
    <w:p>
      <w:pPr>
        <w:pStyle w:val="ListBullet"/>
      </w:pPr>
      <w:r>
        <w:rPr>
          <w:sz w:val="20"/>
        </w:rPr>
        <w:t>Cloud Provider: AWS (Amazon Web Services)</w:t>
      </w:r>
    </w:p>
    <w:p>
      <w:pPr>
        <w:pStyle w:val="ListBullet"/>
      </w:pPr>
      <w:r>
        <w:rPr>
          <w:sz w:val="20"/>
        </w:rPr>
        <w:t>Core Banking Platform: Temenos T24 or similar cloud-native platform</w:t>
      </w:r>
    </w:p>
    <w:p>
      <w:pPr>
        <w:pStyle w:val="ListBullet"/>
      </w:pPr>
      <w:r>
        <w:rPr>
          <w:sz w:val="20"/>
        </w:rPr>
        <w:t>Integration Layer: API Gateway (AWS API Gateway) and Microservices Architecture</w:t>
      </w:r>
    </w:p>
    <w:p>
      <w:pPr>
        <w:pStyle w:val="ListBullet"/>
      </w:pPr>
      <w:r>
        <w:rPr>
          <w:sz w:val="20"/>
        </w:rPr>
        <w:t>Data Storage: Relational Database (RDBMS) and NoSQL Database (e.g., MongoDB)</w:t>
      </w:r>
    </w:p>
    <w:p>
      <w:pPr>
        <w:pStyle w:val="ListBullet"/>
      </w:pPr>
      <w:r>
        <w:rPr>
          <w:sz w:val="20"/>
        </w:rPr>
        <w:t>Analytics &amp; AI: AWS Lake Formation and Amazon SageMaker</w:t>
      </w:r>
    </w:p>
    <w:p>
      <w:pPr>
        <w:pStyle w:val="ListBullet"/>
      </w:pPr>
      <w:r>
        <w:rPr>
          <w:sz w:val="20"/>
        </w:rPr>
        <w:t>Reporting &amp; Dashboards: Tableau or Power BI</w:t>
      </w:r>
    </w:p>
    <w:p>
      <w:pPr>
        <w:pStyle w:val="ListBullet"/>
      </w:pPr>
      <w:r>
        <w:rPr>
          <w:sz w:val="20"/>
        </w:rPr>
        <w:t>Additional Technologies</w:t>
      </w:r>
    </w:p>
    <w:p>
      <w:pPr>
        <w:pStyle w:val="ListBullet"/>
      </w:pPr>
      <w:r>
        <w:rPr>
          <w:sz w:val="20"/>
        </w:rPr>
        <w:t>Identity and Access Management (IAM): AWS IAM</w:t>
      </w:r>
    </w:p>
    <w:p>
      <w:pPr>
        <w:pStyle w:val="ListBullet"/>
      </w:pPr>
      <w:r>
        <w:rPr>
          <w:sz w:val="20"/>
        </w:rPr>
        <w:t>Security, Compliance, and Governance (SCG): AWS Config and AWS CloudTrail</w:t>
      </w:r>
    </w:p>
    <w:p>
      <w:pPr>
        <w:pStyle w:val="ListBullet"/>
      </w:pPr>
      <w:r>
        <w:rPr>
          <w:sz w:val="20"/>
        </w:rPr>
        <w:t>Monitoring and Logging: AWS CloudWatch and AWS CloudTrail</w:t>
      </w:r>
    </w:p>
    <w:p>
      <w:pPr>
        <w:pStyle w:val="ListBullet"/>
      </w:pPr>
      <w:r>
        <w:rPr>
          <w:sz w:val="20"/>
        </w:rPr>
        <w:t>System Architecture</w:t>
      </w:r>
    </w:p>
    <w:p>
      <w:pPr>
        <w:pStyle w:val="ListBullet"/>
      </w:pPr>
      <w:r>
        <w:rPr>
          <w:sz w:val="20"/>
        </w:rPr>
        <w:t>`mermaid</w:t>
      </w:r>
    </w:p>
    <w:p>
      <w:pPr>
        <w:pStyle w:val="ListBullet"/>
      </w:pPr>
      <w:r>
        <w:rPr>
          <w:sz w:val="20"/>
        </w:rPr>
        <w:t>graph LR</w:t>
      </w:r>
    </w:p>
    <w:p>
      <w:pPr>
        <w:pStyle w:val="ListBullet"/>
      </w:pPr>
      <w:r>
        <w:rPr>
          <w:sz w:val="20"/>
        </w:rPr>
        <w:t>A[Client Systems] --&gt; B[Integration Layer]</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00205B" w:color="auto" w:val="clear"/>
            <w:vAlign w:val="center"/>
          </w:tcPr>
          <w:p>
            <w:r>
              <w:rPr>
                <w:rFonts w:ascii="Arial" w:hAnsi="Arial"/>
                <w:b/>
                <w:color w:val="FFFFFF"/>
                <w:sz w:val="20"/>
              </w:rPr>
              <w:t>Role</w:t>
            </w:r>
          </w:p>
        </w:tc>
        <w:tc>
          <w:tcPr>
            <w:tcW w:type="dxa" w:w="3120"/>
            <w:shd w:fill="00205B" w:color="auto" w:val="clear"/>
            <w:vAlign w:val="center"/>
          </w:tcPr>
          <w:p>
            <w:r>
              <w:rPr>
                <w:rFonts w:ascii="Arial" w:hAnsi="Arial"/>
                <w:b/>
                <w:color w:val="FFFFFF"/>
                <w:sz w:val="20"/>
              </w:rPr>
              <w:t>Count</w:t>
            </w:r>
          </w:p>
        </w:tc>
        <w:tc>
          <w:tcPr>
            <w:tcW w:type="dxa" w:w="3120"/>
            <w:shd w:fill="00205B" w:color="auto" w:val="clear"/>
            <w:vAlign w:val="center"/>
          </w:tcPr>
          <w:p>
            <w:r>
              <w:rPr>
                <w:rFonts w:ascii="Arial" w:hAnsi="Arial"/>
                <w:b/>
                <w:color w:val="FFFFFF"/>
                <w:sz w:val="20"/>
              </w:rPr>
              <w:t>Location</w:t>
            </w:r>
          </w:p>
        </w:tc>
      </w:tr>
      <w:tr>
        <w:tc>
          <w:tcPr>
            <w:tcW w:type="dxa" w:w="3120"/>
            <w:shd w:fill="F0F2F5" w:color="auto" w:val="clear"/>
            <w:vAlign w:val="center"/>
          </w:tcPr>
          <w:p>
            <w:r>
              <w:rPr>
                <w:rFonts w:ascii="Arial" w:hAnsi="Arial"/>
                <w:sz w:val="20"/>
              </w:rPr>
              <w:t>Solution Architect</w:t>
            </w:r>
          </w:p>
        </w:tc>
        <w:tc>
          <w:tcPr>
            <w:tcW w:type="dxa" w:w="3120"/>
            <w:shd w:fill="F0F2F5" w:color="auto" w:val="clear"/>
            <w:vAlign w:val="center"/>
          </w:tcPr>
          <w:p>
            <w:r>
              <w:rPr>
                <w:rFonts w:ascii="Arial" w:hAnsi="Arial"/>
                <w:sz w:val="20"/>
              </w:rPr>
              <w:t>2</w:t>
            </w:r>
          </w:p>
        </w:tc>
        <w:tc>
          <w:tcPr>
            <w:tcW w:type="dxa" w:w="3120"/>
            <w:shd w:fill="F0F2F5" w:color="auto" w:val="clear"/>
            <w:vAlign w:val="center"/>
          </w:tcPr>
          <w:p>
            <w:r>
              <w:rPr>
                <w:rFonts w:ascii="Arial" w:hAnsi="Arial"/>
                <w:sz w:val="20"/>
              </w:rPr>
              <w:t>Mumbai, India</w:t>
            </w:r>
          </w:p>
        </w:tc>
      </w:tr>
      <w:tr>
        <w:tc>
          <w:tcPr>
            <w:tcW w:type="dxa" w:w="3120"/>
            <w:vAlign w:val="center"/>
          </w:tcPr>
          <w:p>
            <w:r>
              <w:rPr>
                <w:rFonts w:ascii="Arial" w:hAnsi="Arial"/>
                <w:sz w:val="20"/>
              </w:rPr>
              <w:t>Technical Lead</w:t>
            </w:r>
          </w:p>
        </w:tc>
        <w:tc>
          <w:tcPr>
            <w:tcW w:type="dxa" w:w="3120"/>
            <w:vAlign w:val="center"/>
          </w:tcPr>
          <w:p>
            <w:r>
              <w:rPr>
                <w:rFonts w:ascii="Arial" w:hAnsi="Arial"/>
                <w:sz w:val="20"/>
              </w:rPr>
              <w:t>1</w:t>
            </w:r>
          </w:p>
        </w:tc>
        <w:tc>
          <w:tcPr>
            <w:tcW w:type="dxa" w:w="3120"/>
            <w:vAlign w:val="center"/>
          </w:tcPr>
          <w:p>
            <w:r>
              <w:rPr>
                <w:rFonts w:ascii="Arial" w:hAnsi="Arial"/>
                <w:sz w:val="20"/>
              </w:rPr>
              <w:t>Mumbai, India</w:t>
            </w:r>
          </w:p>
        </w:tc>
      </w:tr>
      <w:tr>
        <w:tc>
          <w:tcPr>
            <w:tcW w:type="dxa" w:w="3120"/>
            <w:shd w:fill="F0F2F5" w:color="auto" w:val="clear"/>
            <w:vAlign w:val="center"/>
          </w:tcPr>
          <w:p>
            <w:r>
              <w:rPr>
                <w:rFonts w:ascii="Arial" w:hAnsi="Arial"/>
                <w:sz w:val="20"/>
              </w:rPr>
              <w:t>Cloud Architect</w:t>
            </w:r>
          </w:p>
        </w:tc>
        <w:tc>
          <w:tcPr>
            <w:tcW w:type="dxa" w:w="3120"/>
            <w:shd w:fill="F0F2F5" w:color="auto" w:val="clear"/>
            <w:vAlign w:val="center"/>
          </w:tcPr>
          <w:p>
            <w:r>
              <w:rPr>
                <w:rFonts w:ascii="Arial" w:hAnsi="Arial"/>
                <w:sz w:val="20"/>
              </w:rPr>
              <w:t>1</w:t>
            </w:r>
          </w:p>
        </w:tc>
        <w:tc>
          <w:tcPr>
            <w:tcW w:type="dxa" w:w="3120"/>
            <w:shd w:fill="F0F2F5" w:color="auto" w:val="clear"/>
            <w:vAlign w:val="center"/>
          </w:tcPr>
          <w:p>
            <w:r>
              <w:rPr>
                <w:rFonts w:ascii="Arial" w:hAnsi="Arial"/>
                <w:sz w:val="20"/>
              </w:rPr>
              <w:t>Mumbai, India</w:t>
            </w:r>
          </w:p>
        </w:tc>
      </w:tr>
      <w:tr>
        <w:tc>
          <w:tcPr>
            <w:tcW w:type="dxa" w:w="3120"/>
            <w:vAlign w:val="center"/>
          </w:tcPr>
          <w:p>
            <w:r>
              <w:rPr>
                <w:rFonts w:ascii="Arial" w:hAnsi="Arial"/>
                <w:sz w:val="20"/>
              </w:rPr>
              <w:t>Core Banking Specialist</w:t>
            </w:r>
          </w:p>
        </w:tc>
        <w:tc>
          <w:tcPr>
            <w:tcW w:type="dxa" w:w="3120"/>
            <w:vAlign w:val="center"/>
          </w:tcPr>
          <w:p>
            <w:r>
              <w:rPr>
                <w:rFonts w:ascii="Arial" w:hAnsi="Arial"/>
                <w:sz w:val="20"/>
              </w:rPr>
              <w:t>2</w:t>
            </w:r>
          </w:p>
        </w:tc>
        <w:tc>
          <w:tcPr>
            <w:tcW w:type="dxa" w:w="3120"/>
            <w:vAlign w:val="center"/>
          </w:tcPr>
          <w:p>
            <w:r>
              <w:rPr>
                <w:rFonts w:ascii="Arial" w:hAnsi="Arial"/>
                <w:sz w:val="20"/>
              </w:rPr>
              <w:t>Mumbai, India</w:t>
            </w:r>
          </w:p>
        </w:tc>
      </w:tr>
      <w:tr>
        <w:tc>
          <w:tcPr>
            <w:tcW w:type="dxa" w:w="3120"/>
            <w:shd w:fill="F0F2F5" w:color="auto" w:val="clear"/>
            <w:vAlign w:val="center"/>
          </w:tcPr>
          <w:p>
            <w:r>
              <w:rPr>
                <w:rFonts w:ascii="Arial" w:hAnsi="Arial"/>
                <w:sz w:val="20"/>
              </w:rPr>
              <w:t>Integration Specialist</w:t>
            </w:r>
          </w:p>
        </w:tc>
        <w:tc>
          <w:tcPr>
            <w:tcW w:type="dxa" w:w="3120"/>
            <w:shd w:fill="F0F2F5" w:color="auto" w:val="clear"/>
            <w:vAlign w:val="center"/>
          </w:tcPr>
          <w:p>
            <w:r>
              <w:rPr>
                <w:rFonts w:ascii="Arial" w:hAnsi="Arial"/>
                <w:sz w:val="20"/>
              </w:rPr>
              <w:t>2</w:t>
            </w:r>
          </w:p>
        </w:tc>
        <w:tc>
          <w:tcPr>
            <w:tcW w:type="dxa" w:w="3120"/>
            <w:shd w:fill="F0F2F5" w:color="auto" w:val="clear"/>
            <w:vAlign w:val="center"/>
          </w:tcPr>
          <w:p>
            <w:r>
              <w:rPr>
                <w:rFonts w:ascii="Arial" w:hAnsi="Arial"/>
                <w:sz w:val="20"/>
              </w:rPr>
              <w:t>Mumbai, India</w:t>
            </w:r>
          </w:p>
        </w:tc>
      </w:tr>
      <w:tr>
        <w:tc>
          <w:tcPr>
            <w:tcW w:type="dxa" w:w="3120"/>
            <w:vAlign w:val="center"/>
          </w:tcPr>
          <w:p>
            <w:r>
              <w:rPr>
                <w:rFonts w:ascii="Arial" w:hAnsi="Arial"/>
                <w:sz w:val="20"/>
              </w:rPr>
              <w:t>Data Scientist</w:t>
            </w:r>
          </w:p>
        </w:tc>
        <w:tc>
          <w:tcPr>
            <w:tcW w:type="dxa" w:w="3120"/>
            <w:vAlign w:val="center"/>
          </w:tcPr>
          <w:p>
            <w:r>
              <w:rPr>
                <w:rFonts w:ascii="Arial" w:hAnsi="Arial"/>
                <w:sz w:val="20"/>
              </w:rPr>
              <w:t>1</w:t>
            </w:r>
          </w:p>
        </w:tc>
        <w:tc>
          <w:tcPr>
            <w:tcW w:type="dxa" w:w="3120"/>
            <w:vAlign w:val="center"/>
          </w:tcPr>
          <w:p>
            <w:r>
              <w:rPr>
                <w:rFonts w:ascii="Arial" w:hAnsi="Arial"/>
                <w:sz w:val="20"/>
              </w:rPr>
              <w:t>Mumbai, India</w:t>
            </w:r>
          </w:p>
        </w:tc>
      </w:tr>
      <w:tr>
        <w:tc>
          <w:tcPr>
            <w:tcW w:type="dxa" w:w="3120"/>
            <w:shd w:fill="F0F2F5" w:color="auto" w:val="clear"/>
            <w:vAlign w:val="center"/>
          </w:tcPr>
          <w:p>
            <w:r>
              <w:rPr>
                <w:rFonts w:ascii="Arial" w:hAnsi="Arial"/>
                <w:sz w:val="20"/>
              </w:rPr>
              <w:t>QA Engineer</w:t>
            </w:r>
          </w:p>
        </w:tc>
        <w:tc>
          <w:tcPr>
            <w:tcW w:type="dxa" w:w="3120"/>
            <w:shd w:fill="F0F2F5" w:color="auto" w:val="clear"/>
            <w:vAlign w:val="center"/>
          </w:tcPr>
          <w:p>
            <w:r>
              <w:rPr>
                <w:rFonts w:ascii="Arial" w:hAnsi="Arial"/>
                <w:sz w:val="20"/>
              </w:rPr>
              <w:t>2</w:t>
            </w:r>
          </w:p>
        </w:tc>
        <w:tc>
          <w:tcPr>
            <w:tcW w:type="dxa" w:w="3120"/>
            <w:shd w:fill="F0F2F5" w:color="auto" w:val="clear"/>
            <w:vAlign w:val="center"/>
          </w:tcPr>
          <w:p>
            <w:r>
              <w:rPr>
                <w:rFonts w:ascii="Arial" w:hAnsi="Arial"/>
                <w:sz w:val="20"/>
              </w:rPr>
              <w:t>Mumbai, India</w:t>
            </w:r>
          </w:p>
        </w:tc>
      </w:tr>
      <w:tr>
        <w:tc>
          <w:tcPr>
            <w:tcW w:type="dxa" w:w="3120"/>
            <w:vAlign w:val="center"/>
          </w:tcPr>
          <w:p>
            <w:r>
              <w:rPr>
                <w:rFonts w:ascii="Arial" w:hAnsi="Arial"/>
                <w:sz w:val="20"/>
              </w:rPr>
              <w:t>DevOps Engineer</w:t>
            </w:r>
          </w:p>
        </w:tc>
        <w:tc>
          <w:tcPr>
            <w:tcW w:type="dxa" w:w="3120"/>
            <w:vAlign w:val="center"/>
          </w:tcPr>
          <w:p>
            <w:r>
              <w:rPr>
                <w:rFonts w:ascii="Arial" w:hAnsi="Arial"/>
                <w:sz w:val="20"/>
              </w:rPr>
              <w:t>2</w:t>
            </w:r>
          </w:p>
        </w:tc>
        <w:tc>
          <w:tcPr>
            <w:tcW w:type="dxa" w:w="3120"/>
            <w:vAlign w:val="center"/>
          </w:tcPr>
          <w:p>
            <w:r>
              <w:rPr>
                <w:rFonts w:ascii="Arial" w:hAnsi="Arial"/>
                <w:sz w:val="20"/>
              </w:rPr>
              <w:t>Mumbai, India</w:t>
            </w:r>
          </w:p>
        </w:tc>
      </w:tr>
      <w:tr>
        <w:tc>
          <w:tcPr>
            <w:tcW w:type="dxa" w:w="3120"/>
            <w:shd w:fill="F0F2F5" w:color="auto" w:val="clear"/>
            <w:vAlign w:val="center"/>
          </w:tcPr>
          <w:p>
            <w:r>
              <w:rPr>
                <w:rFonts w:ascii="Arial" w:hAnsi="Arial"/>
                <w:sz w:val="20"/>
              </w:rPr>
              <w:t>Project Manager</w:t>
            </w:r>
          </w:p>
        </w:tc>
        <w:tc>
          <w:tcPr>
            <w:tcW w:type="dxa" w:w="3120"/>
            <w:shd w:fill="F0F2F5" w:color="auto" w:val="clear"/>
            <w:vAlign w:val="center"/>
          </w:tcPr>
          <w:p>
            <w:r>
              <w:rPr>
                <w:rFonts w:ascii="Arial" w:hAnsi="Arial"/>
                <w:sz w:val="20"/>
              </w:rPr>
              <w:t>1</w:t>
            </w:r>
          </w:p>
        </w:tc>
        <w:tc>
          <w:tcPr>
            <w:tcW w:type="dxa" w:w="3120"/>
            <w:shd w:fill="F0F2F5" w:color="auto" w:val="clear"/>
            <w:vAlign w:val="center"/>
          </w:tcPr>
          <w:p>
            <w:r>
              <w:rPr>
                <w:rFonts w:ascii="Arial" w:hAnsi="Arial"/>
                <w:sz w:val="20"/>
              </w:rPr>
              <w:t>Mumbai, India</w:t>
            </w:r>
          </w:p>
        </w:tc>
      </w:tr>
      <w:tr>
        <w:tc>
          <w:tcPr>
            <w:tcW w:type="dxa" w:w="3120"/>
            <w:vAlign w:val="center"/>
          </w:tcPr>
          <w:p>
            <w:r>
              <w:rPr>
                <w:rFonts w:ascii="Arial" w:hAnsi="Arial"/>
                <w:sz w:val="20"/>
              </w:rPr>
              <w:t>Business Analyst</w:t>
            </w:r>
          </w:p>
        </w:tc>
        <w:tc>
          <w:tcPr>
            <w:tcW w:type="dxa" w:w="3120"/>
            <w:vAlign w:val="center"/>
          </w:tcPr>
          <w:p>
            <w:r>
              <w:rPr>
                <w:rFonts w:ascii="Arial" w:hAnsi="Arial"/>
                <w:sz w:val="20"/>
              </w:rPr>
              <w:t>1</w:t>
            </w:r>
          </w:p>
        </w:tc>
        <w:tc>
          <w:tcPr>
            <w:tcW w:type="dxa" w:w="3120"/>
            <w:vAlign w:val="center"/>
          </w:tcPr>
          <w:p>
            <w:r>
              <w:rPr>
                <w:rFonts w:ascii="Arial" w:hAnsi="Arial"/>
                <w:sz w:val="20"/>
              </w:rPr>
              <w:t>Mumbai, India</w:t>
            </w:r>
          </w:p>
        </w:tc>
      </w:tr>
    </w:tbl>
    <w:p/>
    <w:p>
      <w:pPr>
        <w:pStyle w:val="Heading2"/>
      </w:pPr>
      <w:r>
        <w:rPr>
          <w:rFonts w:ascii="Arial" w:hAnsi="Arial"/>
          <w:color w:val="00205B"/>
        </w:rPr>
        <w:t>Commercials &amp; ROI</w:t>
      </w:r>
    </w:p>
    <w:p>
      <w:pPr>
        <w:pStyle w:val="ListBullet"/>
      </w:pPr>
      <w:r>
        <w:rPr>
          <w:sz w:val="20"/>
        </w:rPr>
        <w:t>Rate Card</w:t>
      </w:r>
    </w:p>
    <w:p>
      <w:pPr>
        <w:pStyle w:val="ListBullet"/>
      </w:pPr>
      <w:r>
        <w:rPr>
          <w:sz w:val="20"/>
        </w:rPr>
        <w:t>Phase Cost Breakdown</w:t>
      </w:r>
    </w:p>
    <w:p>
      <w:pPr>
        <w:pStyle w:val="ListBullet"/>
      </w:pPr>
      <w:r>
        <w:rPr>
          <w:sz w:val="20"/>
        </w:rPr>
        <w:t>Total Engagement Cost</w:t>
      </w:r>
    </w:p>
    <w:p>
      <w:pPr>
        <w:pStyle w:val="ListBullet"/>
      </w:pPr>
      <w:r>
        <w:rPr>
          <w:sz w:val="20"/>
        </w:rPr>
        <w:t>Min: $642,000 (Phase 1-5)</w:t>
      </w:r>
    </w:p>
    <w:p>
      <w:pPr>
        <w:pStyle w:val="ListBullet"/>
      </w:pPr>
      <w:r>
        <w:rPr>
          <w:sz w:val="20"/>
        </w:rPr>
        <w:t>Max: $832,000 (Phase 1-6)</w:t>
      </w:r>
    </w:p>
    <w:p>
      <w:pPr>
        <w:pStyle w:val="ListBullet"/>
      </w:pPr>
      <w:r>
        <w:rPr>
          <w:sz w:val="20"/>
        </w:rPr>
        <w:t>Payment Milestones</w:t>
      </w:r>
    </w:p>
    <w:p>
      <w:pPr>
        <w:pStyle w:val="ListBullet"/>
      </w:pPr>
      <w:r>
        <w:rPr>
          <w:sz w:val="20"/>
        </w:rPr>
        <w:t>ROI Justification</w:t>
      </w:r>
    </w:p>
    <w:p>
      <w:pPr>
        <w:pStyle w:val="ListBullet"/>
      </w:pPr>
      <w:r>
        <w:rPr>
          <w:sz w:val="20"/>
        </w:rPr>
        <w:t>Improved scalability to handle 10M+ daily transactions during peak loads, resulting in increased revenue and customer satisfaction.</w:t>
      </w:r>
    </w:p>
    <w:p>
      <w:pPr>
        <w:pStyle w:val="ListBullet"/>
      </w:pPr>
      <w:r>
        <w:rPr>
          <w:sz w:val="20"/>
        </w:rPr>
        <w:t>Enhanced digital channel capabilities, leading to increased customer engagement and loyalty.</w:t>
      </w:r>
    </w:p>
    <w:p>
      <w:pPr>
        <w:pStyle w:val="ListBullet"/>
      </w:pPr>
      <w:r>
        <w:rPr>
          <w:sz w:val="20"/>
        </w:rPr>
        <w:t>Achieved 99.999% system uptime SLA, resulting in reduced downtime and increased productivity.</w:t>
      </w:r>
    </w:p>
    <w:p>
      <w:pPr>
        <w:pStyle w:val="ListBullet"/>
      </w:pPr>
      <w:r>
        <w:rPr>
          <w:sz w:val="20"/>
        </w:rPr>
        <w:t>Ensured RBI regulatory compliance post-upgrade, reducing the risk of fines and reputational damage.</w:t>
      </w:r>
    </w:p>
    <w:p>
      <w:pPr>
        <w:pStyle w:val="ListBullet"/>
      </w:pPr>
      <w:r>
        <w:rPr>
          <w:sz w:val="20"/>
        </w:rPr>
        <w:t>Established a long-term strategic technology partnership, providing a competitive advantage and future-proofing the core banking system.</w:t>
      </w:r>
    </w:p>
    <w:p>
      <w:pPr>
        <w:pStyle w:val="ListBullet"/>
      </w:pPr>
      <w:r>
        <w:rPr>
          <w:sz w:val="20"/>
        </w:rPr>
        <w:t>Optional Add-ons</w:t>
      </w:r>
    </w:p>
    <w:p>
      <w:pPr>
        <w:pStyle w:val="ListBullet"/>
      </w:pPr>
      <w:r>
        <w:rPr>
          <w:sz w:val="20"/>
        </w:rPr>
        <w:t>Premium Support: $10,000/month (includes 24/7 support, priority issue resolution, and quarterly health checks)</w:t>
      </w:r>
    </w:p>
    <w:p>
      <w:pPr>
        <w:pStyle w:val="ListBullet"/>
      </w:pPr>
      <w:r>
        <w:rPr>
          <w:sz w:val="20"/>
        </w:rPr>
        <w:t>Cloud Migration Accelerator: $50,000 (includes a dedicated cloud migration team, accelerated migration timeline, and comprehensive migration plan)</w:t>
      </w:r>
    </w:p>
    <w:p>
      <w:pPr>
        <w:pStyle w:val="ListBullet"/>
      </w:pPr>
      <w:r>
        <w:rPr>
          <w:sz w:val="20"/>
        </w:rPr>
        <w:t>Advanced Analytics: $20,000/month (includes advanced analytics capabilities, data science expertise, and customized analytics dashboards)</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shd w:fill="00205B" w:color="auto" w:val="clear"/>
            <w:vAlign w:val="center"/>
          </w:tcPr>
          <w:p>
            <w:r>
              <w:rPr>
                <w:rFonts w:ascii="Arial" w:hAnsi="Arial"/>
                <w:b/>
                <w:color w:val="FFFFFF"/>
                <w:sz w:val="20"/>
              </w:rPr>
              <w:t>Role</w:t>
            </w:r>
          </w:p>
        </w:tc>
        <w:tc>
          <w:tcPr>
            <w:tcW w:type="dxa" w:w="1560"/>
            <w:shd w:fill="00205B" w:color="auto" w:val="clear"/>
            <w:vAlign w:val="center"/>
          </w:tcPr>
          <w:p>
            <w:r>
              <w:rPr>
                <w:rFonts w:ascii="Arial" w:hAnsi="Arial"/>
                <w:b/>
                <w:color w:val="FFFFFF"/>
                <w:sz w:val="20"/>
              </w:rPr>
              <w:t>Count</w:t>
            </w:r>
          </w:p>
        </w:tc>
        <w:tc>
          <w:tcPr>
            <w:tcW w:type="dxa" w:w="1560"/>
            <w:shd w:fill="00205B" w:color="auto" w:val="clear"/>
            <w:vAlign w:val="center"/>
          </w:tcPr>
          <w:p>
            <w:r>
              <w:rPr>
                <w:rFonts w:ascii="Arial" w:hAnsi="Arial"/>
                <w:b/>
                <w:color w:val="FFFFFF"/>
                <w:sz w:val="20"/>
              </w:rPr>
              <w:t>Location</w:t>
            </w:r>
          </w:p>
        </w:tc>
        <w:tc>
          <w:tcPr>
            <w:tcW w:type="dxa" w:w="1560"/>
            <w:shd w:fill="00205B" w:color="auto" w:val="clear"/>
            <w:vAlign w:val="center"/>
          </w:tcPr>
          <w:p>
            <w:r>
              <w:rPr>
                <w:rFonts w:ascii="Arial" w:hAnsi="Arial"/>
                <w:b/>
                <w:color w:val="FFFFFF"/>
                <w:sz w:val="20"/>
              </w:rPr>
              <w:t>Hrs/Month</w:t>
            </w:r>
          </w:p>
        </w:tc>
        <w:tc>
          <w:tcPr>
            <w:tcW w:type="dxa" w:w="1560"/>
            <w:shd w:fill="00205B" w:color="auto" w:val="clear"/>
            <w:vAlign w:val="center"/>
          </w:tcPr>
          <w:p>
            <w:r>
              <w:rPr>
                <w:rFonts w:ascii="Arial" w:hAnsi="Arial"/>
                <w:b/>
                <w:color w:val="FFFFFF"/>
                <w:sz w:val="20"/>
              </w:rPr>
              <w:t>Rate/hr</w:t>
            </w:r>
          </w:p>
        </w:tc>
        <w:tc>
          <w:tcPr>
            <w:tcW w:type="dxa" w:w="1560"/>
            <w:shd w:fill="00205B" w:color="auto" w:val="clear"/>
            <w:vAlign w:val="center"/>
          </w:tcPr>
          <w:p>
            <w:r>
              <w:rPr>
                <w:rFonts w:ascii="Arial" w:hAnsi="Arial"/>
                <w:b/>
                <w:color w:val="FFFFFF"/>
                <w:sz w:val="20"/>
              </w:rPr>
              <w:t>Monthly Cost</w:t>
            </w:r>
          </w:p>
        </w:tc>
      </w:tr>
      <w:tr>
        <w:tc>
          <w:tcPr>
            <w:tcW w:type="dxa" w:w="1560"/>
            <w:shd w:fill="F0F2F5" w:color="auto" w:val="clear"/>
            <w:vAlign w:val="center"/>
          </w:tcPr>
          <w:p>
            <w:r>
              <w:rPr>
                <w:rFonts w:ascii="Arial" w:hAnsi="Arial"/>
                <w:sz w:val="20"/>
              </w:rPr>
              <w:t>Solution Architect</w:t>
            </w:r>
          </w:p>
        </w:tc>
        <w:tc>
          <w:tcPr>
            <w:tcW w:type="dxa" w:w="1560"/>
            <w:shd w:fill="F0F2F5" w:color="auto" w:val="clear"/>
            <w:vAlign w:val="center"/>
          </w:tcPr>
          <w:p>
            <w:r>
              <w:rPr>
                <w:rFonts w:ascii="Arial" w:hAnsi="Arial"/>
                <w:sz w:val="20"/>
              </w:rPr>
              <w:t>2</w:t>
            </w:r>
          </w:p>
        </w:tc>
        <w:tc>
          <w:tcPr>
            <w:tcW w:type="dxa" w:w="1560"/>
            <w:shd w:fill="F0F2F5" w:color="auto" w:val="clear"/>
            <w:vAlign w:val="center"/>
          </w:tcPr>
          <w:p>
            <w:r>
              <w:rPr>
                <w:rFonts w:ascii="Arial" w:hAnsi="Arial"/>
                <w:sz w:val="20"/>
              </w:rPr>
              <w:t>Onshore</w:t>
            </w:r>
          </w:p>
        </w:tc>
        <w:tc>
          <w:tcPr>
            <w:tcW w:type="dxa" w:w="1560"/>
            <w:shd w:fill="F0F2F5" w:color="auto" w:val="clear"/>
            <w:vAlign w:val="center"/>
          </w:tcPr>
          <w:p>
            <w:r>
              <w:rPr>
                <w:rFonts w:ascii="Arial" w:hAnsi="Arial"/>
                <w:sz w:val="20"/>
              </w:rPr>
              <w:t>160</w:t>
            </w:r>
          </w:p>
        </w:tc>
        <w:tc>
          <w:tcPr>
            <w:tcW w:type="dxa" w:w="1560"/>
            <w:shd w:fill="F0F2F5" w:color="auto" w:val="clear"/>
            <w:vAlign w:val="center"/>
          </w:tcPr>
          <w:p>
            <w:r>
              <w:rPr>
                <w:rFonts w:ascii="Arial" w:hAnsi="Arial"/>
                <w:sz w:val="20"/>
              </w:rPr>
              <w:t>$100</w:t>
            </w:r>
          </w:p>
        </w:tc>
        <w:tc>
          <w:tcPr>
            <w:tcW w:type="dxa" w:w="1560"/>
            <w:shd w:fill="F0F2F5" w:color="auto" w:val="clear"/>
            <w:vAlign w:val="center"/>
          </w:tcPr>
          <w:p>
            <w:r>
              <w:rPr>
                <w:rFonts w:ascii="Arial" w:hAnsi="Arial"/>
                <w:sz w:val="20"/>
              </w:rPr>
              <w:t>$16,000</w:t>
            </w:r>
          </w:p>
        </w:tc>
      </w:tr>
      <w:tr>
        <w:tc>
          <w:tcPr>
            <w:tcW w:type="dxa" w:w="1560"/>
            <w:vAlign w:val="center"/>
          </w:tcPr>
          <w:p>
            <w:r>
              <w:rPr>
                <w:rFonts w:ascii="Arial" w:hAnsi="Arial"/>
                <w:sz w:val="20"/>
              </w:rPr>
              <w:t>Cloud Engineer</w:t>
            </w:r>
          </w:p>
        </w:tc>
        <w:tc>
          <w:tcPr>
            <w:tcW w:type="dxa" w:w="1560"/>
            <w:vAlign w:val="center"/>
          </w:tcPr>
          <w:p>
            <w:r>
              <w:rPr>
                <w:rFonts w:ascii="Arial" w:hAnsi="Arial"/>
                <w:sz w:val="20"/>
              </w:rPr>
              <w:t>4</w:t>
            </w:r>
          </w:p>
        </w:tc>
        <w:tc>
          <w:tcPr>
            <w:tcW w:type="dxa" w:w="1560"/>
            <w:vAlign w:val="center"/>
          </w:tcPr>
          <w:p>
            <w:r>
              <w:rPr>
                <w:rFonts w:ascii="Arial" w:hAnsi="Arial"/>
                <w:sz w:val="20"/>
              </w:rPr>
              <w:t>Offshore</w:t>
            </w:r>
          </w:p>
        </w:tc>
        <w:tc>
          <w:tcPr>
            <w:tcW w:type="dxa" w:w="1560"/>
            <w:vAlign w:val="center"/>
          </w:tcPr>
          <w:p>
            <w:r>
              <w:rPr>
                <w:rFonts w:ascii="Arial" w:hAnsi="Arial"/>
                <w:sz w:val="20"/>
              </w:rPr>
              <w:t>240</w:t>
            </w:r>
          </w:p>
        </w:tc>
        <w:tc>
          <w:tcPr>
            <w:tcW w:type="dxa" w:w="1560"/>
            <w:vAlign w:val="center"/>
          </w:tcPr>
          <w:p>
            <w:r>
              <w:rPr>
                <w:rFonts w:ascii="Arial" w:hAnsi="Arial"/>
                <w:sz w:val="20"/>
              </w:rPr>
              <w:t>$30</w:t>
            </w:r>
          </w:p>
        </w:tc>
        <w:tc>
          <w:tcPr>
            <w:tcW w:type="dxa" w:w="1560"/>
            <w:vAlign w:val="center"/>
          </w:tcPr>
          <w:p>
            <w:r>
              <w:rPr>
                <w:rFonts w:ascii="Arial" w:hAnsi="Arial"/>
                <w:sz w:val="20"/>
              </w:rPr>
              <w:t>$7,200</w:t>
            </w:r>
          </w:p>
        </w:tc>
      </w:tr>
      <w:tr>
        <w:tc>
          <w:tcPr>
            <w:tcW w:type="dxa" w:w="1560"/>
            <w:shd w:fill="F0F2F5" w:color="auto" w:val="clear"/>
            <w:vAlign w:val="center"/>
          </w:tcPr>
          <w:p>
            <w:r>
              <w:rPr>
                <w:rFonts w:ascii="Arial" w:hAnsi="Arial"/>
                <w:sz w:val="20"/>
              </w:rPr>
              <w:t>Core Banking Specialist</w:t>
            </w:r>
          </w:p>
        </w:tc>
        <w:tc>
          <w:tcPr>
            <w:tcW w:type="dxa" w:w="1560"/>
            <w:shd w:fill="F0F2F5" w:color="auto" w:val="clear"/>
            <w:vAlign w:val="center"/>
          </w:tcPr>
          <w:p>
            <w:r>
              <w:rPr>
                <w:rFonts w:ascii="Arial" w:hAnsi="Arial"/>
                <w:sz w:val="20"/>
              </w:rPr>
              <w:t>2</w:t>
            </w:r>
          </w:p>
        </w:tc>
        <w:tc>
          <w:tcPr>
            <w:tcW w:type="dxa" w:w="1560"/>
            <w:shd w:fill="F0F2F5" w:color="auto" w:val="clear"/>
            <w:vAlign w:val="center"/>
          </w:tcPr>
          <w:p>
            <w:r>
              <w:rPr>
                <w:rFonts w:ascii="Arial" w:hAnsi="Arial"/>
                <w:sz w:val="20"/>
              </w:rPr>
              <w:t>Nearshore</w:t>
            </w:r>
          </w:p>
        </w:tc>
        <w:tc>
          <w:tcPr>
            <w:tcW w:type="dxa" w:w="1560"/>
            <w:shd w:fill="F0F2F5" w:color="auto" w:val="clear"/>
            <w:vAlign w:val="center"/>
          </w:tcPr>
          <w:p>
            <w:r>
              <w:rPr>
                <w:rFonts w:ascii="Arial" w:hAnsi="Arial"/>
                <w:sz w:val="20"/>
              </w:rPr>
              <w:t>160</w:t>
            </w:r>
          </w:p>
        </w:tc>
        <w:tc>
          <w:tcPr>
            <w:tcW w:type="dxa" w:w="1560"/>
            <w:shd w:fill="F0F2F5" w:color="auto" w:val="clear"/>
            <w:vAlign w:val="center"/>
          </w:tcPr>
          <w:p>
            <w:r>
              <w:rPr>
                <w:rFonts w:ascii="Arial" w:hAnsi="Arial"/>
                <w:sz w:val="20"/>
              </w:rPr>
              <w:t>$55</w:t>
            </w:r>
          </w:p>
        </w:tc>
        <w:tc>
          <w:tcPr>
            <w:tcW w:type="dxa" w:w="1560"/>
            <w:shd w:fill="F0F2F5" w:color="auto" w:val="clear"/>
            <w:vAlign w:val="center"/>
          </w:tcPr>
          <w:p>
            <w:r>
              <w:rPr>
                <w:rFonts w:ascii="Arial" w:hAnsi="Arial"/>
                <w:sz w:val="20"/>
              </w:rPr>
              <w:t>$8,800</w:t>
            </w:r>
          </w:p>
        </w:tc>
      </w:tr>
      <w:tr>
        <w:tc>
          <w:tcPr>
            <w:tcW w:type="dxa" w:w="1560"/>
            <w:vAlign w:val="center"/>
          </w:tcPr>
          <w:p>
            <w:r>
              <w:rPr>
                <w:rFonts w:ascii="Arial" w:hAnsi="Arial"/>
                <w:sz w:val="20"/>
              </w:rPr>
              <w:t>Integration Specialist</w:t>
            </w:r>
          </w:p>
        </w:tc>
        <w:tc>
          <w:tcPr>
            <w:tcW w:type="dxa" w:w="1560"/>
            <w:vAlign w:val="center"/>
          </w:tcPr>
          <w:p>
            <w:r>
              <w:rPr>
                <w:rFonts w:ascii="Arial" w:hAnsi="Arial"/>
                <w:sz w:val="20"/>
              </w:rPr>
              <w:t>2</w:t>
            </w:r>
          </w:p>
        </w:tc>
        <w:tc>
          <w:tcPr>
            <w:tcW w:type="dxa" w:w="1560"/>
            <w:vAlign w:val="center"/>
          </w:tcPr>
          <w:p>
            <w:r>
              <w:rPr>
                <w:rFonts w:ascii="Arial" w:hAnsi="Arial"/>
                <w:sz w:val="20"/>
              </w:rPr>
              <w:t>Offshore</w:t>
            </w:r>
          </w:p>
        </w:tc>
        <w:tc>
          <w:tcPr>
            <w:tcW w:type="dxa" w:w="1560"/>
            <w:vAlign w:val="center"/>
          </w:tcPr>
          <w:p>
            <w:r>
              <w:rPr>
                <w:rFonts w:ascii="Arial" w:hAnsi="Arial"/>
                <w:sz w:val="20"/>
              </w:rPr>
              <w:t>160</w:t>
            </w:r>
          </w:p>
        </w:tc>
        <w:tc>
          <w:tcPr>
            <w:tcW w:type="dxa" w:w="1560"/>
            <w:vAlign w:val="center"/>
          </w:tcPr>
          <w:p>
            <w:r>
              <w:rPr>
                <w:rFonts w:ascii="Arial" w:hAnsi="Arial"/>
                <w:sz w:val="20"/>
              </w:rPr>
              <w:t>$28</w:t>
            </w:r>
          </w:p>
        </w:tc>
        <w:tc>
          <w:tcPr>
            <w:tcW w:type="dxa" w:w="1560"/>
            <w:vAlign w:val="center"/>
          </w:tcPr>
          <w:p>
            <w:r>
              <w:rPr>
                <w:rFonts w:ascii="Arial" w:hAnsi="Arial"/>
                <w:sz w:val="20"/>
              </w:rPr>
              <w:t>$4,480</w:t>
            </w:r>
          </w:p>
        </w:tc>
      </w:tr>
      <w:tr>
        <w:tc>
          <w:tcPr>
            <w:tcW w:type="dxa" w:w="1560"/>
            <w:shd w:fill="F0F2F5" w:color="auto" w:val="clear"/>
            <w:vAlign w:val="center"/>
          </w:tcPr>
          <w:p>
            <w:r>
              <w:rPr>
                <w:rFonts w:ascii="Arial" w:hAnsi="Arial"/>
                <w:sz w:val="20"/>
              </w:rPr>
              <w:t>Data Engineer</w:t>
            </w:r>
          </w:p>
        </w:tc>
        <w:tc>
          <w:tcPr>
            <w:tcW w:type="dxa" w:w="1560"/>
            <w:shd w:fill="F0F2F5" w:color="auto" w:val="clear"/>
            <w:vAlign w:val="center"/>
          </w:tcPr>
          <w:p>
            <w:r>
              <w:rPr>
                <w:rFonts w:ascii="Arial" w:hAnsi="Arial"/>
                <w:sz w:val="20"/>
              </w:rPr>
              <w:t>1</w:t>
            </w:r>
          </w:p>
        </w:tc>
        <w:tc>
          <w:tcPr>
            <w:tcW w:type="dxa" w:w="1560"/>
            <w:shd w:fill="F0F2F5" w:color="auto" w:val="clear"/>
            <w:vAlign w:val="center"/>
          </w:tcPr>
          <w:p>
            <w:r>
              <w:rPr>
                <w:rFonts w:ascii="Arial" w:hAnsi="Arial"/>
                <w:sz w:val="20"/>
              </w:rPr>
              <w:t>Onshore</w:t>
            </w:r>
          </w:p>
        </w:tc>
        <w:tc>
          <w:tcPr>
            <w:tcW w:type="dxa" w:w="1560"/>
            <w:shd w:fill="F0F2F5" w:color="auto" w:val="clear"/>
            <w:vAlign w:val="center"/>
          </w:tcPr>
          <w:p>
            <w:r>
              <w:rPr>
                <w:rFonts w:ascii="Arial" w:hAnsi="Arial"/>
                <w:sz w:val="20"/>
              </w:rPr>
              <w:t>80</w:t>
            </w:r>
          </w:p>
        </w:tc>
        <w:tc>
          <w:tcPr>
            <w:tcW w:type="dxa" w:w="1560"/>
            <w:shd w:fill="F0F2F5" w:color="auto" w:val="clear"/>
            <w:vAlign w:val="center"/>
          </w:tcPr>
          <w:p>
            <w:r>
              <w:rPr>
                <w:rFonts w:ascii="Arial" w:hAnsi="Arial"/>
                <w:sz w:val="20"/>
              </w:rPr>
              <w:t>$90</w:t>
            </w:r>
          </w:p>
        </w:tc>
        <w:tc>
          <w:tcPr>
            <w:tcW w:type="dxa" w:w="1560"/>
            <w:shd w:fill="F0F2F5" w:color="auto" w:val="clear"/>
            <w:vAlign w:val="center"/>
          </w:tcPr>
          <w:p>
            <w:r>
              <w:rPr>
                <w:rFonts w:ascii="Arial" w:hAnsi="Arial"/>
                <w:sz w:val="20"/>
              </w:rPr>
              <w:t>$7,200</w:t>
            </w:r>
          </w:p>
        </w:tc>
      </w:tr>
      <w:tr>
        <w:tc>
          <w:tcPr>
            <w:tcW w:type="dxa" w:w="1560"/>
            <w:vAlign w:val="center"/>
          </w:tcPr>
          <w:p>
            <w:r>
              <w:rPr>
                <w:rFonts w:ascii="Arial" w:hAnsi="Arial"/>
                <w:sz w:val="20"/>
              </w:rPr>
              <w:t>Analytics Specialist</w:t>
            </w:r>
          </w:p>
        </w:tc>
        <w:tc>
          <w:tcPr>
            <w:tcW w:type="dxa" w:w="1560"/>
            <w:vAlign w:val="center"/>
          </w:tcPr>
          <w:p>
            <w:r>
              <w:rPr>
                <w:rFonts w:ascii="Arial" w:hAnsi="Arial"/>
                <w:sz w:val="20"/>
              </w:rPr>
              <w:t>1</w:t>
            </w:r>
          </w:p>
        </w:tc>
        <w:tc>
          <w:tcPr>
            <w:tcW w:type="dxa" w:w="1560"/>
            <w:vAlign w:val="center"/>
          </w:tcPr>
          <w:p>
            <w:r>
              <w:rPr>
                <w:rFonts w:ascii="Arial" w:hAnsi="Arial"/>
                <w:sz w:val="20"/>
              </w:rPr>
              <w:t>Offshore</w:t>
            </w:r>
          </w:p>
        </w:tc>
        <w:tc>
          <w:tcPr>
            <w:tcW w:type="dxa" w:w="1560"/>
            <w:vAlign w:val="center"/>
          </w:tcPr>
          <w:p>
            <w:r>
              <w:rPr>
                <w:rFonts w:ascii="Arial" w:hAnsi="Arial"/>
                <w:sz w:val="20"/>
              </w:rPr>
              <w:t>80</w:t>
            </w:r>
          </w:p>
        </w:tc>
        <w:tc>
          <w:tcPr>
            <w:tcW w:type="dxa" w:w="1560"/>
            <w:vAlign w:val="center"/>
          </w:tcPr>
          <w:p>
            <w:r>
              <w:rPr>
                <w:rFonts w:ascii="Arial" w:hAnsi="Arial"/>
                <w:sz w:val="20"/>
              </w:rPr>
              <w:t>$32</w:t>
            </w:r>
          </w:p>
        </w:tc>
        <w:tc>
          <w:tcPr>
            <w:tcW w:type="dxa" w:w="1560"/>
            <w:vAlign w:val="center"/>
          </w:tcPr>
          <w:p>
            <w:r>
              <w:rPr>
                <w:rFonts w:ascii="Arial" w:hAnsi="Arial"/>
                <w:sz w:val="20"/>
              </w:rPr>
              <w:t>$2,560</w:t>
            </w:r>
          </w:p>
        </w:tc>
      </w:tr>
      <w:tr>
        <w:tc>
          <w:tcPr>
            <w:tcW w:type="dxa" w:w="1560"/>
            <w:shd w:fill="F0F2F5" w:color="auto" w:val="clear"/>
            <w:vAlign w:val="center"/>
          </w:tcPr>
          <w:p>
            <w:r>
              <w:rPr>
                <w:rFonts w:ascii="Arial" w:hAnsi="Arial"/>
                <w:sz w:val="20"/>
              </w:rPr>
              <w:t>Security Specialist</w:t>
            </w:r>
          </w:p>
        </w:tc>
        <w:tc>
          <w:tcPr>
            <w:tcW w:type="dxa" w:w="1560"/>
            <w:shd w:fill="F0F2F5" w:color="auto" w:val="clear"/>
            <w:vAlign w:val="center"/>
          </w:tcPr>
          <w:p>
            <w:r>
              <w:rPr>
                <w:rFonts w:ascii="Arial" w:hAnsi="Arial"/>
                <w:sz w:val="20"/>
              </w:rPr>
              <w:t>1</w:t>
            </w:r>
          </w:p>
        </w:tc>
        <w:tc>
          <w:tcPr>
            <w:tcW w:type="dxa" w:w="1560"/>
            <w:shd w:fill="F0F2F5" w:color="auto" w:val="clear"/>
            <w:vAlign w:val="center"/>
          </w:tcPr>
          <w:p>
            <w:r>
              <w:rPr>
                <w:rFonts w:ascii="Arial" w:hAnsi="Arial"/>
                <w:sz w:val="20"/>
              </w:rPr>
              <w:t>Nearshore</w:t>
            </w:r>
          </w:p>
        </w:tc>
        <w:tc>
          <w:tcPr>
            <w:tcW w:type="dxa" w:w="1560"/>
            <w:shd w:fill="F0F2F5" w:color="auto" w:val="clear"/>
            <w:vAlign w:val="center"/>
          </w:tcPr>
          <w:p>
            <w:r>
              <w:rPr>
                <w:rFonts w:ascii="Arial" w:hAnsi="Arial"/>
                <w:sz w:val="20"/>
              </w:rPr>
              <w:t>80</w:t>
            </w:r>
          </w:p>
        </w:tc>
        <w:tc>
          <w:tcPr>
            <w:tcW w:type="dxa" w:w="1560"/>
            <w:shd w:fill="F0F2F5" w:color="auto" w:val="clear"/>
            <w:vAlign w:val="center"/>
          </w:tcPr>
          <w:p>
            <w:r>
              <w:rPr>
                <w:rFonts w:ascii="Arial" w:hAnsi="Arial"/>
                <w:sz w:val="20"/>
              </w:rPr>
              <w:t>$60</w:t>
            </w:r>
          </w:p>
        </w:tc>
        <w:tc>
          <w:tcPr>
            <w:tcW w:type="dxa" w:w="1560"/>
            <w:shd w:fill="F0F2F5" w:color="auto" w:val="clear"/>
            <w:vAlign w:val="center"/>
          </w:tcPr>
          <w:p>
            <w:r>
              <w:rPr>
                <w:rFonts w:ascii="Arial" w:hAnsi="Arial"/>
                <w:sz w:val="20"/>
              </w:rPr>
              <w:t>$4,800</w:t>
            </w:r>
          </w:p>
        </w:tc>
      </w:tr>
      <w:tr>
        <w:tc>
          <w:tcPr>
            <w:tcW w:type="dxa" w:w="1560"/>
            <w:vAlign w:val="center"/>
          </w:tcPr>
          <w:p>
            <w:r>
              <w:rPr>
                <w:rFonts w:ascii="Arial" w:hAnsi="Arial"/>
                <w:sz w:val="20"/>
              </w:rPr>
              <w:t>Project Manager</w:t>
            </w:r>
          </w:p>
        </w:tc>
        <w:tc>
          <w:tcPr>
            <w:tcW w:type="dxa" w:w="1560"/>
            <w:vAlign w:val="center"/>
          </w:tcPr>
          <w:p>
            <w:r>
              <w:rPr>
                <w:rFonts w:ascii="Arial" w:hAnsi="Arial"/>
                <w:sz w:val="20"/>
              </w:rPr>
              <w:t>1</w:t>
            </w:r>
          </w:p>
        </w:tc>
        <w:tc>
          <w:tcPr>
            <w:tcW w:type="dxa" w:w="1560"/>
            <w:vAlign w:val="center"/>
          </w:tcPr>
          <w:p>
            <w:r>
              <w:rPr>
                <w:rFonts w:ascii="Arial" w:hAnsi="Arial"/>
                <w:sz w:val="20"/>
              </w:rPr>
              <w:t>Onshore</w:t>
            </w:r>
          </w:p>
        </w:tc>
        <w:tc>
          <w:tcPr>
            <w:tcW w:type="dxa" w:w="1560"/>
            <w:vAlign w:val="center"/>
          </w:tcPr>
          <w:p>
            <w:r>
              <w:rPr>
                <w:rFonts w:ascii="Arial" w:hAnsi="Arial"/>
                <w:sz w:val="20"/>
              </w:rPr>
              <w:t>160</w:t>
            </w:r>
          </w:p>
        </w:tc>
        <w:tc>
          <w:tcPr>
            <w:tcW w:type="dxa" w:w="1560"/>
            <w:vAlign w:val="center"/>
          </w:tcPr>
          <w:p>
            <w:r>
              <w:rPr>
                <w:rFonts w:ascii="Arial" w:hAnsi="Arial"/>
                <w:sz w:val="20"/>
              </w:rPr>
              <w:t>$120</w:t>
            </w:r>
          </w:p>
        </w:tc>
        <w:tc>
          <w:tcPr>
            <w:tcW w:type="dxa" w:w="1560"/>
            <w:vAlign w:val="center"/>
          </w:tcPr>
          <w:p>
            <w:r>
              <w:rPr>
                <w:rFonts w:ascii="Arial" w:hAnsi="Arial"/>
                <w:sz w:val="20"/>
              </w:rPr>
              <w:t>$19,200</w:t>
            </w:r>
          </w:p>
        </w:tc>
      </w:tr>
      <w:tr>
        <w:tc>
          <w:tcPr>
            <w:tcW w:type="dxa" w:w="1560"/>
            <w:shd w:fill="F0F2F5" w:color="auto" w:val="clear"/>
            <w:vAlign w:val="center"/>
          </w:tcPr>
          <w:p>
            <w:r>
              <w:rPr>
                <w:rFonts w:ascii="Arial" w:hAnsi="Arial"/>
                <w:sz w:val="20"/>
              </w:rPr>
              <w:t>QA Engineer</w:t>
            </w:r>
          </w:p>
        </w:tc>
        <w:tc>
          <w:tcPr>
            <w:tcW w:type="dxa" w:w="1560"/>
            <w:shd w:fill="F0F2F5" w:color="auto" w:val="clear"/>
            <w:vAlign w:val="center"/>
          </w:tcPr>
          <w:p>
            <w:r>
              <w:rPr>
                <w:rFonts w:ascii="Arial" w:hAnsi="Arial"/>
                <w:sz w:val="20"/>
              </w:rPr>
              <w:t>2</w:t>
            </w:r>
          </w:p>
        </w:tc>
        <w:tc>
          <w:tcPr>
            <w:tcW w:type="dxa" w:w="1560"/>
            <w:shd w:fill="F0F2F5" w:color="auto" w:val="clear"/>
            <w:vAlign w:val="center"/>
          </w:tcPr>
          <w:p>
            <w:r>
              <w:rPr>
                <w:rFonts w:ascii="Arial" w:hAnsi="Arial"/>
                <w:sz w:val="20"/>
              </w:rPr>
              <w:t>Offshore</w:t>
            </w:r>
          </w:p>
        </w:tc>
        <w:tc>
          <w:tcPr>
            <w:tcW w:type="dxa" w:w="1560"/>
            <w:shd w:fill="F0F2F5" w:color="auto" w:val="clear"/>
            <w:vAlign w:val="center"/>
          </w:tcPr>
          <w:p>
            <w:r>
              <w:rPr>
                <w:rFonts w:ascii="Arial" w:hAnsi="Arial"/>
                <w:sz w:val="20"/>
              </w:rPr>
              <w:t>160</w:t>
            </w:r>
          </w:p>
        </w:tc>
        <w:tc>
          <w:tcPr>
            <w:tcW w:type="dxa" w:w="1560"/>
            <w:shd w:fill="F0F2F5" w:color="auto" w:val="clear"/>
            <w:vAlign w:val="center"/>
          </w:tcPr>
          <w:p>
            <w:r>
              <w:rPr>
                <w:rFonts w:ascii="Arial" w:hAnsi="Arial"/>
                <w:sz w:val="20"/>
              </w:rPr>
              <w:t>$25</w:t>
            </w:r>
          </w:p>
        </w:tc>
        <w:tc>
          <w:tcPr>
            <w:tcW w:type="dxa" w:w="1560"/>
            <w:shd w:fill="F0F2F5" w:color="auto" w:val="clear"/>
            <w:vAlign w:val="center"/>
          </w:tcPr>
          <w:p>
            <w:r>
              <w:rPr>
                <w:rFonts w:ascii="Arial" w:hAnsi="Arial"/>
                <w:sz w:val="20"/>
              </w:rPr>
              <w:t>$4,000</w:t>
            </w:r>
          </w:p>
        </w:tc>
      </w:tr>
      <w:tr>
        <w:tc>
          <w:tcPr>
            <w:tcW w:type="dxa" w:w="1560"/>
            <w:vAlign w:val="center"/>
          </w:tcPr>
          <w:p>
            <w:r>
              <w:rPr>
                <w:rFonts w:ascii="Arial" w:hAnsi="Arial"/>
                <w:sz w:val="20"/>
              </w:rPr>
              <w:t>DevOps Engineer</w:t>
            </w:r>
          </w:p>
        </w:tc>
        <w:tc>
          <w:tcPr>
            <w:tcW w:type="dxa" w:w="1560"/>
            <w:vAlign w:val="center"/>
          </w:tcPr>
          <w:p>
            <w:r>
              <w:rPr>
                <w:rFonts w:ascii="Arial" w:hAnsi="Arial"/>
                <w:sz w:val="20"/>
              </w:rPr>
              <w:t>1</w:t>
            </w:r>
          </w:p>
        </w:tc>
        <w:tc>
          <w:tcPr>
            <w:tcW w:type="dxa" w:w="1560"/>
            <w:vAlign w:val="center"/>
          </w:tcPr>
          <w:p>
            <w:r>
              <w:rPr>
                <w:rFonts w:ascii="Arial" w:hAnsi="Arial"/>
                <w:sz w:val="20"/>
              </w:rPr>
              <w:t>Nearshore</w:t>
            </w:r>
          </w:p>
        </w:tc>
        <w:tc>
          <w:tcPr>
            <w:tcW w:type="dxa" w:w="1560"/>
            <w:vAlign w:val="center"/>
          </w:tcPr>
          <w:p>
            <w:r>
              <w:rPr>
                <w:rFonts w:ascii="Arial" w:hAnsi="Arial"/>
                <w:sz w:val="20"/>
              </w:rPr>
              <w:t>80</w:t>
            </w:r>
          </w:p>
        </w:tc>
        <w:tc>
          <w:tcPr>
            <w:tcW w:type="dxa" w:w="1560"/>
            <w:vAlign w:val="center"/>
          </w:tcPr>
          <w:p>
            <w:r>
              <w:rPr>
                <w:rFonts w:ascii="Arial" w:hAnsi="Arial"/>
                <w:sz w:val="20"/>
              </w:rPr>
              <w:t>$65</w:t>
            </w:r>
          </w:p>
        </w:tc>
        <w:tc>
          <w:tcPr>
            <w:tcW w:type="dxa" w:w="1560"/>
            <w:vAlign w:val="center"/>
          </w:tcPr>
          <w:p>
            <w:r>
              <w:rPr>
                <w:rFonts w:ascii="Arial" w:hAnsi="Arial"/>
                <w:sz w:val="20"/>
              </w:rPr>
              <w:t>$5,200</w:t>
            </w:r>
          </w:p>
        </w:tc>
      </w:tr>
    </w:tbl>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00205B" w:color="auto" w:val="clear"/>
            <w:vAlign w:val="center"/>
          </w:tcPr>
          <w:p>
            <w:r>
              <w:rPr>
                <w:rFonts w:ascii="Arial" w:hAnsi="Arial"/>
                <w:b/>
                <w:color w:val="FFFFFF"/>
                <w:sz w:val="20"/>
              </w:rPr>
              <w:t>Phase</w:t>
            </w:r>
          </w:p>
        </w:tc>
        <w:tc>
          <w:tcPr>
            <w:tcW w:type="dxa" w:w="2340"/>
            <w:shd w:fill="00205B" w:color="auto" w:val="clear"/>
            <w:vAlign w:val="center"/>
          </w:tcPr>
          <w:p>
            <w:r>
              <w:rPr>
                <w:rFonts w:ascii="Arial" w:hAnsi="Arial"/>
                <w:b/>
                <w:color w:val="FFFFFF"/>
                <w:sz w:val="20"/>
              </w:rPr>
              <w:t>Duration</w:t>
            </w:r>
          </w:p>
        </w:tc>
        <w:tc>
          <w:tcPr>
            <w:tcW w:type="dxa" w:w="2340"/>
            <w:shd w:fill="00205B" w:color="auto" w:val="clear"/>
            <w:vAlign w:val="center"/>
          </w:tcPr>
          <w:p>
            <w:r>
              <w:rPr>
                <w:rFonts w:ascii="Arial" w:hAnsi="Arial"/>
                <w:b/>
                <w:color w:val="FFFFFF"/>
                <w:sz w:val="20"/>
              </w:rPr>
              <w:t>Team Size</w:t>
            </w:r>
          </w:p>
        </w:tc>
        <w:tc>
          <w:tcPr>
            <w:tcW w:type="dxa" w:w="2340"/>
            <w:shd w:fill="00205B" w:color="auto" w:val="clear"/>
            <w:vAlign w:val="center"/>
          </w:tcPr>
          <w:p>
            <w:r>
              <w:rPr>
                <w:rFonts w:ascii="Arial" w:hAnsi="Arial"/>
                <w:b/>
                <w:color w:val="FFFFFF"/>
                <w:sz w:val="20"/>
              </w:rPr>
              <w:t>Total Cost</w:t>
            </w:r>
          </w:p>
        </w:tc>
      </w:tr>
      <w:tr>
        <w:tc>
          <w:tcPr>
            <w:tcW w:type="dxa" w:w="2340"/>
            <w:shd w:fill="F0F2F5" w:color="auto" w:val="clear"/>
            <w:vAlign w:val="center"/>
          </w:tcPr>
          <w:p>
            <w:r>
              <w:rPr>
                <w:rFonts w:ascii="Arial" w:hAnsi="Arial"/>
                <w:sz w:val="20"/>
              </w:rPr>
              <w:t>Phase 1: Solution Design</w:t>
            </w:r>
          </w:p>
        </w:tc>
        <w:tc>
          <w:tcPr>
            <w:tcW w:type="dxa" w:w="2340"/>
            <w:shd w:fill="F0F2F5" w:color="auto" w:val="clear"/>
            <w:vAlign w:val="center"/>
          </w:tcPr>
          <w:p>
            <w:r>
              <w:rPr>
                <w:rFonts w:ascii="Arial" w:hAnsi="Arial"/>
                <w:sz w:val="20"/>
              </w:rPr>
              <w:t>4 weeks</w:t>
            </w:r>
          </w:p>
        </w:tc>
        <w:tc>
          <w:tcPr>
            <w:tcW w:type="dxa" w:w="2340"/>
            <w:shd w:fill="F0F2F5" w:color="auto" w:val="clear"/>
            <w:vAlign w:val="center"/>
          </w:tcPr>
          <w:p>
            <w:r>
              <w:rPr>
                <w:rFonts w:ascii="Arial" w:hAnsi="Arial"/>
                <w:sz w:val="20"/>
              </w:rPr>
              <w:t>8</w:t>
            </w:r>
          </w:p>
        </w:tc>
        <w:tc>
          <w:tcPr>
            <w:tcW w:type="dxa" w:w="2340"/>
            <w:shd w:fill="F0F2F5" w:color="auto" w:val="clear"/>
            <w:vAlign w:val="center"/>
          </w:tcPr>
          <w:p>
            <w:r>
              <w:rPr>
                <w:rFonts w:ascii="Arial" w:hAnsi="Arial"/>
                <w:sz w:val="20"/>
              </w:rPr>
              <w:t>$64,000</w:t>
            </w:r>
          </w:p>
        </w:tc>
      </w:tr>
      <w:tr>
        <w:tc>
          <w:tcPr>
            <w:tcW w:type="dxa" w:w="2340"/>
            <w:vAlign w:val="center"/>
          </w:tcPr>
          <w:p>
            <w:r>
              <w:rPr>
                <w:rFonts w:ascii="Arial" w:hAnsi="Arial"/>
                <w:sz w:val="20"/>
              </w:rPr>
              <w:t>Phase 2: Cloud Infrastructure Setup</w:t>
            </w:r>
          </w:p>
        </w:tc>
        <w:tc>
          <w:tcPr>
            <w:tcW w:type="dxa" w:w="2340"/>
            <w:vAlign w:val="center"/>
          </w:tcPr>
          <w:p>
            <w:r>
              <w:rPr>
                <w:rFonts w:ascii="Arial" w:hAnsi="Arial"/>
                <w:sz w:val="20"/>
              </w:rPr>
              <w:t>6 weeks</w:t>
            </w:r>
          </w:p>
        </w:tc>
        <w:tc>
          <w:tcPr>
            <w:tcW w:type="dxa" w:w="2340"/>
            <w:vAlign w:val="center"/>
          </w:tcPr>
          <w:p>
            <w:r>
              <w:rPr>
                <w:rFonts w:ascii="Arial" w:hAnsi="Arial"/>
                <w:sz w:val="20"/>
              </w:rPr>
              <w:t>10</w:t>
            </w:r>
          </w:p>
        </w:tc>
        <w:tc>
          <w:tcPr>
            <w:tcW w:type="dxa" w:w="2340"/>
            <w:vAlign w:val="center"/>
          </w:tcPr>
          <w:p>
            <w:r>
              <w:rPr>
                <w:rFonts w:ascii="Arial" w:hAnsi="Arial"/>
                <w:sz w:val="20"/>
              </w:rPr>
              <w:t>$104,000</w:t>
            </w:r>
          </w:p>
        </w:tc>
      </w:tr>
      <w:tr>
        <w:tc>
          <w:tcPr>
            <w:tcW w:type="dxa" w:w="2340"/>
            <w:shd w:fill="F0F2F5" w:color="auto" w:val="clear"/>
            <w:vAlign w:val="center"/>
          </w:tcPr>
          <w:p>
            <w:r>
              <w:rPr>
                <w:rFonts w:ascii="Arial" w:hAnsi="Arial"/>
                <w:sz w:val="20"/>
              </w:rPr>
              <w:t>Phase 3: Core Banking Platform Implementation</w:t>
            </w:r>
          </w:p>
        </w:tc>
        <w:tc>
          <w:tcPr>
            <w:tcW w:type="dxa" w:w="2340"/>
            <w:shd w:fill="F0F2F5" w:color="auto" w:val="clear"/>
            <w:vAlign w:val="center"/>
          </w:tcPr>
          <w:p>
            <w:r>
              <w:rPr>
                <w:rFonts w:ascii="Arial" w:hAnsi="Arial"/>
                <w:sz w:val="20"/>
              </w:rPr>
              <w:t>12 weeks</w:t>
            </w:r>
          </w:p>
        </w:tc>
        <w:tc>
          <w:tcPr>
            <w:tcW w:type="dxa" w:w="2340"/>
            <w:shd w:fill="F0F2F5" w:color="auto" w:val="clear"/>
            <w:vAlign w:val="center"/>
          </w:tcPr>
          <w:p>
            <w:r>
              <w:rPr>
                <w:rFonts w:ascii="Arial" w:hAnsi="Arial"/>
                <w:sz w:val="20"/>
              </w:rPr>
              <w:t>12</w:t>
            </w:r>
          </w:p>
        </w:tc>
        <w:tc>
          <w:tcPr>
            <w:tcW w:type="dxa" w:w="2340"/>
            <w:shd w:fill="F0F2F5" w:color="auto" w:val="clear"/>
            <w:vAlign w:val="center"/>
          </w:tcPr>
          <w:p>
            <w:r>
              <w:rPr>
                <w:rFonts w:ascii="Arial" w:hAnsi="Arial"/>
                <w:sz w:val="20"/>
              </w:rPr>
              <w:t>$208,000</w:t>
            </w:r>
          </w:p>
        </w:tc>
      </w:tr>
      <w:tr>
        <w:tc>
          <w:tcPr>
            <w:tcW w:type="dxa" w:w="2340"/>
            <w:vAlign w:val="center"/>
          </w:tcPr>
          <w:p>
            <w:r>
              <w:rPr>
                <w:rFonts w:ascii="Arial" w:hAnsi="Arial"/>
                <w:sz w:val="20"/>
              </w:rPr>
              <w:t>Phase 4: Integration and Testing</w:t>
            </w:r>
          </w:p>
        </w:tc>
        <w:tc>
          <w:tcPr>
            <w:tcW w:type="dxa" w:w="2340"/>
            <w:vAlign w:val="center"/>
          </w:tcPr>
          <w:p>
            <w:r>
              <w:rPr>
                <w:rFonts w:ascii="Arial" w:hAnsi="Arial"/>
                <w:sz w:val="20"/>
              </w:rPr>
              <w:t>8 weeks</w:t>
            </w:r>
          </w:p>
        </w:tc>
        <w:tc>
          <w:tcPr>
            <w:tcW w:type="dxa" w:w="2340"/>
            <w:vAlign w:val="center"/>
          </w:tcPr>
          <w:p>
            <w:r>
              <w:rPr>
                <w:rFonts w:ascii="Arial" w:hAnsi="Arial"/>
                <w:sz w:val="20"/>
              </w:rPr>
              <w:t>10</w:t>
            </w:r>
          </w:p>
        </w:tc>
        <w:tc>
          <w:tcPr>
            <w:tcW w:type="dxa" w:w="2340"/>
            <w:vAlign w:val="center"/>
          </w:tcPr>
          <w:p>
            <w:r>
              <w:rPr>
                <w:rFonts w:ascii="Arial" w:hAnsi="Arial"/>
                <w:sz w:val="20"/>
              </w:rPr>
              <w:t>$104,000</w:t>
            </w:r>
          </w:p>
        </w:tc>
      </w:tr>
      <w:tr>
        <w:tc>
          <w:tcPr>
            <w:tcW w:type="dxa" w:w="2340"/>
            <w:shd w:fill="F0F2F5" w:color="auto" w:val="clear"/>
            <w:vAlign w:val="center"/>
          </w:tcPr>
          <w:p>
            <w:r>
              <w:rPr>
                <w:rFonts w:ascii="Arial" w:hAnsi="Arial"/>
                <w:sz w:val="20"/>
              </w:rPr>
              <w:t>Phase 5: Deployment and UAT</w:t>
            </w:r>
          </w:p>
        </w:tc>
        <w:tc>
          <w:tcPr>
            <w:tcW w:type="dxa" w:w="2340"/>
            <w:shd w:fill="F0F2F5" w:color="auto" w:val="clear"/>
            <w:vAlign w:val="center"/>
          </w:tcPr>
          <w:p>
            <w:r>
              <w:rPr>
                <w:rFonts w:ascii="Arial" w:hAnsi="Arial"/>
                <w:sz w:val="20"/>
              </w:rPr>
              <w:t>4 weeks</w:t>
            </w:r>
          </w:p>
        </w:tc>
        <w:tc>
          <w:tcPr>
            <w:tcW w:type="dxa" w:w="2340"/>
            <w:shd w:fill="F0F2F5" w:color="auto" w:val="clear"/>
            <w:vAlign w:val="center"/>
          </w:tcPr>
          <w:p>
            <w:r>
              <w:rPr>
                <w:rFonts w:ascii="Arial" w:hAnsi="Arial"/>
                <w:sz w:val="20"/>
              </w:rPr>
              <w:t>8</w:t>
            </w:r>
          </w:p>
        </w:tc>
        <w:tc>
          <w:tcPr>
            <w:tcW w:type="dxa" w:w="2340"/>
            <w:shd w:fill="F0F2F5" w:color="auto" w:val="clear"/>
            <w:vAlign w:val="center"/>
          </w:tcPr>
          <w:p>
            <w:r>
              <w:rPr>
                <w:rFonts w:ascii="Arial" w:hAnsi="Arial"/>
                <w:sz w:val="20"/>
              </w:rPr>
              <w:t>$64,000</w:t>
            </w:r>
          </w:p>
        </w:tc>
      </w:tr>
      <w:tr>
        <w:tc>
          <w:tcPr>
            <w:tcW w:type="dxa" w:w="2340"/>
            <w:vAlign w:val="center"/>
          </w:tcPr>
          <w:p>
            <w:r>
              <w:rPr>
                <w:rFonts w:ascii="Arial" w:hAnsi="Arial"/>
                <w:sz w:val="20"/>
              </w:rPr>
              <w:t>Phase 6: Post-Implementation Support</w:t>
            </w:r>
          </w:p>
        </w:tc>
        <w:tc>
          <w:tcPr>
            <w:tcW w:type="dxa" w:w="2340"/>
            <w:vAlign w:val="center"/>
          </w:tcPr>
          <w:p>
            <w:r>
              <w:rPr>
                <w:rFonts w:ascii="Arial" w:hAnsi="Arial"/>
                <w:sz w:val="20"/>
              </w:rPr>
              <w:t>12 weeks</w:t>
            </w:r>
          </w:p>
        </w:tc>
        <w:tc>
          <w:tcPr>
            <w:tcW w:type="dxa" w:w="2340"/>
            <w:vAlign w:val="center"/>
          </w:tcPr>
          <w:p>
            <w:r>
              <w:rPr>
                <w:rFonts w:ascii="Arial" w:hAnsi="Arial"/>
                <w:sz w:val="20"/>
              </w:rPr>
              <w:t>8</w:t>
            </w:r>
          </w:p>
        </w:tc>
        <w:tc>
          <w:tcPr>
            <w:tcW w:type="dxa" w:w="2340"/>
            <w:vAlign w:val="center"/>
          </w:tcPr>
          <w:p>
            <w:r>
              <w:rPr>
                <w:rFonts w:ascii="Arial" w:hAnsi="Arial"/>
                <w:sz w:val="20"/>
              </w:rPr>
              <w:t>$128,000</w:t>
            </w:r>
          </w:p>
        </w:tc>
      </w:tr>
    </w:tbl>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00205B" w:color="auto" w:val="clear"/>
            <w:vAlign w:val="center"/>
          </w:tcPr>
          <w:p>
            <w:r>
              <w:rPr>
                <w:rFonts w:ascii="Arial" w:hAnsi="Arial"/>
                <w:b/>
                <w:color w:val="FFFFFF"/>
                <w:sz w:val="20"/>
              </w:rPr>
              <w:t>Milestone</w:t>
            </w:r>
          </w:p>
        </w:tc>
        <w:tc>
          <w:tcPr>
            <w:tcW w:type="dxa" w:w="3120"/>
            <w:shd w:fill="00205B" w:color="auto" w:val="clear"/>
            <w:vAlign w:val="center"/>
          </w:tcPr>
          <w:p>
            <w:r>
              <w:rPr>
                <w:rFonts w:ascii="Arial" w:hAnsi="Arial"/>
                <w:b/>
                <w:color w:val="FFFFFF"/>
                <w:sz w:val="20"/>
              </w:rPr>
              <w:t>%</w:t>
            </w:r>
          </w:p>
        </w:tc>
        <w:tc>
          <w:tcPr>
            <w:tcW w:type="dxa" w:w="3120"/>
            <w:shd w:fill="00205B" w:color="auto" w:val="clear"/>
            <w:vAlign w:val="center"/>
          </w:tcPr>
          <w:p>
            <w:r>
              <w:rPr>
                <w:rFonts w:ascii="Arial" w:hAnsi="Arial"/>
                <w:b/>
                <w:color w:val="FFFFFF"/>
                <w:sz w:val="20"/>
              </w:rPr>
              <w:t>Trigger</w:t>
            </w:r>
          </w:p>
        </w:tc>
      </w:tr>
      <w:tr>
        <w:tc>
          <w:tcPr>
            <w:tcW w:type="dxa" w:w="3120"/>
            <w:shd w:fill="F0F2F5" w:color="auto" w:val="clear"/>
            <w:vAlign w:val="center"/>
          </w:tcPr>
          <w:p>
            <w:r>
              <w:rPr>
                <w:rFonts w:ascii="Arial" w:hAnsi="Arial"/>
                <w:sz w:val="20"/>
              </w:rPr>
              <w:t>Milestone 1</w:t>
            </w:r>
          </w:p>
        </w:tc>
        <w:tc>
          <w:tcPr>
            <w:tcW w:type="dxa" w:w="3120"/>
            <w:shd w:fill="F0F2F5" w:color="auto" w:val="clear"/>
            <w:vAlign w:val="center"/>
          </w:tcPr>
          <w:p>
            <w:r>
              <w:rPr>
                <w:rFonts w:ascii="Arial" w:hAnsi="Arial"/>
                <w:sz w:val="20"/>
              </w:rPr>
              <w:t>20%</w:t>
            </w:r>
          </w:p>
        </w:tc>
        <w:tc>
          <w:tcPr>
            <w:tcW w:type="dxa" w:w="3120"/>
            <w:shd w:fill="F0F2F5" w:color="auto" w:val="clear"/>
            <w:vAlign w:val="center"/>
          </w:tcPr>
          <w:p>
            <w:r>
              <w:rPr>
                <w:rFonts w:ascii="Arial" w:hAnsi="Arial"/>
                <w:sz w:val="20"/>
              </w:rPr>
              <w:t>Completion of Phase 1</w:t>
            </w:r>
          </w:p>
        </w:tc>
      </w:tr>
      <w:tr>
        <w:tc>
          <w:tcPr>
            <w:tcW w:type="dxa" w:w="3120"/>
            <w:vAlign w:val="center"/>
          </w:tcPr>
          <w:p>
            <w:r>
              <w:rPr>
                <w:rFonts w:ascii="Arial" w:hAnsi="Arial"/>
                <w:sz w:val="20"/>
              </w:rPr>
              <w:t>Milestone 2</w:t>
            </w:r>
          </w:p>
        </w:tc>
        <w:tc>
          <w:tcPr>
            <w:tcW w:type="dxa" w:w="3120"/>
            <w:vAlign w:val="center"/>
          </w:tcPr>
          <w:p>
            <w:r>
              <w:rPr>
                <w:rFonts w:ascii="Arial" w:hAnsi="Arial"/>
                <w:sz w:val="20"/>
              </w:rPr>
              <w:t>30%</w:t>
            </w:r>
          </w:p>
        </w:tc>
        <w:tc>
          <w:tcPr>
            <w:tcW w:type="dxa" w:w="3120"/>
            <w:vAlign w:val="center"/>
          </w:tcPr>
          <w:p>
            <w:r>
              <w:rPr>
                <w:rFonts w:ascii="Arial" w:hAnsi="Arial"/>
                <w:sz w:val="20"/>
              </w:rPr>
              <w:t>Completion of Phase 2</w:t>
            </w:r>
          </w:p>
        </w:tc>
      </w:tr>
      <w:tr>
        <w:tc>
          <w:tcPr>
            <w:tcW w:type="dxa" w:w="3120"/>
            <w:shd w:fill="F0F2F5" w:color="auto" w:val="clear"/>
            <w:vAlign w:val="center"/>
          </w:tcPr>
          <w:p>
            <w:r>
              <w:rPr>
                <w:rFonts w:ascii="Arial" w:hAnsi="Arial"/>
                <w:sz w:val="20"/>
              </w:rPr>
              <w:t>Milestone 3</w:t>
            </w:r>
          </w:p>
        </w:tc>
        <w:tc>
          <w:tcPr>
            <w:tcW w:type="dxa" w:w="3120"/>
            <w:shd w:fill="F0F2F5" w:color="auto" w:val="clear"/>
            <w:vAlign w:val="center"/>
          </w:tcPr>
          <w:p>
            <w:r>
              <w:rPr>
                <w:rFonts w:ascii="Arial" w:hAnsi="Arial"/>
                <w:sz w:val="20"/>
              </w:rPr>
              <w:t>40%</w:t>
            </w:r>
          </w:p>
        </w:tc>
        <w:tc>
          <w:tcPr>
            <w:tcW w:type="dxa" w:w="3120"/>
            <w:shd w:fill="F0F2F5" w:color="auto" w:val="clear"/>
            <w:vAlign w:val="center"/>
          </w:tcPr>
          <w:p>
            <w:r>
              <w:rPr>
                <w:rFonts w:ascii="Arial" w:hAnsi="Arial"/>
                <w:sz w:val="20"/>
              </w:rPr>
              <w:t>Completion of Phase 3</w:t>
            </w:r>
          </w:p>
        </w:tc>
      </w:tr>
      <w:tr>
        <w:tc>
          <w:tcPr>
            <w:tcW w:type="dxa" w:w="3120"/>
            <w:vAlign w:val="center"/>
          </w:tcPr>
          <w:p>
            <w:r>
              <w:rPr>
                <w:rFonts w:ascii="Arial" w:hAnsi="Arial"/>
                <w:sz w:val="20"/>
              </w:rPr>
              <w:t>Milestone 4</w:t>
            </w:r>
          </w:p>
        </w:tc>
        <w:tc>
          <w:tcPr>
            <w:tcW w:type="dxa" w:w="3120"/>
            <w:vAlign w:val="center"/>
          </w:tcPr>
          <w:p>
            <w:r>
              <w:rPr>
                <w:rFonts w:ascii="Arial" w:hAnsi="Arial"/>
                <w:sz w:val="20"/>
              </w:rPr>
              <w:t>50%</w:t>
            </w:r>
          </w:p>
        </w:tc>
        <w:tc>
          <w:tcPr>
            <w:tcW w:type="dxa" w:w="3120"/>
            <w:vAlign w:val="center"/>
          </w:tcPr>
          <w:p>
            <w:r>
              <w:rPr>
                <w:rFonts w:ascii="Arial" w:hAnsi="Arial"/>
                <w:sz w:val="20"/>
              </w:rPr>
              <w:t>Completion of Phase 4</w:t>
            </w:r>
          </w:p>
        </w:tc>
      </w:tr>
      <w:tr>
        <w:tc>
          <w:tcPr>
            <w:tcW w:type="dxa" w:w="3120"/>
            <w:shd w:fill="F0F2F5" w:color="auto" w:val="clear"/>
            <w:vAlign w:val="center"/>
          </w:tcPr>
          <w:p>
            <w:r>
              <w:rPr>
                <w:rFonts w:ascii="Arial" w:hAnsi="Arial"/>
                <w:sz w:val="20"/>
              </w:rPr>
              <w:t>Milestone 5</w:t>
            </w:r>
          </w:p>
        </w:tc>
        <w:tc>
          <w:tcPr>
            <w:tcW w:type="dxa" w:w="3120"/>
            <w:shd w:fill="F0F2F5" w:color="auto" w:val="clear"/>
            <w:vAlign w:val="center"/>
          </w:tcPr>
          <w:p>
            <w:r>
              <w:rPr>
                <w:rFonts w:ascii="Arial" w:hAnsi="Arial"/>
                <w:sz w:val="20"/>
              </w:rPr>
              <w:t>60%</w:t>
            </w:r>
          </w:p>
        </w:tc>
        <w:tc>
          <w:tcPr>
            <w:tcW w:type="dxa" w:w="3120"/>
            <w:shd w:fill="F0F2F5" w:color="auto" w:val="clear"/>
            <w:vAlign w:val="center"/>
          </w:tcPr>
          <w:p>
            <w:r>
              <w:rPr>
                <w:rFonts w:ascii="Arial" w:hAnsi="Arial"/>
                <w:sz w:val="20"/>
              </w:rPr>
              <w:t>Completion of Phase 5</w:t>
            </w:r>
          </w:p>
        </w:tc>
      </w:tr>
      <w:tr>
        <w:tc>
          <w:tcPr>
            <w:tcW w:type="dxa" w:w="3120"/>
            <w:vAlign w:val="center"/>
          </w:tcPr>
          <w:p>
            <w:r>
              <w:rPr>
                <w:rFonts w:ascii="Arial" w:hAnsi="Arial"/>
                <w:sz w:val="20"/>
              </w:rPr>
              <w:t>Milestone 6</w:t>
            </w:r>
          </w:p>
        </w:tc>
        <w:tc>
          <w:tcPr>
            <w:tcW w:type="dxa" w:w="3120"/>
            <w:vAlign w:val="center"/>
          </w:tcPr>
          <w:p>
            <w:r>
              <w:rPr>
                <w:rFonts w:ascii="Arial" w:hAnsi="Arial"/>
                <w:sz w:val="20"/>
              </w:rPr>
              <w:t>80%</w:t>
            </w:r>
          </w:p>
        </w:tc>
        <w:tc>
          <w:tcPr>
            <w:tcW w:type="dxa" w:w="3120"/>
            <w:vAlign w:val="center"/>
          </w:tcPr>
          <w:p>
            <w:r>
              <w:rPr>
                <w:rFonts w:ascii="Arial" w:hAnsi="Arial"/>
                <w:sz w:val="20"/>
              </w:rPr>
              <w:t>Completion of Phase 6</w:t>
            </w:r>
          </w:p>
        </w:tc>
      </w:tr>
      <w:tr>
        <w:tc>
          <w:tcPr>
            <w:tcW w:type="dxa" w:w="3120"/>
            <w:shd w:fill="F0F2F5" w:color="auto" w:val="clear"/>
            <w:vAlign w:val="center"/>
          </w:tcPr>
          <w:p>
            <w:r>
              <w:rPr>
                <w:rFonts w:ascii="Arial" w:hAnsi="Arial"/>
                <w:sz w:val="20"/>
              </w:rPr>
              <w:t>Final Payment</w:t>
            </w:r>
          </w:p>
        </w:tc>
        <w:tc>
          <w:tcPr>
            <w:tcW w:type="dxa" w:w="3120"/>
            <w:shd w:fill="F0F2F5" w:color="auto" w:val="clear"/>
            <w:vAlign w:val="center"/>
          </w:tcPr>
          <w:p>
            <w:r>
              <w:rPr>
                <w:rFonts w:ascii="Arial" w:hAnsi="Arial"/>
                <w:sz w:val="20"/>
              </w:rPr>
              <w:t>100%</w:t>
            </w:r>
          </w:p>
        </w:tc>
        <w:tc>
          <w:tcPr>
            <w:tcW w:type="dxa" w:w="3120"/>
            <w:shd w:fill="F0F2F5" w:color="auto" w:val="clear"/>
            <w:vAlign w:val="center"/>
          </w:tcPr>
          <w:p>
            <w:r>
              <w:rPr>
                <w:rFonts w:ascii="Arial" w:hAnsi="Arial"/>
                <w:sz w:val="20"/>
              </w:rPr>
              <w:t>Successful completion of Phase 6 and post-implementation support</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6"/>
      </w:rPr>
      <w:t>Proprietary and Confidential  |  Prepared strictly for HDFC BANK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96969"/>
        <w:sz w:val="16"/>
      </w:rPr>
      <w:t>TECH MAHINDRA CONSULTING | HIGHLY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232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