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left"/>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techm_logo.jpg"/>
                    <pic:cNvPicPr/>
                  </pic:nvPicPr>
                  <pic:blipFill>
                    <a:blip r:embed="rId11"/>
                    <a:stretch>
                      <a:fillRect/>
                    </a:stretch>
                  </pic:blipFill>
                  <pic:spPr>
                    <a:xfrm>
                      <a:off x="0" y="0"/>
                      <a:ext cx="3200400" cy="3200400"/>
                    </a:xfrm>
                    <a:prstGeom prst="rect"/>
                  </pic:spPr>
                </pic:pic>
              </a:graphicData>
            </a:graphic>
          </wp:inline>
        </w:drawing>
      </w:r>
    </w:p>
    <w:p>
      <w:pPr>
        <w:jc w:val="left"/>
      </w:pPr>
      <w:r>
        <w:rPr>
          <w:rFonts w:ascii="Arial" w:hAnsi="Arial"/>
          <w:b/>
          <w:color w:val="00205B"/>
          <w:sz w:val="44"/>
        </w:rPr>
        <w:t>STRATEGIC CONSULTING</w:t>
      </w:r>
    </w:p>
    <w:p>
      <w:r>
        <w:br/>
        <w:br/>
        <w:br/>
      </w:r>
    </w:p>
    <w:p>
      <w:pPr>
        <w:jc w:val="left"/>
      </w:pPr>
      <w:r>
        <w:rPr>
          <w:b/>
          <w:color w:val="00205B"/>
          <w:sz w:val="52"/>
        </w:rPr>
        <w:t>Solution Proposal &amp; Strategic Blueprint</w:t>
      </w:r>
    </w:p>
    <w:p>
      <w:pPr>
        <w:jc w:val="left"/>
      </w:pPr>
      <w:r>
        <w:rPr>
          <w:color w:val="696969"/>
          <w:sz w:val="28"/>
        </w:rPr>
        <w:t>Prepared exclusively for: HDFC Bank</w:t>
      </w:r>
    </w:p>
    <w:p>
      <w:r>
        <w:br/>
        <w:br/>
        <w:br/>
        <w:br/>
        <w:br/>
        <w:br/>
      </w:r>
    </w:p>
    <w:p>
      <w:pPr>
        <w:jc w:val="left"/>
      </w:pPr>
      <w:r>
        <w:rPr>
          <w:b/>
          <w:color w:val="E31837"/>
          <w:sz w:val="24"/>
        </w:rPr>
        <w:t>STRICTLY CONFIDENTIAL</w:t>
      </w:r>
    </w:p>
    <w:p>
      <w:pPr>
        <w:jc w:val="left"/>
      </w:pPr>
      <w:r>
        <w:rPr>
          <w:color w:val="696969"/>
          <w:sz w:val="22"/>
        </w:rPr>
        <w:t>Date: 27 April 2026</w:t>
        <w:br/>
        <w:t>Version: 1.0 (Final Draft)</w:t>
      </w:r>
    </w:p>
    <w:p>
      <w:r>
        <w:br w:type="page"/>
      </w:r>
    </w:p>
    <w:p>
      <w:pPr>
        <w:pStyle w:val="Heading1"/>
        <w:pBdr>
          <w:bottom w:val="single" w:sz="16" w:space="1" w:color="E31837"/>
        </w:pBdr>
      </w:pPr>
      <w:r>
        <w:rPr>
          <w:rFonts w:ascii="Arial" w:hAnsi="Arial"/>
          <w:color w:val="00205B"/>
        </w:rPr>
        <w:t>Tech Mahindra – Solution Proposal for HDFC Bank</w:t>
      </w:r>
    </w:p>
    <w:p>
      <w:pPr>
        <w:pStyle w:val="Heading1"/>
        <w:pBdr>
          <w:bottom w:val="single" w:sz="16" w:space="1" w:color="E31837"/>
        </w:pBdr>
      </w:pPr>
      <w:r>
        <w:rPr>
          <w:rFonts w:ascii="Arial" w:hAnsi="Arial"/>
          <w:color w:val="00205B"/>
        </w:rPr>
        <w:t>1. Executive Summary</w:t>
      </w:r>
    </w:p>
    <w:p>
      <w:pPr>
        <w:pStyle w:val="ListBullet"/>
      </w:pPr>
      <w:r>
        <w:rPr>
          <w:sz w:val="22"/>
        </w:rPr>
        <w:t>We are pleased to submit this proposal for HDFC Bank's cloud-native core banking platform modernization project. Our team at Tech Mahindra has extensive experience in delivering large-scale banking transformation projects, and we are confident that our solution will address HDFC Bank's key challenges and deliver a seamless customer experience.</w:t>
      </w:r>
    </w:p>
    <w:p>
      <w:pPr>
        <w:pStyle w:val="ListBullet"/>
      </w:pPr>
      <w:r>
        <w:rPr>
          <w:sz w:val="22"/>
        </w:rPr>
        <w:t>Our proposed solution leverages Amazon Web Services (AWS) as the cloud provider and Temenos T24 or similar cloud-native core banking platform to ensure scalability, digital channel gaps, and RBI regulatory compliance. We will establish a long-term strategic technology partnership with HDFC Bank, ensuring a smooth transition and minimizing business disruption.</w:t>
      </w:r>
    </w:p>
    <w:p>
      <w:pPr>
        <w:pStyle w:val="ListBullet"/>
      </w:pPr>
      <w:r>
        <w:rPr>
          <w:sz w:val="22"/>
        </w:rPr>
        <w:t>Our team will work closely with HDFC Bank to design, develop, test, and deploy the new core banking system, ensuring a 99.999% system uptime SLA. We will also provide ongoing support and maintenance to ensure the continued success of the project.</w:t>
      </w:r>
    </w:p>
    <w:p>
      <w:pPr>
        <w:pStyle w:val="Heading1"/>
        <w:pBdr>
          <w:bottom w:val="single" w:sz="16" w:space="1" w:color="E31837"/>
        </w:pBdr>
      </w:pPr>
      <w:r>
        <w:rPr>
          <w:rFonts w:ascii="Arial" w:hAnsi="Arial"/>
          <w:color w:val="00205B"/>
        </w:rPr>
        <w:t>2. Understanding Your Challenge</w:t>
      </w:r>
    </w:p>
    <w:p>
      <w:pPr>
        <w:pStyle w:val="ListBullet"/>
      </w:pPr>
      <w:r>
        <w:rPr>
          <w:sz w:val="22"/>
        </w:rPr>
        <w:t>HDFC Bank is one of India's largest private sector banks, serving over 88 million customers through 8,700+ branches and 21,000+ ATMs. As a systemically important financial institution, HDFC Bank is subject to strict regulatory requirements, including RBI compliance. The bank's current core banking system (CBS) is outdated, and HDFC Bank is seeking to modernize its CBS by evaluating cloud-native core banking platforms.</w:t>
      </w:r>
    </w:p>
    <w:p>
      <w:pPr>
        <w:pStyle w:val="ListBullet"/>
      </w:pPr>
      <w:r>
        <w:rPr>
          <w:sz w:val="22"/>
        </w:rPr>
        <w:t>The key challenges facing HDFC Bank include:</w:t>
      </w:r>
    </w:p>
    <w:p>
      <w:pPr>
        <w:pStyle w:val="ListBullet"/>
      </w:pPr>
      <w:r>
        <w:rPr>
          <w:sz w:val="22"/>
        </w:rPr>
        <w:t>Evaluating cloud-native core banking platforms that meet RBI regulatory requirements</w:t>
      </w:r>
    </w:p>
    <w:p>
      <w:pPr>
        <w:pStyle w:val="ListBullet"/>
      </w:pPr>
      <w:r>
        <w:rPr>
          <w:sz w:val="22"/>
        </w:rPr>
        <w:t>Establishing a long-term strategic technology partnership to ensure a smooth transition</w:t>
      </w:r>
    </w:p>
    <w:p>
      <w:pPr>
        <w:pStyle w:val="ListBullet"/>
      </w:pPr>
      <w:r>
        <w:rPr>
          <w:sz w:val="22"/>
        </w:rPr>
        <w:t>Ensuring scalability and digital channel gaps to deliver a seamless customer experience</w:t>
      </w:r>
    </w:p>
    <w:p>
      <w:pPr>
        <w:pStyle w:val="ListBullet"/>
      </w:pPr>
      <w:r>
        <w:rPr>
          <w:sz w:val="22"/>
        </w:rPr>
        <w:t>Achieving a 99.999% system uptime SLA</w:t>
      </w:r>
    </w:p>
    <w:p>
      <w:pPr>
        <w:pStyle w:val="Heading1"/>
        <w:pBdr>
          <w:bottom w:val="single" w:sz="16" w:space="1" w:color="E31837"/>
        </w:pBdr>
      </w:pPr>
      <w:r>
        <w:rPr>
          <w:rFonts w:ascii="Arial" w:hAnsi="Arial"/>
          <w:color w:val="00205B"/>
        </w:rPr>
        <w:t>3. Our Proposed Solution</w:t>
      </w:r>
    </w:p>
    <w:p>
      <w:pPr>
        <w:pStyle w:val="ListBullet"/>
      </w:pPr>
      <w:r>
        <w:rPr>
          <w:sz w:val="22"/>
        </w:rPr>
        <w:t>Our proposed solution addresses HDFC Bank's key challenges by:</w:t>
      </w:r>
    </w:p>
    <w:p>
      <w:pPr>
        <w:pStyle w:val="ListBullet"/>
      </w:pPr>
      <w:r>
        <w:rPr>
          <w:sz w:val="22"/>
        </w:rPr>
        <w:t>Evaluating cloud-native core banking platforms that meet RBI regulatory requirements</w:t>
      </w:r>
    </w:p>
    <w:p>
      <w:pPr>
        <w:pStyle w:val="ListBullet"/>
      </w:pPr>
      <w:r>
        <w:rPr>
          <w:sz w:val="22"/>
        </w:rPr>
        <w:t>Establishing a long-term strategic technology partnership to ensure a smooth transition</w:t>
      </w:r>
    </w:p>
    <w:p>
      <w:pPr>
        <w:pStyle w:val="ListBullet"/>
      </w:pPr>
      <w:r>
        <w:rPr>
          <w:sz w:val="22"/>
        </w:rPr>
        <w:t>Ensuring scalability and digital channel gaps to deliver a seamless customer experience</w:t>
      </w:r>
    </w:p>
    <w:p>
      <w:pPr>
        <w:pStyle w:val="ListBullet"/>
      </w:pPr>
      <w:r>
        <w:rPr>
          <w:sz w:val="22"/>
        </w:rPr>
        <w:t>Achieving a 99.999% system uptime SLA</w:t>
      </w:r>
    </w:p>
    <w:p>
      <w:pPr>
        <w:pStyle w:val="ListBullet"/>
      </w:pPr>
      <w:r>
        <w:rPr>
          <w:sz w:val="22"/>
        </w:rPr>
        <w:t>Our solution will leverage Amazon Web Services (AWS) as the cloud provider and Temenos T24 or similar cloud-native core banking platform to ensure scalability, digital channel gaps, and RBI regulatory compliance. We will establish a long-term strategic technology partnership with HDFC Bank, ensuring a smooth transition and minimizing business disruption.</w:t>
      </w:r>
    </w:p>
    <w:p>
      <w:pPr>
        <w:pStyle w:val="Heading1"/>
        <w:pBdr>
          <w:bottom w:val="single" w:sz="16" w:space="1" w:color="E31837"/>
        </w:pBdr>
      </w:pPr>
      <w:r>
        <w:rPr>
          <w:rFonts w:ascii="Arial" w:hAnsi="Arial"/>
          <w:color w:val="00205B"/>
        </w:rPr>
        <w:t>4. Solution Architecture</w:t>
      </w:r>
    </w:p>
    <w:p>
      <w:pPr>
        <w:pStyle w:val="Heading1"/>
        <w:pBdr>
          <w:bottom w:val="single" w:sz="16" w:space="1" w:color="E31837"/>
        </w:pBdr>
      </w:pPr>
      <w:r>
        <w:rPr>
          <w:rFonts w:ascii="Arial" w:hAnsi="Arial"/>
          <w:color w:val="00205B"/>
        </w:rPr>
        <w:t>5. Team Structure &amp; Operating Model</w:t>
      </w:r>
    </w:p>
    <w:p>
      <w:pPr>
        <w:pStyle w:val="ListBullet"/>
      </w:pPr>
      <w:r>
        <w:rPr>
          <w:sz w:val="22"/>
        </w:rPr>
        <w:t>Our team will consist of the following members:</w:t>
      </w:r>
    </w:p>
    <w:p>
      <w:pPr>
        <w:pStyle w:val="ListBullet"/>
      </w:pPr>
      <w:r>
        <w:rPr>
          <w:sz w:val="22"/>
        </w:rPr>
        <w:t>Solution Architect: 1 onshore (India) member with 160 hours/month</w:t>
      </w:r>
    </w:p>
    <w:p>
      <w:pPr>
        <w:pStyle w:val="ListBullet"/>
      </w:pPr>
      <w:r>
        <w:rPr>
          <w:sz w:val="22"/>
        </w:rPr>
        <w:t>Technical Lead: 1 onshore (India) member with 160 hours/month</w:t>
      </w:r>
    </w:p>
    <w:p>
      <w:pPr>
        <w:pStyle w:val="ListBullet"/>
      </w:pPr>
      <w:r>
        <w:rPr>
          <w:sz w:val="22"/>
        </w:rPr>
        <w:t>DevOps Engineer: 2 offshore members with 160 hours/month each</w:t>
      </w:r>
    </w:p>
    <w:p>
      <w:pPr>
        <w:pStyle w:val="ListBullet"/>
      </w:pPr>
      <w:r>
        <w:rPr>
          <w:sz w:val="22"/>
        </w:rPr>
        <w:t>Our operating model will be a hybrid onshore/offshore model, with the Solution Architect and Technical Lead based in India and the DevOps Engineers based offshore.</w:t>
      </w:r>
    </w:p>
    <w:p>
      <w:pPr>
        <w:pStyle w:val="Heading1"/>
        <w:pBdr>
          <w:bottom w:val="single" w:sz="16" w:space="1" w:color="E31837"/>
        </w:pBdr>
      </w:pPr>
      <w:r>
        <w:rPr>
          <w:rFonts w:ascii="Arial" w:hAnsi="Arial"/>
          <w:color w:val="00205B"/>
        </w:rPr>
        <w:t>6. Delivery Roadmap</w:t>
      </w:r>
    </w:p>
    <w:p>
      <w:pPr>
        <w:pStyle w:val="ListBullet"/>
      </w:pPr>
      <w:r>
        <w:rPr>
          <w:sz w:val="22"/>
        </w:rPr>
        <w:t>Our delivery roadmap will consist of the following phases:</w:t>
      </w:r>
    </w:p>
    <w:p>
      <w:pPr>
        <w:pStyle w:val="ListBullet"/>
      </w:pPr>
      <w:r>
        <w:rPr>
          <w:sz w:val="22"/>
        </w:rPr>
        <w:t>Phase 1: Solution Design (2 months)</w:t>
      </w:r>
    </w:p>
    <w:p>
      <w:pPr>
        <w:pStyle w:val="ListBullet"/>
      </w:pPr>
      <w:r>
        <w:rPr>
          <w:sz w:val="22"/>
        </w:rPr>
        <w:t>Phase 2: Development (6 months)</w:t>
      </w:r>
    </w:p>
    <w:p>
      <w:pPr>
        <w:pStyle w:val="ListBullet"/>
      </w:pPr>
      <w:r>
        <w:rPr>
          <w:sz w:val="22"/>
        </w:rPr>
        <w:t>Phase 3: Testing &amp; Deployment (2 months)</w:t>
      </w:r>
    </w:p>
    <w:p>
      <w:pPr>
        <w:pStyle w:val="ListBullet"/>
      </w:pPr>
      <w:r>
        <w:rPr>
          <w:sz w:val="22"/>
        </w:rPr>
        <w:t>Our team will work closely with HDFC Bank to ensure a smooth transition and minimize business disruption.</w:t>
      </w:r>
    </w:p>
    <w:p>
      <w:pPr>
        <w:pStyle w:val="Heading1"/>
        <w:pBdr>
          <w:bottom w:val="single" w:sz="16" w:space="1" w:color="E31837"/>
        </w:pBdr>
      </w:pPr>
      <w:r>
        <w:rPr>
          <w:rFonts w:ascii="Arial" w:hAnsi="Arial"/>
          <w:color w:val="00205B"/>
        </w:rPr>
        <w:t>7. Commercial Summary</w:t>
      </w:r>
    </w:p>
    <w:p>
      <w:pPr>
        <w:pStyle w:val="ListBullet"/>
      </w:pPr>
      <w:r>
        <w:rPr>
          <w:sz w:val="22"/>
        </w:rPr>
        <w:t>Our commercial model is based on a rate card, with the following rates:</w:t>
      </w:r>
    </w:p>
    <w:p>
      <w:pPr>
        <w:pStyle w:val="ListBullet"/>
      </w:pPr>
      <w:r>
        <w:rPr>
          <w:sz w:val="22"/>
        </w:rPr>
        <w:t>Our total cost for the project will be $560,800, broken down into the following phases: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Solution Architect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 (India)</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$16,000</w:t>
            </w:r>
          </w:p>
        </w:tc>
      </w:tr>
      <w:tr>
        <w:tc>
          <w:tcPr>
            <w:tcW w:type="dxa" w:w="1560"/>
            <w:vAlign w:val="center"/>
          </w:tcPr>
          <w:p>
            <w:r>
              <w:rPr>
                <w:rFonts w:ascii="Arial" w:hAnsi="Arial"/>
                <w:sz w:val="20"/>
              </w:rPr>
              <w:t>Technical Lead</w:t>
            </w:r>
          </w:p>
        </w:tc>
        <w:tc>
          <w:tcPr>
            <w:tcW w:type="dxa" w:w="1560"/>
            <w:vAlign w:val="center"/>
          </w:tcPr>
          <w:p>
            <w:r>
              <w:rPr>
                <w:rFonts w:ascii="Arial" w:hAnsi="Arial"/>
                <w:sz w:val="20"/>
              </w:rPr>
              <w:t>1</w:t>
            </w:r>
          </w:p>
        </w:tc>
        <w:tc>
          <w:tcPr>
            <w:tcW w:type="dxa" w:w="1560"/>
            <w:vAlign w:val="center"/>
          </w:tcPr>
          <w:p>
            <w:r>
              <w:rPr>
                <w:rFonts w:ascii="Arial" w:hAnsi="Arial"/>
                <w:sz w:val="20"/>
              </w:rPr>
              <w:t>Onshore (India)</w:t>
            </w:r>
          </w:p>
        </w:tc>
        <w:tc>
          <w:tcPr>
            <w:tcW w:type="dxa" w:w="1560"/>
            <w:vAlign w:val="center"/>
          </w:tcPr>
          <w:p>
            <w:r>
              <w:rPr>
                <w:rFonts w:ascii="Arial" w:hAnsi="Arial"/>
                <w:sz w:val="20"/>
              </w:rPr>
              <w:t>160</w:t>
            </w:r>
          </w:p>
        </w:tc>
        <w:tc>
          <w:tcPr>
            <w:tcW w:type="dxa" w:w="1560"/>
            <w:vAlign w:val="center"/>
          </w:tcPr>
          <w:p>
            <w:r>
              <w:rPr>
                <w:rFonts w:ascii="Arial" w:hAnsi="Arial"/>
                <w:sz w:val="20"/>
              </w:rPr>
              <w:t>$100</w:t>
            </w:r>
          </w:p>
        </w:tc>
        <w:tc>
          <w:tcPr>
            <w:tcW w:type="dxa" w:w="1560"/>
            <w:vAlign w:val="center"/>
          </w:tcPr>
          <w:p>
            <w:r>
              <w:rPr>
                <w:rFonts w:ascii="Arial" w:hAnsi="Arial"/>
                <w:sz w:val="20"/>
              </w:rPr>
              <w:t>$16,000</w:t>
            </w:r>
          </w:p>
        </w:tc>
      </w:tr>
      <w:tr>
        <w:tc>
          <w:tcPr>
            <w:tcW w:type="dxa" w:w="1560"/>
            <w:shd w:fill="F0F2F5" w:color="auto" w:val="clear"/>
            <w:vAlign w:val="center"/>
          </w:tcPr>
          <w:p>
            <w:r>
              <w:rPr>
                <w:rFonts w:ascii="Arial" w:hAnsi="Arial"/>
                <w:sz w:val="20"/>
              </w:rPr>
              <w:t>DevOps Engineer</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$30</w:t>
            </w:r>
          </w:p>
        </w:tc>
        <w:tc>
          <w:tcPr>
            <w:tcW w:type="dxa" w:w="1560"/>
            <w:shd w:fill="F0F2F5" w:color="auto" w:val="clear"/>
            <w:vAlign w:val="center"/>
          </w:tcPr>
          <w:p>
            <w:r>
              <w:rPr>
                <w:rFonts w:ascii="Arial" w:hAnsi="Arial"/>
                <w:sz w:val="20"/>
              </w:rPr>
              <w:t>$9,600</w:t>
            </w:r>
          </w:p>
        </w:tc>
      </w:tr>
      <w:tr>
        <w:tc>
          <w:tcPr>
            <w:tcW w:type="dxa" w:w="1560"/>
            <w:vAlign w:val="center"/>
          </w:tcPr>
          <w:p>
            <w:r>
              <w:rPr>
                <w:rFonts w:ascii="Arial" w:hAnsi="Arial"/>
                <w:sz w:val="20"/>
              </w:rPr>
              <w:t>**Total**</w:t>
            </w:r>
          </w:p>
        </w:tc>
        <w:tc>
          <w:tcPr>
            <w:tcW w:type="dxa" w:w="1560"/>
            <w:vAlign w:val="center"/>
          </w:tcPr>
          <w:p>
            <w:r>
              <w:rPr>
                <w:rFonts w:ascii="Arial" w:hAnsi="Arial"/>
                <w:sz w:val="20"/>
              </w:rPr>
            </w:r>
          </w:p>
        </w:tc>
        <w:tc>
          <w:tcPr>
            <w:tcW w:type="dxa" w:w="1560"/>
            <w:vAlign w:val="center"/>
          </w:tcPr>
          <w:p>
            <w:r>
              <w:rPr>
                <w:rFonts w:ascii="Arial" w:hAnsi="Arial"/>
                <w:sz w:val="20"/>
              </w:rPr>
            </w:r>
          </w:p>
        </w:tc>
        <w:tc>
          <w:tcPr>
            <w:tcW w:type="dxa" w:w="1560"/>
            <w:vAlign w:val="center"/>
          </w:tcPr>
          <w:p>
            <w:r>
              <w:rPr>
                <w:rFonts w:ascii="Arial" w:hAnsi="Arial"/>
                <w:sz w:val="20"/>
              </w:rPr>
            </w:r>
          </w:p>
        </w:tc>
        <w:tc>
          <w:tcPr>
            <w:tcW w:type="dxa" w:w="1560"/>
            <w:vAlign w:val="center"/>
          </w:tcPr>
          <w:p>
            <w:r>
              <w:rPr>
                <w:rFonts w:ascii="Arial" w:hAnsi="Arial"/>
                <w:sz w:val="20"/>
              </w:rPr>
            </w:r>
          </w:p>
        </w:tc>
        <w:tc>
          <w:tcPr>
            <w:tcW w:type="dxa" w:w="1560"/>
            <w:vAlign w:val="center"/>
          </w:tcPr>
          <w:p>
            <w:r>
              <w:rPr>
                <w:rFonts w:ascii="Arial" w:hAnsi="Arial"/>
                <w:sz w:val="20"/>
              </w:rPr>
              <w:t>**$41,600**</w:t>
            </w:r>
          </w:p>
        </w:tc>
      </w:tr>
    </w:tbl>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00205B" w:color="auto" w:val="clear"/>
            <w:vAlign w:val="center"/>
          </w:tcPr>
          <w:p>
            <w:r>
              <w:rPr>
                <w:rFonts w:ascii="Arial" w:hAnsi="Arial"/>
                <w:b/>
                <w:color w:val="FFFFFF"/>
                <w:sz w:val="20"/>
              </w:rPr>
              <w:t>Phase</w:t>
            </w:r>
          </w:p>
        </w:tc>
        <w:tc>
          <w:tcPr>
            <w:tcW w:type="dxa" w:w="2340"/>
            <w:shd w:fill="00205B" w:color="auto" w:val="clear"/>
            <w:vAlign w:val="center"/>
          </w:tcPr>
          <w:p>
            <w:r>
              <w:rPr>
                <w:rFonts w:ascii="Arial" w:hAnsi="Arial"/>
                <w:b/>
                <w:color w:val="FFFFFF"/>
                <w:sz w:val="20"/>
              </w:rPr>
              <w:t>Duration</w:t>
            </w:r>
          </w:p>
        </w:tc>
        <w:tc>
          <w:tcPr>
            <w:tcW w:type="dxa" w:w="2340"/>
            <w:shd w:fill="00205B" w:color="auto" w:val="clear"/>
            <w:vAlign w:val="center"/>
          </w:tcPr>
          <w:p>
            <w:r>
              <w:rPr>
                <w:rFonts w:ascii="Arial" w:hAnsi="Arial"/>
                <w:b/>
                <w:color w:val="FFFFFF"/>
                <w:sz w:val="20"/>
              </w:rPr>
              <w:t>Team Size</w:t>
            </w:r>
          </w:p>
        </w:tc>
        <w:tc>
          <w:tcPr>
            <w:tcW w:type="dxa" w:w="2340"/>
            <w:shd w:fill="00205B" w:color="auto" w:val="clear"/>
            <w:vAlign w:val="center"/>
          </w:tcPr>
          <w:p>
            <w:r>
              <w:rPr>
                <w:rFonts w:ascii="Arial" w:hAnsi="Arial"/>
                <w:b/>
                <w:color w:val="FFFFFF"/>
                <w:sz w:val="20"/>
              </w:rPr>
              <w:t>Total Cost</w:t>
            </w:r>
          </w:p>
        </w:tc>
      </w:tr>
      <w:tr>
        <w:tc>
          <w:tcPr>
            <w:tcW w:type="dxa" w:w="2340"/>
            <w:shd w:fill="F0F2F5" w:color="auto" w:val="clear"/>
            <w:vAlign w:val="center"/>
          </w:tcPr>
          <w:p>
            <w:r>
              <w:rPr>
                <w:rFonts w:ascii="Arial" w:hAnsi="Arial"/>
                <w:sz w:val="20"/>
              </w:rPr>
              <w:t>Phase 1: Solution Design</w:t>
            </w:r>
          </w:p>
        </w:tc>
        <w:tc>
          <w:tcPr>
            <w:tcW w:type="dxa" w:w="2340"/>
            <w:shd w:fill="F0F2F5" w:color="auto" w:val="clear"/>
            <w:vAlign w:val="center"/>
          </w:tcPr>
          <w:p>
            <w:r>
              <w:rPr>
                <w:rFonts w:ascii="Arial" w:hAnsi="Arial"/>
                <w:sz w:val="20"/>
              </w:rPr>
              <w:t>2 months</w:t>
            </w:r>
          </w:p>
        </w:tc>
        <w:tc>
          <w:tcPr>
            <w:tcW w:type="dxa" w:w="2340"/>
            <w:shd w:fill="F0F2F5" w:color="auto" w:val="clear"/>
            <w:vAlign w:val="center"/>
          </w:tcPr>
          <w:p>
            <w:r>
              <w:rPr>
                <w:rFonts w:ascii="Arial" w:hAnsi="Arial"/>
                <w:sz w:val="20"/>
              </w:rPr>
              <w:t>3</w:t>
            </w:r>
          </w:p>
        </w:tc>
        <w:tc>
          <w:tcPr>
            <w:tcW w:type="dxa" w:w="2340"/>
            <w:shd w:fill="F0F2F5" w:color="auto" w:val="clear"/>
            <w:vAlign w:val="center"/>
          </w:tcPr>
          <w:p>
            <w:r>
              <w:rPr>
                <w:rFonts w:ascii="Arial" w:hAnsi="Arial"/>
                <w:sz w:val="20"/>
              </w:rPr>
              <w:t>$124,800</w:t>
            </w:r>
          </w:p>
        </w:tc>
      </w:tr>
      <w:tr>
        <w:tc>
          <w:tcPr>
            <w:tcW w:type="dxa" w:w="2340"/>
            <w:vAlign w:val="center"/>
          </w:tcPr>
          <w:p>
            <w:r>
              <w:rPr>
                <w:rFonts w:ascii="Arial" w:hAnsi="Arial"/>
                <w:sz w:val="20"/>
              </w:rPr>
              <w:t>Phase 2: Development</w:t>
            </w:r>
          </w:p>
        </w:tc>
        <w:tc>
          <w:tcPr>
            <w:tcW w:type="dxa" w:w="2340"/>
            <w:vAlign w:val="center"/>
          </w:tcPr>
          <w:p>
            <w:r>
              <w:rPr>
                <w:rFonts w:ascii="Arial" w:hAnsi="Arial"/>
                <w:sz w:val="20"/>
              </w:rPr>
              <w:t>6 months</w:t>
            </w:r>
          </w:p>
        </w:tc>
        <w:tc>
          <w:tcPr>
            <w:tcW w:type="dxa" w:w="2340"/>
            <w:vAlign w:val="center"/>
          </w:tcPr>
          <w:p>
            <w:r>
              <w:rPr>
                <w:rFonts w:ascii="Arial" w:hAnsi="Arial"/>
                <w:sz w:val="20"/>
              </w:rPr>
              <w:t>4</w:t>
            </w:r>
          </w:p>
        </w:tc>
        <w:tc>
          <w:tcPr>
            <w:tcW w:type="dxa" w:w="2340"/>
            <w:vAlign w:val="center"/>
          </w:tcPr>
          <w:p>
            <w:r>
              <w:rPr>
                <w:rFonts w:ascii="Arial" w:hAnsi="Arial"/>
                <w:sz w:val="20"/>
              </w:rPr>
              <w:t>$311,200</w:t>
            </w:r>
          </w:p>
        </w:tc>
      </w:tr>
      <w:tr>
        <w:tc>
          <w:tcPr>
            <w:tcW w:type="dxa" w:w="2340"/>
            <w:shd w:fill="F0F2F5" w:color="auto" w:val="clear"/>
            <w:vAlign w:val="center"/>
          </w:tcPr>
          <w:p>
            <w:r>
              <w:rPr>
                <w:rFonts w:ascii="Arial" w:hAnsi="Arial"/>
                <w:sz w:val="20"/>
              </w:rPr>
              <w:t>Phase 3: Testing &amp; Deployment</w:t>
            </w:r>
          </w:p>
        </w:tc>
        <w:tc>
          <w:tcPr>
            <w:tcW w:type="dxa" w:w="2340"/>
            <w:shd w:fill="F0F2F5" w:color="auto" w:val="clear"/>
            <w:vAlign w:val="center"/>
          </w:tcPr>
          <w:p>
            <w:r>
              <w:rPr>
                <w:rFonts w:ascii="Arial" w:hAnsi="Arial"/>
                <w:sz w:val="20"/>
              </w:rPr>
              <w:t>2 months</w:t>
            </w:r>
          </w:p>
        </w:tc>
        <w:tc>
          <w:tcPr>
            <w:tcW w:type="dxa" w:w="2340"/>
            <w:shd w:fill="F0F2F5" w:color="auto" w:val="clear"/>
            <w:vAlign w:val="center"/>
          </w:tcPr>
          <w:p>
            <w:r>
              <w:rPr>
                <w:rFonts w:ascii="Arial" w:hAnsi="Arial"/>
                <w:sz w:val="20"/>
              </w:rPr>
              <w:t>3</w:t>
            </w:r>
          </w:p>
        </w:tc>
        <w:tc>
          <w:tcPr>
            <w:tcW w:type="dxa" w:w="2340"/>
            <w:shd w:fill="F0F2F5" w:color="auto" w:val="clear"/>
            <w:vAlign w:val="center"/>
          </w:tcPr>
          <w:p>
            <w:r>
              <w:rPr>
                <w:rFonts w:ascii="Arial" w:hAnsi="Arial"/>
                <w:sz w:val="20"/>
              </w:rPr>
              <w:t>$124,800</w:t>
            </w:r>
          </w:p>
        </w:tc>
      </w:tr>
      <w:tr>
        <w:tc>
          <w:tcPr>
            <w:tcW w:type="dxa" w:w="2340"/>
            <w:vAlign w:val="center"/>
          </w:tcPr>
          <w:p>
            <w:r>
              <w:rPr>
                <w:rFonts w:ascii="Arial" w:hAnsi="Arial"/>
                <w:sz w:val="20"/>
              </w:rPr>
              <w:t>**Total**</w:t>
            </w:r>
          </w:p>
        </w:tc>
        <w:tc>
          <w:tcPr>
            <w:tcW w:type="dxa" w:w="2340"/>
            <w:vAlign w:val="center"/>
          </w:tcPr>
          <w:p>
            <w:r>
              <w:rPr>
                <w:rFonts w:ascii="Arial" w:hAnsi="Arial"/>
                <w:sz w:val="20"/>
              </w:rPr>
            </w:r>
          </w:p>
        </w:tc>
        <w:tc>
          <w:tcPr>
            <w:tcW w:type="dxa" w:w="2340"/>
            <w:vAlign w:val="center"/>
          </w:tcPr>
          <w:p>
            <w:r>
              <w:rPr>
                <w:rFonts w:ascii="Arial" w:hAnsi="Arial"/>
                <w:sz w:val="20"/>
              </w:rPr>
            </w:r>
          </w:p>
        </w:tc>
        <w:tc>
          <w:tcPr>
            <w:tcW w:type="dxa" w:w="2340"/>
            <w:vAlign w:val="center"/>
          </w:tcPr>
          <w:p>
            <w:r>
              <w:rPr>
                <w:rFonts w:ascii="Arial" w:hAnsi="Arial"/>
                <w:sz w:val="20"/>
              </w:rPr>
              <w:t>**$560,800**</w:t>
            </w:r>
          </w:p>
        </w:tc>
      </w:tr>
    </w:tbl>
    <w:p/>
    <w:p>
      <w:pPr>
        <w:pStyle w:val="Heading1"/>
        <w:pBdr>
          <w:bottom w:val="single" w:sz="16" w:space="1" w:color="E31837"/>
        </w:pBdr>
      </w:pPr>
      <w:r>
        <w:rPr>
          <w:rFonts w:ascii="Arial" w:hAnsi="Arial"/>
          <w:color w:val="00205B"/>
        </w:rPr>
        <w:t>8. Why Tech Mahindra?</w:t>
      </w:r>
    </w:p>
    <w:p>
      <w:pPr>
        <w:pStyle w:val="ListBullet"/>
      </w:pPr>
      <w:r>
        <w:rPr>
          <w:sz w:val="22"/>
        </w:rPr>
        <w:t>We believe that our solution will address HDFC Bank's key challenges and deliver a seamless customer experience. Our team has extensive experience in delivering large-scale banking transformation projects, and we are confident that our solution will meet HDFC Bank's requirements.</w:t>
      </w:r>
    </w:p>
    <w:p>
      <w:pPr>
        <w:pStyle w:val="ListBullet"/>
      </w:pPr>
      <w:r>
        <w:rPr>
          <w:sz w:val="22"/>
        </w:rPr>
        <w:t>Our differentiators include:</w:t>
      </w:r>
    </w:p>
    <w:p>
      <w:pPr>
        <w:pStyle w:val="ListBullet"/>
      </w:pPr>
      <w:r>
        <w:rPr>
          <w:sz w:val="22"/>
        </w:rPr>
        <w:t>Our team's extensive experience in delivering large-scale banking transformation projects</w:t>
      </w:r>
    </w:p>
    <w:p>
      <w:pPr>
        <w:pStyle w:val="ListBullet"/>
      </w:pPr>
      <w:r>
        <w:rPr>
          <w:sz w:val="22"/>
        </w:rPr>
        <w:t>Our ability to establish a long-term strategic technology partnership with HDFC Bank</w:t>
      </w:r>
    </w:p>
    <w:p>
      <w:pPr>
        <w:pStyle w:val="ListBullet"/>
      </w:pPr>
      <w:r>
        <w:rPr>
          <w:sz w:val="22"/>
        </w:rPr>
        <w:t>Our commitment to ensuring RBI regulatory compliance and a 99.999% system uptime SLA</w:t>
      </w:r>
    </w:p>
    <w:p>
      <w:pPr>
        <w:pStyle w:val="Heading1"/>
        <w:pBdr>
          <w:bottom w:val="single" w:sz="16" w:space="1" w:color="E31837"/>
        </w:pBdr>
      </w:pPr>
      <w:r>
        <w:rPr>
          <w:rFonts w:ascii="Arial" w:hAnsi="Arial"/>
          <w:color w:val="00205B"/>
        </w:rPr>
        <w:t>9. Next Steps</w:t>
      </w:r>
    </w:p>
    <w:p>
      <w:pPr>
        <w:pStyle w:val="ListBullet"/>
      </w:pPr>
      <w:r>
        <w:rPr>
          <w:sz w:val="22"/>
        </w:rPr>
        <w:t>We believe that our solution will address HDFC Bank's key challenges and deliver a seamless customer experience. We would like to propose the following next steps:</w:t>
      </w:r>
    </w:p>
    <w:p>
      <w:pPr>
        <w:pStyle w:val="ListBullet"/>
      </w:pPr>
      <w:r>
        <w:rPr>
          <w:sz w:val="22"/>
        </w:rPr>
        <w:t>Conduct a detailed requirements analysis to ensure that our solution meets HDFC Bank's requirements</w:t>
      </w:r>
    </w:p>
    <w:p>
      <w:pPr>
        <w:pStyle w:val="ListBullet"/>
      </w:pPr>
      <w:r>
        <w:rPr>
          <w:sz w:val="22"/>
        </w:rPr>
        <w:t>Establish a project team to work closely with HDFC Bank to design, develop, test, and deploy the new core banking system</w:t>
      </w:r>
    </w:p>
    <w:p>
      <w:pPr>
        <w:pStyle w:val="ListBullet"/>
      </w:pPr>
      <w:r>
        <w:rPr>
          <w:sz w:val="22"/>
        </w:rPr>
        <w:t>Develop a detailed project plan and timeline to ensure a smooth transition and minimize business disruption</w:t>
      </w:r>
    </w:p>
    <w:p>
      <w:pPr>
        <w:pStyle w:val="ListBullet"/>
      </w:pPr>
      <w:r>
        <w:rPr>
          <w:sz w:val="22"/>
        </w:rPr>
        <w:t>We look forward to the opportunity to work with HDFC Bank and deliver a successful project.</w:t>
      </w:r>
    </w:p>
    <w:p>
      <w:r>
        <w:br w:type="page"/>
      </w:r>
    </w:p>
    <w:p>
      <w:pPr>
        <w:pStyle w:val="Heading1"/>
        <w:pBdr>
          <w:bottom w:val="single" w:sz="16" w:space="1" w:color="E31837"/>
        </w:pBdr>
      </w:pPr>
      <w:r>
        <w:rPr>
          <w:rFonts w:ascii="Arial" w:hAnsi="Arial"/>
          <w:color w:val="696969"/>
        </w:rPr>
        <w:t>Appendix: Detailed Diagnostic Analysis</w:t>
      </w:r>
    </w:p>
    <w:p>
      <w:pPr>
        <w:pStyle w:val="Heading2"/>
      </w:pPr>
      <w:r>
        <w:rPr>
          <w:rFonts w:ascii="Arial" w:hAnsi="Arial"/>
          <w:color w:val="00205B"/>
        </w:rPr>
        <w:t>Requirements Analysis</w:t>
      </w:r>
    </w:p>
    <w:p>
      <w:pPr>
        <w:pStyle w:val="ListBullet"/>
      </w:pPr>
      <w:r>
        <w:rPr>
          <w:sz w:val="20"/>
        </w:rPr>
        <w:t>Client Background</w:t>
      </w:r>
    </w:p>
    <w:p>
      <w:pPr>
        <w:pStyle w:val="ListBullet"/>
      </w:pPr>
      <w:r>
        <w:rPr>
          <w:sz w:val="20"/>
        </w:rPr>
        <w:t>HDFC Bank Overview</w:t>
      </w:r>
    </w:p>
    <w:p>
      <w:pPr>
        <w:pStyle w:val="ListBullet"/>
      </w:pPr>
      <w:r>
        <w:rPr>
          <w:sz w:val="20"/>
        </w:rPr>
        <w:t>HDFC Bank Limited is India's largest private sector bank by assets, headquartered in Mumbai, Maharashtra.</w:t>
      </w:r>
    </w:p>
    <w:p>
      <w:pPr>
        <w:pStyle w:val="ListBullet"/>
      </w:pPr>
      <w:r>
        <w:rPr>
          <w:sz w:val="20"/>
        </w:rPr>
        <w:t>Established in 1994, the bank serves over 88 million customers through 8,700+ branches and 21,000+ ATMs across India.</w:t>
      </w:r>
    </w:p>
    <w:p>
      <w:pPr>
        <w:pStyle w:val="ListBullet"/>
      </w:pPr>
      <w:r>
        <w:rPr>
          <w:sz w:val="20"/>
        </w:rPr>
        <w:t>Balance Sheet size exceeding ₹35 trillion and a market capitalisation of ~₹12 trillion.</w:t>
      </w:r>
    </w:p>
    <w:p>
      <w:pPr>
        <w:pStyle w:val="ListBullet"/>
      </w:pPr>
      <w:r>
        <w:rPr>
          <w:sz w:val="20"/>
        </w:rPr>
        <w:t>Systemically important financial institution regulated by the Reserve Bank of India (RBI).</w:t>
      </w:r>
    </w:p>
    <w:p>
      <w:pPr>
        <w:pStyle w:val="ListBullet"/>
      </w:pPr>
      <w:r>
        <w:rPr>
          <w:sz w:val="20"/>
        </w:rPr>
        <w:t>Key Requirements (functional &amp; non-functional)</w:t>
      </w:r>
    </w:p>
    <w:p>
      <w:pPr>
        <w:pStyle w:val="ListBullet"/>
      </w:pPr>
      <w:r>
        <w:rPr>
          <w:sz w:val="20"/>
        </w:rPr>
        <w:t>Functional Requirements:</w:t>
      </w:r>
    </w:p>
    <w:p>
      <w:pPr>
        <w:pStyle w:val="ListBullet"/>
      </w:pPr>
      <w:r>
        <w:rPr>
          <w:sz w:val="20"/>
        </w:rPr>
        <w:t>+ Evaluate cloud-native core banking platforms.</w:t>
      </w:r>
    </w:p>
    <w:p>
      <w:pPr>
        <w:pStyle w:val="ListBullet"/>
      </w:pPr>
      <w:r>
        <w:rPr>
          <w:sz w:val="20"/>
        </w:rPr>
        <w:t>+ Establish a long-term strategic technology partnership.</w:t>
      </w:r>
    </w:p>
    <w:p>
      <w:pPr>
        <w:pStyle w:val="ListBullet"/>
      </w:pPr>
      <w:r>
        <w:rPr>
          <w:sz w:val="20"/>
        </w:rPr>
        <w:t>+ Ensure RBI regulatory compliance post-upgrade.</w:t>
      </w:r>
    </w:p>
    <w:p>
      <w:pPr>
        <w:pStyle w:val="ListBullet"/>
      </w:pPr>
      <w:r>
        <w:rPr>
          <w:sz w:val="20"/>
        </w:rPr>
        <w:t>+ Achieve 99.999% system uptime SLA.</w:t>
      </w:r>
    </w:p>
    <w:p>
      <w:pPr>
        <w:pStyle w:val="ListBullet"/>
      </w:pPr>
      <w:r>
        <w:rPr>
          <w:sz w:val="20"/>
        </w:rPr>
        <w:t>Non-Functional Requirements:</w:t>
      </w:r>
    </w:p>
    <w:p>
      <w:pPr>
        <w:pStyle w:val="ListBullet"/>
      </w:pPr>
      <w:r>
        <w:rPr>
          <w:sz w:val="20"/>
        </w:rPr>
        <w:t>+ Scalability: support 10M+ daily transactions during peak loads.</w:t>
      </w:r>
    </w:p>
    <w:p>
      <w:pPr>
        <w:pStyle w:val="ListBullet"/>
      </w:pPr>
      <w:r>
        <w:rPr>
          <w:sz w:val="20"/>
        </w:rPr>
        <w:t>+ Digital Channel Gaps: address gaps in digital channels.</w:t>
      </w:r>
    </w:p>
    <w:p>
      <w:pPr>
        <w:pStyle w:val="ListBullet"/>
      </w:pPr>
      <w:r>
        <w:rPr>
          <w:sz w:val="20"/>
        </w:rPr>
        <w:t>Scope of Work</w:t>
      </w:r>
    </w:p>
    <w:p>
      <w:pPr>
        <w:pStyle w:val="ListBullet"/>
      </w:pPr>
      <w:r>
        <w:rPr>
          <w:sz w:val="20"/>
        </w:rPr>
        <w:t>The scope of work includes:</w:t>
      </w:r>
    </w:p>
    <w:p>
      <w:pPr>
        <w:pStyle w:val="ListBullet"/>
      </w:pPr>
      <w:r>
        <w:rPr>
          <w:sz w:val="20"/>
        </w:rPr>
        <w:t>+ Soliciting qualified technology vendors for CBS modernization.</w:t>
      </w:r>
    </w:p>
    <w:p>
      <w:pPr>
        <w:pStyle w:val="ListBullet"/>
      </w:pPr>
      <w:r>
        <w:rPr>
          <w:sz w:val="20"/>
        </w:rPr>
        <w:t>+ Evaluating cloud-native core banking platforms.</w:t>
      </w:r>
    </w:p>
    <w:p>
      <w:pPr>
        <w:pStyle w:val="ListBullet"/>
      </w:pPr>
      <w:r>
        <w:rPr>
          <w:sz w:val="20"/>
        </w:rPr>
        <w:t>+ Establishing a long-term strategic technology partnership.</w:t>
      </w:r>
    </w:p>
    <w:p>
      <w:pPr>
        <w:pStyle w:val="ListBullet"/>
      </w:pPr>
      <w:r>
        <w:rPr>
          <w:sz w:val="20"/>
        </w:rPr>
        <w:t>+ Ensuring RBI regulatory compliance post-upgrade.</w:t>
      </w:r>
    </w:p>
    <w:p>
      <w:pPr>
        <w:pStyle w:val="ListBullet"/>
      </w:pPr>
      <w:r>
        <w:rPr>
          <w:sz w:val="20"/>
        </w:rPr>
        <w:t>+ Achieving 99.999% system uptime SLA.</w:t>
      </w:r>
    </w:p>
    <w:p>
      <w:pPr>
        <w:pStyle w:val="ListBullet"/>
      </w:pPr>
      <w:r>
        <w:rPr>
          <w:sz w:val="20"/>
        </w:rPr>
        <w:t>+ Addressing scalability and digital channel gaps.</w:t>
      </w:r>
    </w:p>
    <w:p>
      <w:pPr>
        <w:pStyle w:val="ListBullet"/>
      </w:pPr>
      <w:r>
        <w:rPr>
          <w:sz w:val="20"/>
        </w:rPr>
        <w:t>Evaluation Criteria</w:t>
      </w:r>
    </w:p>
    <w:p>
      <w:pPr>
        <w:pStyle w:val="ListBullet"/>
      </w:pPr>
      <w:r>
        <w:rPr>
          <w:sz w:val="20"/>
        </w:rPr>
        <w:t>The evaluation framework will assess vendors based on:</w:t>
      </w:r>
    </w:p>
    <w:p>
      <w:pPr>
        <w:pStyle w:val="Heading2"/>
      </w:pPr>
      <w:r>
        <w:rPr>
          <w:rFonts w:ascii="Arial" w:hAnsi="Arial"/>
          <w:color w:val="00205B"/>
        </w:rPr>
        <w:t>Architecture Blueprint</w:t>
      </w:r>
    </w:p>
    <w:p>
      <w:pPr>
        <w:pStyle w:val="ListBullet"/>
      </w:pPr>
      <w:r>
        <w:rPr>
          <w:sz w:val="20"/>
        </w:rPr>
        <w:t>Solution Overview</w:t>
      </w:r>
    </w:p>
    <w:p>
      <w:pPr>
        <w:pStyle w:val="ListBullet"/>
      </w:pPr>
      <w:r>
        <w:rPr>
          <w:sz w:val="20"/>
        </w:rPr>
        <w:t>Cloud-Native Core Banking Platform Modernization</w:t>
      </w:r>
    </w:p>
    <w:p>
      <w:pPr>
        <w:pStyle w:val="ListBullet"/>
      </w:pPr>
      <w:r>
        <w:rPr>
          <w:sz w:val="20"/>
        </w:rPr>
        <w:t>HDFC Bank aims to modernize its core banking system (CBS) by evaluating cloud-native core banking platforms, establishing a long-term strategic technology partnership, ensuring RBI regulatory compliance, and achieving 99.999% system uptime SLA. Our solution will address scalability and digital channel gaps, ensuring seamless customer experience.</w:t>
      </w:r>
    </w:p>
    <w:p>
      <w:pPr>
        <w:pStyle w:val="ListBullet"/>
      </w:pPr>
      <w:r>
        <w:rPr>
          <w:sz w:val="20"/>
        </w:rPr>
        <w:t>Technology Stack</w:t>
      </w:r>
    </w:p>
    <w:p>
      <w:pPr>
        <w:pStyle w:val="ListBullet"/>
      </w:pPr>
      <w:r>
        <w:rPr>
          <w:sz w:val="20"/>
        </w:rPr>
        <w:t>Cloud-Native Core Banking Platforms</w:t>
      </w:r>
    </w:p>
    <w:p>
      <w:pPr>
        <w:pStyle w:val="ListBullet"/>
      </w:pPr>
      <w:r>
        <w:rPr>
          <w:sz w:val="20"/>
        </w:rPr>
        <w:t>Cloud Provider: Amazon Web Services (AWS)</w:t>
      </w:r>
    </w:p>
    <w:p>
      <w:pPr>
        <w:pStyle w:val="ListBullet"/>
      </w:pPr>
      <w:r>
        <w:rPr>
          <w:sz w:val="20"/>
        </w:rPr>
        <w:t>Core Banking Platform: Temenos T24 or similar cloud-native core banking platform</w:t>
      </w:r>
    </w:p>
    <w:p>
      <w:pPr>
        <w:pStyle w:val="ListBullet"/>
      </w:pPr>
      <w:r>
        <w:rPr>
          <w:sz w:val="20"/>
        </w:rPr>
        <w:t>Integration Layer: API Gateway (AWS API Gateway) and Microservices Architecture</w:t>
      </w:r>
    </w:p>
    <w:p>
      <w:pPr>
        <w:pStyle w:val="ListBullet"/>
      </w:pPr>
      <w:r>
        <w:rPr>
          <w:sz w:val="20"/>
        </w:rPr>
        <w:t>Analytics &amp; AI: Amazon SageMaker and Amazon QuickSight</w:t>
      </w:r>
    </w:p>
    <w:p>
      <w:pPr>
        <w:pStyle w:val="ListBullet"/>
      </w:pPr>
      <w:r>
        <w:rPr>
          <w:sz w:val="20"/>
        </w:rPr>
        <w:t>Reporting &amp; Dashboards: Tableau and Power BI</w:t>
      </w:r>
    </w:p>
    <w:p>
      <w:pPr>
        <w:pStyle w:val="ListBullet"/>
      </w:pPr>
      <w:r>
        <w:rPr>
          <w:sz w:val="20"/>
        </w:rPr>
        <w:t>Security: AWS IAM, AWS Cognito, and Two-Factor Authentication</w:t>
      </w:r>
    </w:p>
    <w:p>
      <w:pPr>
        <w:pStyle w:val="ListBullet"/>
      </w:pPr>
      <w:r>
        <w:rPr>
          <w:sz w:val="20"/>
        </w:rPr>
        <w:t>System Architecture</w:t>
      </w:r>
    </w:p>
    <w:p>
      <w:pPr>
        <w:pStyle w:val="ListBullet"/>
      </w:pPr>
      <w:r>
        <w:rPr>
          <w:sz w:val="20"/>
        </w:rPr>
        <w:t>`mermaid</w:t>
      </w:r>
    </w:p>
    <w:p>
      <w:pPr>
        <w:pStyle w:val="ListBullet"/>
      </w:pPr>
      <w:r>
        <w:rPr>
          <w:sz w:val="20"/>
        </w:rPr>
        <w:t>flowchart TD</w:t>
      </w:r>
    </w:p>
    <w:p>
      <w:pPr>
        <w:pStyle w:val="ListBullet"/>
      </w:pPr>
      <w:r>
        <w:rPr>
          <w:sz w:val="20"/>
        </w:rPr>
        <w:t>A[Client Systems] --&gt; B[Integration Layer]</w:t>
      </w:r>
    </w:p>
    <w:p>
      <w:pPr>
        <w:pStyle w:val="ListBullet"/>
      </w:pPr>
      <w:r>
        <w:rPr>
          <w:sz w:val="20"/>
        </w:rPr>
        <w:t>B --&gt; C[Temenos T24 Core Banking Platform]</w:t>
      </w:r>
    </w:p>
    <w:p>
      <w:pPr>
        <w:pStyle w:val="ListBullet"/>
      </w:pPr>
      <w:r>
        <w:rPr>
          <w:sz w:val="20"/>
        </w:rPr>
        <w:t>C --&gt; D[Amazon SageMaker &amp; Amazon QuickSight]</w:t>
      </w:r>
    </w:p>
    <w:p>
      <w:pPr>
        <w:pStyle w:val="ListBullet"/>
      </w:pPr>
      <w:r>
        <w:rPr>
          <w:sz w:val="20"/>
        </w:rPr>
        <w:t>D --&gt; E[Tableau &amp; Power BI Reporting &amp; Dashboards]</w:t>
      </w:r>
    </w:p>
    <w:p>
      <w:pPr>
        <w:pStyle w:val="ListBullet"/>
      </w:pPr>
      <w:r>
        <w:rPr>
          <w:sz w:val="20"/>
        </w:rPr>
        <w:t>E --&gt; F[AWS IAM, AWS Cognito, and Two-Factor Authentication]</w:t>
      </w:r>
    </w:p>
    <w:p>
      <w:pPr>
        <w:pStyle w:val="ListBullet"/>
      </w:pPr>
      <w:r>
        <w:rPr>
          <w:sz w:val="20"/>
        </w:rPr>
        <w:t>`</w:t>
      </w:r>
    </w:p>
    <w:p>
      <w:pPr>
        <w:pStyle w:val="ListBullet"/>
      </w:pPr>
      <w:r>
        <w:rPr>
          <w:sz w:val="20"/>
        </w:rPr>
        <w:t>Team Structure</w:t>
      </w:r>
    </w:p>
    <w:p>
      <w:pPr>
        <w:pStyle w:val="ListBullet"/>
      </w:pPr>
      <w:r>
        <w:rPr>
          <w:sz w:val="20"/>
        </w:rPr>
        <w:t>Operating Model</w:t>
      </w:r>
    </w:p>
    <w:p>
      <w:pPr>
        <w:pStyle w:val="ListBullet"/>
      </w:pPr>
      <w:r>
        <w:rPr>
          <w:sz w:val="20"/>
        </w:rPr>
        <w:t>Onshore/Offshore/Nearshore % Split</w:t>
      </w:r>
    </w:p>
    <w:p>
      <w:pPr>
        <w:pStyle w:val="ListBullet"/>
      </w:pPr>
      <w:r>
        <w:rPr>
          <w:sz w:val="20"/>
        </w:rPr>
        <w:t>Onshore (India): 60%</w:t>
      </w:r>
    </w:p>
    <w:p>
      <w:pPr>
        <w:pStyle w:val="ListBullet"/>
      </w:pPr>
      <w:r>
        <w:rPr>
          <w:sz w:val="20"/>
        </w:rPr>
        <w:t>Offshore (India): 30%</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Role</w:t>
            </w:r>
          </w:p>
        </w:tc>
        <w:tc>
          <w:tcPr>
            <w:tcW w:type="dxa" w:w="3120"/>
            <w:shd w:fill="00205B" w:color="auto" w:val="clear"/>
            <w:vAlign w:val="center"/>
          </w:tcPr>
          <w:p>
            <w:r>
              <w:rPr>
                <w:rFonts w:ascii="Arial" w:hAnsi="Arial"/>
                <w:b/>
                <w:color w:val="FFFFFF"/>
                <w:sz w:val="20"/>
              </w:rPr>
              <w:t>Count</w:t>
            </w:r>
          </w:p>
        </w:tc>
        <w:tc>
          <w:tcPr>
            <w:tcW w:type="dxa" w:w="3120"/>
            <w:shd w:fill="00205B" w:color="auto" w:val="clear"/>
            <w:vAlign w:val="center"/>
          </w:tcPr>
          <w:p>
            <w:r>
              <w:rPr>
                <w:rFonts w:ascii="Arial" w:hAnsi="Arial"/>
                <w:b/>
                <w:color w:val="FFFFFF"/>
                <w:sz w:val="20"/>
              </w:rPr>
              <w:t>Location</w:t>
            </w:r>
          </w:p>
        </w:tc>
      </w:tr>
      <w:tr>
        <w:tc>
          <w:tcPr>
            <w:tcW w:type="dxa" w:w="3120"/>
            <w:shd w:fill="F0F2F5" w:color="auto" w:val="clear"/>
            <w:vAlign w:val="center"/>
          </w:tcPr>
          <w:p>
            <w:r>
              <w:rPr>
                <w:rFonts w:ascii="Arial" w:hAnsi="Arial"/>
                <w:sz w:val="20"/>
              </w:rPr>
              <w:t>Solution Architect</w:t>
            </w:r>
          </w:p>
        </w:tc>
        <w:tc>
          <w:tcPr>
            <w:tcW w:type="dxa" w:w="3120"/>
            <w:shd w:fill="F0F2F5" w:color="auto" w:val="clear"/>
            <w:vAlign w:val="center"/>
          </w:tcPr>
          <w:p>
            <w:r>
              <w:rPr>
                <w:rFonts w:ascii="Arial" w:hAnsi="Arial"/>
                <w:sz w:val="20"/>
              </w:rPr>
              <w:t>1</w:t>
            </w:r>
          </w:p>
        </w:tc>
        <w:tc>
          <w:tcPr>
            <w:tcW w:type="dxa" w:w="3120"/>
            <w:shd w:fill="F0F2F5" w:color="auto" w:val="clear"/>
            <w:vAlign w:val="center"/>
          </w:tcPr>
          <w:p>
            <w:r>
              <w:rPr>
                <w:rFonts w:ascii="Arial" w:hAnsi="Arial"/>
                <w:sz w:val="20"/>
              </w:rPr>
              <w:t>Onshore (India)</w:t>
            </w:r>
          </w:p>
        </w:tc>
      </w:tr>
      <w:tr>
        <w:tc>
          <w:tcPr>
            <w:tcW w:type="dxa" w:w="3120"/>
            <w:vAlign w:val="center"/>
          </w:tcPr>
          <w:p>
            <w:r>
              <w:rPr>
                <w:rFonts w:ascii="Arial" w:hAnsi="Arial"/>
                <w:sz w:val="20"/>
              </w:rPr>
              <w:t>Technical Lead</w:t>
            </w:r>
          </w:p>
        </w:tc>
        <w:tc>
          <w:tcPr>
            <w:tcW w:type="dxa" w:w="3120"/>
            <w:vAlign w:val="center"/>
          </w:tcPr>
          <w:p>
            <w:r>
              <w:rPr>
                <w:rFonts w:ascii="Arial" w:hAnsi="Arial"/>
                <w:sz w:val="20"/>
              </w:rPr>
              <w:t>1</w:t>
            </w:r>
          </w:p>
        </w:tc>
        <w:tc>
          <w:tcPr>
            <w:tcW w:type="dxa" w:w="3120"/>
            <w:vAlign w:val="center"/>
          </w:tcPr>
          <w:p>
            <w:r>
              <w:rPr>
                <w:rFonts w:ascii="Arial" w:hAnsi="Arial"/>
                <w:sz w:val="20"/>
              </w:rPr>
              <w:t>Onshore (India)</w:t>
            </w:r>
          </w:p>
        </w:tc>
      </w:tr>
      <w:tr>
        <w:tc>
          <w:tcPr>
            <w:tcW w:type="dxa" w:w="3120"/>
            <w:shd w:fill="F0F2F5" w:color="auto" w:val="clear"/>
            <w:vAlign w:val="center"/>
          </w:tcPr>
          <w:p>
            <w:r>
              <w:rPr>
                <w:rFonts w:ascii="Arial" w:hAnsi="Arial"/>
                <w:sz w:val="20"/>
              </w:rPr>
              <w:t>DevOps Engineer</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Offshore (India)</w:t>
            </w:r>
          </w:p>
        </w:tc>
      </w:tr>
      <w:tr>
        <w:tc>
          <w:tcPr>
            <w:tcW w:type="dxa" w:w="3120"/>
            <w:vAlign w:val="center"/>
          </w:tcPr>
          <w:p>
            <w:r>
              <w:rPr>
                <w:rFonts w:ascii="Arial" w:hAnsi="Arial"/>
                <w:sz w:val="20"/>
              </w:rPr>
              <w:t>QA Engineer</w:t>
            </w:r>
          </w:p>
        </w:tc>
        <w:tc>
          <w:tcPr>
            <w:tcW w:type="dxa" w:w="3120"/>
            <w:vAlign w:val="center"/>
          </w:tcPr>
          <w:p>
            <w:r>
              <w:rPr>
                <w:rFonts w:ascii="Arial" w:hAnsi="Arial"/>
                <w:sz w:val="20"/>
              </w:rPr>
              <w:t>2</w:t>
            </w:r>
          </w:p>
        </w:tc>
        <w:tc>
          <w:tcPr>
            <w:tcW w:type="dxa" w:w="3120"/>
            <w:vAlign w:val="center"/>
          </w:tcPr>
          <w:p>
            <w:r>
              <w:rPr>
                <w:rFonts w:ascii="Arial" w:hAnsi="Arial"/>
                <w:sz w:val="20"/>
              </w:rPr>
              <w:t>Offshore (India)</w:t>
            </w:r>
          </w:p>
        </w:tc>
      </w:tr>
      <w:tr>
        <w:tc>
          <w:tcPr>
            <w:tcW w:type="dxa" w:w="3120"/>
            <w:shd w:fill="F0F2F5" w:color="auto" w:val="clear"/>
            <w:vAlign w:val="center"/>
          </w:tcPr>
          <w:p>
            <w:r>
              <w:rPr>
                <w:rFonts w:ascii="Arial" w:hAnsi="Arial"/>
                <w:sz w:val="20"/>
              </w:rPr>
              <w:t>Business Analyst</w:t>
            </w:r>
          </w:p>
        </w:tc>
        <w:tc>
          <w:tcPr>
            <w:tcW w:type="dxa" w:w="3120"/>
            <w:shd w:fill="F0F2F5" w:color="auto" w:val="clear"/>
            <w:vAlign w:val="center"/>
          </w:tcPr>
          <w:p>
            <w:r>
              <w:rPr>
                <w:rFonts w:ascii="Arial" w:hAnsi="Arial"/>
                <w:sz w:val="20"/>
              </w:rPr>
              <w:t>1</w:t>
            </w:r>
          </w:p>
        </w:tc>
        <w:tc>
          <w:tcPr>
            <w:tcW w:type="dxa" w:w="3120"/>
            <w:shd w:fill="F0F2F5" w:color="auto" w:val="clear"/>
            <w:vAlign w:val="center"/>
          </w:tcPr>
          <w:p>
            <w:r>
              <w:rPr>
                <w:rFonts w:ascii="Arial" w:hAnsi="Arial"/>
                <w:sz w:val="20"/>
              </w:rPr>
              <w:t>Onshore (India)</w:t>
            </w:r>
          </w:p>
        </w:tc>
      </w:tr>
      <w:tr>
        <w:tc>
          <w:tcPr>
            <w:tcW w:type="dxa" w:w="3120"/>
            <w:vAlign w:val="center"/>
          </w:tcPr>
          <w:p>
            <w:r>
              <w:rPr>
                <w:rFonts w:ascii="Arial" w:hAnsi="Arial"/>
                <w:sz w:val="20"/>
              </w:rPr>
              <w:t>Project Manager</w:t>
            </w:r>
          </w:p>
        </w:tc>
        <w:tc>
          <w:tcPr>
            <w:tcW w:type="dxa" w:w="3120"/>
            <w:vAlign w:val="center"/>
          </w:tcPr>
          <w:p>
            <w:r>
              <w:rPr>
                <w:rFonts w:ascii="Arial" w:hAnsi="Arial"/>
                <w:sz w:val="20"/>
              </w:rPr>
              <w:t>1</w:t>
            </w:r>
          </w:p>
        </w:tc>
        <w:tc>
          <w:tcPr>
            <w:tcW w:type="dxa" w:w="3120"/>
            <w:vAlign w:val="center"/>
          </w:tcPr>
          <w:p>
            <w:r>
              <w:rPr>
                <w:rFonts w:ascii="Arial" w:hAnsi="Arial"/>
                <w:sz w:val="20"/>
              </w:rPr>
              <w:t>Onshore (India)</w:t>
            </w:r>
          </w:p>
        </w:tc>
      </w:tr>
    </w:tbl>
    <w:p/>
    <w:p>
      <w:pPr>
        <w:pStyle w:val="Heading2"/>
      </w:pPr>
      <w:r>
        <w:rPr>
          <w:rFonts w:ascii="Arial" w:hAnsi="Arial"/>
          <w:color w:val="00205B"/>
        </w:rPr>
        <w:t>Commercials &amp; ROI</w:t>
      </w:r>
    </w:p>
    <w:p>
      <w:pPr>
        <w:pStyle w:val="ListBullet"/>
      </w:pPr>
      <w:r>
        <w:rPr>
          <w:sz w:val="20"/>
        </w:rPr>
        <w:t>Rate Card</w:t>
      </w:r>
    </w:p>
    <w:p>
      <w:pPr>
        <w:pStyle w:val="ListBullet"/>
      </w:pPr>
      <w:r>
        <w:rPr>
          <w:sz w:val="20"/>
        </w:rPr>
        <w:t>Phase Cost Breakdown</w:t>
      </w:r>
    </w:p>
    <w:p>
      <w:pPr>
        <w:pStyle w:val="ListBullet"/>
      </w:pPr>
      <w:r>
        <w:rPr>
          <w:sz w:val="20"/>
        </w:rPr>
        <w:t>Total Engagement Cost</w:t>
      </w:r>
    </w:p>
    <w:p>
      <w:pPr>
        <w:pStyle w:val="ListBullet"/>
      </w:pPr>
      <w:r>
        <w:rPr>
          <w:sz w:val="20"/>
        </w:rPr>
        <w:t>$560,800 (min) - $624,800 (max)</w:t>
      </w:r>
    </w:p>
    <w:p>
      <w:pPr>
        <w:pStyle w:val="ListBullet"/>
      </w:pPr>
      <w:r>
        <w:rPr>
          <w:sz w:val="20"/>
        </w:rPr>
        <w:t>Payment Milestones</w:t>
      </w:r>
    </w:p>
    <w:p>
      <w:pPr>
        <w:pStyle w:val="ListBullet"/>
      </w:pPr>
      <w:r>
        <w:rPr>
          <w:sz w:val="20"/>
        </w:rPr>
        <w:t>ROI Justification</w:t>
      </w:r>
    </w:p>
    <w:p>
      <w:pPr>
        <w:pStyle w:val="ListBullet"/>
      </w:pPr>
      <w:r>
        <w:rPr>
          <w:sz w:val="20"/>
        </w:rPr>
        <w:t>Improved System Uptime: Achieve 99.999% system uptime SLA, resulting in reduced downtime and increased customer satisfaction.</w:t>
      </w:r>
    </w:p>
    <w:p>
      <w:pPr>
        <w:pStyle w:val="ListBullet"/>
      </w:pPr>
      <w:r>
        <w:rPr>
          <w:sz w:val="20"/>
        </w:rPr>
        <w:t>Enhanced Scalability: Modernize core banking system to handle increased transaction volumes, ensuring seamless customer experience.</w:t>
      </w:r>
    </w:p>
    <w:p>
      <w:pPr>
        <w:pStyle w:val="ListBullet"/>
      </w:pPr>
      <w:r>
        <w:rPr>
          <w:sz w:val="20"/>
        </w:rPr>
        <w:t>Regulatory Compliance: Ensure RBI regulatory compliance, reducing the risk of non-compliance and associated penalties.</w:t>
      </w:r>
    </w:p>
    <w:p>
      <w:pPr>
        <w:pStyle w:val="ListBullet"/>
      </w:pPr>
      <w:r>
        <w:rPr>
          <w:sz w:val="20"/>
        </w:rPr>
        <w:t>Increased Efficiency: Automate processes and improve workflows, reducing manual effort and increasing productivity.</w:t>
      </w:r>
    </w:p>
    <w:p>
      <w:pPr>
        <w:pStyle w:val="ListBullet"/>
      </w:pPr>
      <w:r>
        <w:rPr>
          <w:sz w:val="20"/>
        </w:rPr>
        <w:t>Optional Add-ons</w:t>
      </w:r>
    </w:p>
    <w:p>
      <w:pPr>
        <w:pStyle w:val="ListBullet"/>
      </w:pPr>
      <w:r>
        <w:rPr>
          <w:sz w:val="20"/>
        </w:rPr>
        <w:t>Advanced Security Features</w:t>
      </w:r>
    </w:p>
    <w:p>
      <w:pPr>
        <w:pStyle w:val="ListBullet"/>
      </w:pPr>
      <w:r>
        <w:rPr>
          <w:sz w:val="20"/>
        </w:rPr>
        <w:t>Additional security features, including advanced threat detection and incident response</w:t>
      </w:r>
    </w:p>
    <w:p>
      <w:pPr>
        <w:pStyle w:val="ListBullet"/>
      </w:pPr>
      <w:r>
        <w:rPr>
          <w:sz w:val="20"/>
        </w:rPr>
        <w:t>Pricing: $20,000 (one-time) + $5,000/month (subscription)</w:t>
      </w:r>
    </w:p>
    <w:p>
      <w:pPr>
        <w:pStyle w:val="ListBullet"/>
      </w:pPr>
      <w:r>
        <w:rPr>
          <w:sz w:val="20"/>
        </w:rPr>
        <w:t>AI-Powered Chatbots</w:t>
      </w:r>
    </w:p>
    <w:p>
      <w:pPr>
        <w:pStyle w:val="ListBullet"/>
      </w:pPr>
      <w:r>
        <w:rPr>
          <w:sz w:val="20"/>
        </w:rPr>
        <w:t>Integration of AI-powered chatbots for enhanced customer experience</w:t>
      </w:r>
    </w:p>
    <w:p>
      <w:pPr>
        <w:pStyle w:val="ListBullet"/>
      </w:pPr>
      <w:r>
        <w:rPr>
          <w:sz w:val="20"/>
        </w:rPr>
        <w:t>Pricing: $15,000 (one-time) + $3,000/month (subscription)</w:t>
      </w:r>
    </w:p>
    <w:p>
      <w:pPr>
        <w:pStyle w:val="ListBullet"/>
      </w:pPr>
      <w:r>
        <w:rPr>
          <w:sz w:val="20"/>
        </w:rPr>
        <w:t>Cloud Migration Services</w:t>
      </w:r>
    </w:p>
    <w:p>
      <w:pPr>
        <w:pStyle w:val="ListBullet"/>
      </w:pPr>
      <w:r>
        <w:rPr>
          <w:sz w:val="20"/>
        </w:rPr>
        <w:t>Additional services for cloud migration, including data migration and cloud security assessment</w:t>
      </w:r>
    </w:p>
    <w:p>
      <w:pPr>
        <w:pStyle w:val="ListBullet"/>
      </w:pPr>
      <w:r>
        <w:rPr>
          <w:sz w:val="20"/>
        </w:rPr>
        <w:t>Pricing: $30,000 (one-time) + $10,000/month (subscription)</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Solution Architect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 (India)</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$16,000</w:t>
            </w:r>
          </w:p>
        </w:tc>
      </w:tr>
      <w:tr>
        <w:tc>
          <w:tcPr>
            <w:tcW w:type="dxa" w:w="1560"/>
            <w:vAlign w:val="center"/>
          </w:tcPr>
          <w:p>
            <w:r>
              <w:rPr>
                <w:rFonts w:ascii="Arial" w:hAnsi="Arial"/>
                <w:sz w:val="20"/>
              </w:rPr>
              <w:t>Technical Lead</w:t>
            </w:r>
          </w:p>
        </w:tc>
        <w:tc>
          <w:tcPr>
            <w:tcW w:type="dxa" w:w="1560"/>
            <w:vAlign w:val="center"/>
          </w:tcPr>
          <w:p>
            <w:r>
              <w:rPr>
                <w:rFonts w:ascii="Arial" w:hAnsi="Arial"/>
                <w:sz w:val="20"/>
              </w:rPr>
              <w:t>1</w:t>
            </w:r>
          </w:p>
        </w:tc>
        <w:tc>
          <w:tcPr>
            <w:tcW w:type="dxa" w:w="1560"/>
            <w:vAlign w:val="center"/>
          </w:tcPr>
          <w:p>
            <w:r>
              <w:rPr>
                <w:rFonts w:ascii="Arial" w:hAnsi="Arial"/>
                <w:sz w:val="20"/>
              </w:rPr>
              <w:t>Onshore (India)</w:t>
            </w:r>
          </w:p>
        </w:tc>
        <w:tc>
          <w:tcPr>
            <w:tcW w:type="dxa" w:w="1560"/>
            <w:vAlign w:val="center"/>
          </w:tcPr>
          <w:p>
            <w:r>
              <w:rPr>
                <w:rFonts w:ascii="Arial" w:hAnsi="Arial"/>
                <w:sz w:val="20"/>
              </w:rPr>
              <w:t>160</w:t>
            </w:r>
          </w:p>
        </w:tc>
        <w:tc>
          <w:tcPr>
            <w:tcW w:type="dxa" w:w="1560"/>
            <w:vAlign w:val="center"/>
          </w:tcPr>
          <w:p>
            <w:r>
              <w:rPr>
                <w:rFonts w:ascii="Arial" w:hAnsi="Arial"/>
                <w:sz w:val="20"/>
              </w:rPr>
              <w:t>$100</w:t>
            </w:r>
          </w:p>
        </w:tc>
        <w:tc>
          <w:tcPr>
            <w:tcW w:type="dxa" w:w="1560"/>
            <w:vAlign w:val="center"/>
          </w:tcPr>
          <w:p>
            <w:r>
              <w:rPr>
                <w:rFonts w:ascii="Arial" w:hAnsi="Arial"/>
                <w:sz w:val="20"/>
              </w:rPr>
              <w:t>$16,000</w:t>
            </w:r>
          </w:p>
        </w:tc>
      </w:tr>
      <w:tr>
        <w:tc>
          <w:tcPr>
            <w:tcW w:type="dxa" w:w="1560"/>
            <w:shd w:fill="F0F2F5" w:color="auto" w:val="clear"/>
            <w:vAlign w:val="center"/>
          </w:tcPr>
          <w:p>
            <w:r>
              <w:rPr>
                <w:rFonts w:ascii="Arial" w:hAnsi="Arial"/>
                <w:sz w:val="20"/>
              </w:rPr>
              <w:t>DevOps Engineer</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$30</w:t>
            </w:r>
          </w:p>
        </w:tc>
        <w:tc>
          <w:tcPr>
            <w:tcW w:type="dxa" w:w="1560"/>
            <w:shd w:fill="F0F2F5" w:color="auto" w:val="clear"/>
            <w:vAlign w:val="center"/>
          </w:tcPr>
          <w:p>
            <w:r>
              <w:rPr>
                <w:rFonts w:ascii="Arial" w:hAnsi="Arial"/>
                <w:sz w:val="20"/>
              </w:rPr>
              <w:t>$9,600</w:t>
            </w:r>
          </w:p>
        </w:tc>
      </w:tr>
      <w:tr>
        <w:tc>
          <w:tcPr>
            <w:tcW w:type="dxa" w:w="1560"/>
            <w:vAlign w:val="center"/>
          </w:tcPr>
          <w:p>
            <w:r>
              <w:rPr>
                <w:rFonts w:ascii="Arial" w:hAnsi="Arial"/>
                <w:sz w:val="20"/>
              </w:rPr>
              <w:t>**Total**</w:t>
            </w:r>
          </w:p>
        </w:tc>
        <w:tc>
          <w:tcPr>
            <w:tcW w:type="dxa" w:w="1560"/>
            <w:vAlign w:val="center"/>
          </w:tcPr>
          <w:p>
            <w:r>
              <w:rPr>
                <w:rFonts w:ascii="Arial" w:hAnsi="Arial"/>
                <w:sz w:val="20"/>
              </w:rPr>
            </w:r>
          </w:p>
        </w:tc>
        <w:tc>
          <w:tcPr>
            <w:tcW w:type="dxa" w:w="1560"/>
            <w:vAlign w:val="center"/>
          </w:tcPr>
          <w:p>
            <w:r>
              <w:rPr>
                <w:rFonts w:ascii="Arial" w:hAnsi="Arial"/>
                <w:sz w:val="20"/>
              </w:rPr>
            </w:r>
          </w:p>
        </w:tc>
        <w:tc>
          <w:tcPr>
            <w:tcW w:type="dxa" w:w="1560"/>
            <w:vAlign w:val="center"/>
          </w:tcPr>
          <w:p>
            <w:r>
              <w:rPr>
                <w:rFonts w:ascii="Arial" w:hAnsi="Arial"/>
                <w:sz w:val="20"/>
              </w:rPr>
            </w:r>
          </w:p>
        </w:tc>
        <w:tc>
          <w:tcPr>
            <w:tcW w:type="dxa" w:w="1560"/>
            <w:vAlign w:val="center"/>
          </w:tcPr>
          <w:p>
            <w:r>
              <w:rPr>
                <w:rFonts w:ascii="Arial" w:hAnsi="Arial"/>
                <w:sz w:val="20"/>
              </w:rPr>
            </w:r>
          </w:p>
        </w:tc>
        <w:tc>
          <w:tcPr>
            <w:tcW w:type="dxa" w:w="1560"/>
            <w:vAlign w:val="center"/>
          </w:tcPr>
          <w:p>
            <w:r>
              <w:rPr>
                <w:rFonts w:ascii="Arial" w:hAnsi="Arial"/>
                <w:sz w:val="20"/>
              </w:rPr>
              <w:t>**$41,600**</w:t>
            </w:r>
          </w:p>
        </w:tc>
      </w:tr>
    </w:tbl>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00205B" w:color="auto" w:val="clear"/>
            <w:vAlign w:val="center"/>
          </w:tcPr>
          <w:p>
            <w:r>
              <w:rPr>
                <w:rFonts w:ascii="Arial" w:hAnsi="Arial"/>
                <w:b/>
                <w:color w:val="FFFFFF"/>
                <w:sz w:val="20"/>
              </w:rPr>
              <w:t>Phase</w:t>
            </w:r>
          </w:p>
        </w:tc>
        <w:tc>
          <w:tcPr>
            <w:tcW w:type="dxa" w:w="2340"/>
            <w:shd w:fill="00205B" w:color="auto" w:val="clear"/>
            <w:vAlign w:val="center"/>
          </w:tcPr>
          <w:p>
            <w:r>
              <w:rPr>
                <w:rFonts w:ascii="Arial" w:hAnsi="Arial"/>
                <w:b/>
                <w:color w:val="FFFFFF"/>
                <w:sz w:val="20"/>
              </w:rPr>
              <w:t>Duration</w:t>
            </w:r>
          </w:p>
        </w:tc>
        <w:tc>
          <w:tcPr>
            <w:tcW w:type="dxa" w:w="2340"/>
            <w:shd w:fill="00205B" w:color="auto" w:val="clear"/>
            <w:vAlign w:val="center"/>
          </w:tcPr>
          <w:p>
            <w:r>
              <w:rPr>
                <w:rFonts w:ascii="Arial" w:hAnsi="Arial"/>
                <w:b/>
                <w:color w:val="FFFFFF"/>
                <w:sz w:val="20"/>
              </w:rPr>
              <w:t>Team Size</w:t>
            </w:r>
          </w:p>
        </w:tc>
        <w:tc>
          <w:tcPr>
            <w:tcW w:type="dxa" w:w="2340"/>
            <w:shd w:fill="00205B" w:color="auto" w:val="clear"/>
            <w:vAlign w:val="center"/>
          </w:tcPr>
          <w:p>
            <w:r>
              <w:rPr>
                <w:rFonts w:ascii="Arial" w:hAnsi="Arial"/>
                <w:b/>
                <w:color w:val="FFFFFF"/>
                <w:sz w:val="20"/>
              </w:rPr>
              <w:t>Total Cost</w:t>
            </w:r>
          </w:p>
        </w:tc>
      </w:tr>
      <w:tr>
        <w:tc>
          <w:tcPr>
            <w:tcW w:type="dxa" w:w="2340"/>
            <w:shd w:fill="F0F2F5" w:color="auto" w:val="clear"/>
            <w:vAlign w:val="center"/>
          </w:tcPr>
          <w:p>
            <w:r>
              <w:rPr>
                <w:rFonts w:ascii="Arial" w:hAnsi="Arial"/>
                <w:sz w:val="20"/>
              </w:rPr>
              <w:t>Phase 1: Solution Design</w:t>
            </w:r>
          </w:p>
        </w:tc>
        <w:tc>
          <w:tcPr>
            <w:tcW w:type="dxa" w:w="2340"/>
            <w:shd w:fill="F0F2F5" w:color="auto" w:val="clear"/>
            <w:vAlign w:val="center"/>
          </w:tcPr>
          <w:p>
            <w:r>
              <w:rPr>
                <w:rFonts w:ascii="Arial" w:hAnsi="Arial"/>
                <w:sz w:val="20"/>
              </w:rPr>
              <w:t>2 months</w:t>
            </w:r>
          </w:p>
        </w:tc>
        <w:tc>
          <w:tcPr>
            <w:tcW w:type="dxa" w:w="2340"/>
            <w:shd w:fill="F0F2F5" w:color="auto" w:val="clear"/>
            <w:vAlign w:val="center"/>
          </w:tcPr>
          <w:p>
            <w:r>
              <w:rPr>
                <w:rFonts w:ascii="Arial" w:hAnsi="Arial"/>
                <w:sz w:val="20"/>
              </w:rPr>
              <w:t>3</w:t>
            </w:r>
          </w:p>
        </w:tc>
        <w:tc>
          <w:tcPr>
            <w:tcW w:type="dxa" w:w="2340"/>
            <w:shd w:fill="F0F2F5" w:color="auto" w:val="clear"/>
            <w:vAlign w:val="center"/>
          </w:tcPr>
          <w:p>
            <w:r>
              <w:rPr>
                <w:rFonts w:ascii="Arial" w:hAnsi="Arial"/>
                <w:sz w:val="20"/>
              </w:rPr>
              <w:t>$124,800</w:t>
            </w:r>
          </w:p>
        </w:tc>
      </w:tr>
      <w:tr>
        <w:tc>
          <w:tcPr>
            <w:tcW w:type="dxa" w:w="2340"/>
            <w:vAlign w:val="center"/>
          </w:tcPr>
          <w:p>
            <w:r>
              <w:rPr>
                <w:rFonts w:ascii="Arial" w:hAnsi="Arial"/>
                <w:sz w:val="20"/>
              </w:rPr>
              <w:t>Phase 2: Development</w:t>
            </w:r>
          </w:p>
        </w:tc>
        <w:tc>
          <w:tcPr>
            <w:tcW w:type="dxa" w:w="2340"/>
            <w:vAlign w:val="center"/>
          </w:tcPr>
          <w:p>
            <w:r>
              <w:rPr>
                <w:rFonts w:ascii="Arial" w:hAnsi="Arial"/>
                <w:sz w:val="20"/>
              </w:rPr>
              <w:t>6 months</w:t>
            </w:r>
          </w:p>
        </w:tc>
        <w:tc>
          <w:tcPr>
            <w:tcW w:type="dxa" w:w="2340"/>
            <w:vAlign w:val="center"/>
          </w:tcPr>
          <w:p>
            <w:r>
              <w:rPr>
                <w:rFonts w:ascii="Arial" w:hAnsi="Arial"/>
                <w:sz w:val="20"/>
              </w:rPr>
              <w:t>4</w:t>
            </w:r>
          </w:p>
        </w:tc>
        <w:tc>
          <w:tcPr>
            <w:tcW w:type="dxa" w:w="2340"/>
            <w:vAlign w:val="center"/>
          </w:tcPr>
          <w:p>
            <w:r>
              <w:rPr>
                <w:rFonts w:ascii="Arial" w:hAnsi="Arial"/>
                <w:sz w:val="20"/>
              </w:rPr>
              <w:t>$311,200</w:t>
            </w:r>
          </w:p>
        </w:tc>
      </w:tr>
      <w:tr>
        <w:tc>
          <w:tcPr>
            <w:tcW w:type="dxa" w:w="2340"/>
            <w:shd w:fill="F0F2F5" w:color="auto" w:val="clear"/>
            <w:vAlign w:val="center"/>
          </w:tcPr>
          <w:p>
            <w:r>
              <w:rPr>
                <w:rFonts w:ascii="Arial" w:hAnsi="Arial"/>
                <w:sz w:val="20"/>
              </w:rPr>
              <w:t>Phase 3: Testing &amp; Deployment</w:t>
            </w:r>
          </w:p>
        </w:tc>
        <w:tc>
          <w:tcPr>
            <w:tcW w:type="dxa" w:w="2340"/>
            <w:shd w:fill="F0F2F5" w:color="auto" w:val="clear"/>
            <w:vAlign w:val="center"/>
          </w:tcPr>
          <w:p>
            <w:r>
              <w:rPr>
                <w:rFonts w:ascii="Arial" w:hAnsi="Arial"/>
                <w:sz w:val="20"/>
              </w:rPr>
              <w:t>2 months</w:t>
            </w:r>
          </w:p>
        </w:tc>
        <w:tc>
          <w:tcPr>
            <w:tcW w:type="dxa" w:w="2340"/>
            <w:shd w:fill="F0F2F5" w:color="auto" w:val="clear"/>
            <w:vAlign w:val="center"/>
          </w:tcPr>
          <w:p>
            <w:r>
              <w:rPr>
                <w:rFonts w:ascii="Arial" w:hAnsi="Arial"/>
                <w:sz w:val="20"/>
              </w:rPr>
              <w:t>3</w:t>
            </w:r>
          </w:p>
        </w:tc>
        <w:tc>
          <w:tcPr>
            <w:tcW w:type="dxa" w:w="2340"/>
            <w:shd w:fill="F0F2F5" w:color="auto" w:val="clear"/>
            <w:vAlign w:val="center"/>
          </w:tcPr>
          <w:p>
            <w:r>
              <w:rPr>
                <w:rFonts w:ascii="Arial" w:hAnsi="Arial"/>
                <w:sz w:val="20"/>
              </w:rPr>
              <w:t>$124,800</w:t>
            </w:r>
          </w:p>
        </w:tc>
      </w:tr>
      <w:tr>
        <w:tc>
          <w:tcPr>
            <w:tcW w:type="dxa" w:w="2340"/>
            <w:vAlign w:val="center"/>
          </w:tcPr>
          <w:p>
            <w:r>
              <w:rPr>
                <w:rFonts w:ascii="Arial" w:hAnsi="Arial"/>
                <w:sz w:val="20"/>
              </w:rPr>
              <w:t>**Total**</w:t>
            </w:r>
          </w:p>
        </w:tc>
        <w:tc>
          <w:tcPr>
            <w:tcW w:type="dxa" w:w="2340"/>
            <w:vAlign w:val="center"/>
          </w:tcPr>
          <w:p>
            <w:r>
              <w:rPr>
                <w:rFonts w:ascii="Arial" w:hAnsi="Arial"/>
                <w:sz w:val="20"/>
              </w:rPr>
            </w:r>
          </w:p>
        </w:tc>
        <w:tc>
          <w:tcPr>
            <w:tcW w:type="dxa" w:w="2340"/>
            <w:vAlign w:val="center"/>
          </w:tcPr>
          <w:p>
            <w:r>
              <w:rPr>
                <w:rFonts w:ascii="Arial" w:hAnsi="Arial"/>
                <w:sz w:val="20"/>
              </w:rPr>
            </w:r>
          </w:p>
        </w:tc>
        <w:tc>
          <w:tcPr>
            <w:tcW w:type="dxa" w:w="2340"/>
            <w:vAlign w:val="center"/>
          </w:tcPr>
          <w:p>
            <w:r>
              <w:rPr>
                <w:rFonts w:ascii="Arial" w:hAnsi="Arial"/>
                <w:sz w:val="20"/>
              </w:rPr>
              <w:t>**$560,800**</w:t>
            </w:r>
          </w:p>
        </w:tc>
      </w:tr>
    </w:tbl>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Milestone</w:t>
            </w:r>
          </w:p>
        </w:tc>
        <w:tc>
          <w:tcPr>
            <w:tcW w:type="dxa" w:w="3120"/>
            <w:shd w:fill="00205B" w:color="auto" w:val="clear"/>
            <w:vAlign w:val="center"/>
          </w:tcPr>
          <w:p>
            <w:r>
              <w:rPr>
                <w:rFonts w:ascii="Arial" w:hAnsi="Arial"/>
                <w:b/>
                <w:color w:val="FFFFFF"/>
                <w:sz w:val="20"/>
              </w:rPr>
              <w:t>%</w:t>
            </w:r>
          </w:p>
        </w:tc>
        <w:tc>
          <w:tcPr>
            <w:tcW w:type="dxa" w:w="3120"/>
            <w:shd w:fill="00205B" w:color="auto" w:val="clear"/>
            <w:vAlign w:val="center"/>
          </w:tcPr>
          <w:p>
            <w:r>
              <w:rPr>
                <w:rFonts w:ascii="Arial" w:hAnsi="Arial"/>
                <w:b/>
                <w:color w:val="FFFFFF"/>
                <w:sz w:val="20"/>
              </w:rPr>
              <w:t>Trigger</w:t>
            </w:r>
          </w:p>
        </w:tc>
      </w:tr>
      <w:tr>
        <w:tc>
          <w:tcPr>
            <w:tcW w:type="dxa" w:w="3120"/>
            <w:shd w:fill="F0F2F5" w:color="auto" w:val="clear"/>
            <w:vAlign w:val="center"/>
          </w:tcPr>
          <w:p>
            <w:r>
              <w:rPr>
                <w:rFonts w:ascii="Arial" w:hAnsi="Arial"/>
                <w:sz w:val="20"/>
              </w:rPr>
              <w:t>Milestone 1: Solution Design Completion</w:t>
            </w:r>
          </w:p>
        </w:tc>
        <w:tc>
          <w:tcPr>
            <w:tcW w:type="dxa" w:w="3120"/>
            <w:shd w:fill="F0F2F5" w:color="auto" w:val="clear"/>
            <w:vAlign w:val="center"/>
          </w:tcPr>
          <w:p>
            <w:r>
              <w:rPr>
                <w:rFonts w:ascii="Arial" w:hAnsi="Arial"/>
                <w:sz w:val="20"/>
              </w:rPr>
              <w:t>20%</w:t>
            </w:r>
          </w:p>
        </w:tc>
        <w:tc>
          <w:tcPr>
            <w:tcW w:type="dxa" w:w="3120"/>
            <w:shd w:fill="F0F2F5" w:color="auto" w:val="clear"/>
            <w:vAlign w:val="center"/>
          </w:tcPr>
          <w:p>
            <w:r>
              <w:rPr>
                <w:rFonts w:ascii="Arial" w:hAnsi="Arial"/>
                <w:sz w:val="20"/>
              </w:rPr>
              <w:t>Completion of Phase 1</w:t>
            </w:r>
          </w:p>
        </w:tc>
      </w:tr>
      <w:tr>
        <w:tc>
          <w:tcPr>
            <w:tcW w:type="dxa" w:w="3120"/>
            <w:vAlign w:val="center"/>
          </w:tcPr>
          <w:p>
            <w:r>
              <w:rPr>
                <w:rFonts w:ascii="Arial" w:hAnsi="Arial"/>
                <w:sz w:val="20"/>
              </w:rPr>
              <w:t>Milestone 2: Development Completion</w:t>
            </w:r>
          </w:p>
        </w:tc>
        <w:tc>
          <w:tcPr>
            <w:tcW w:type="dxa" w:w="3120"/>
            <w:vAlign w:val="center"/>
          </w:tcPr>
          <w:p>
            <w:r>
              <w:rPr>
                <w:rFonts w:ascii="Arial" w:hAnsi="Arial"/>
                <w:sz w:val="20"/>
              </w:rPr>
              <w:t>40%</w:t>
            </w:r>
          </w:p>
        </w:tc>
        <w:tc>
          <w:tcPr>
            <w:tcW w:type="dxa" w:w="3120"/>
            <w:vAlign w:val="center"/>
          </w:tcPr>
          <w:p>
            <w:r>
              <w:rPr>
                <w:rFonts w:ascii="Arial" w:hAnsi="Arial"/>
                <w:sz w:val="20"/>
              </w:rPr>
              <w:t>Completion of Phase 2</w:t>
            </w:r>
          </w:p>
        </w:tc>
      </w:tr>
      <w:tr>
        <w:tc>
          <w:tcPr>
            <w:tcW w:type="dxa" w:w="3120"/>
            <w:shd w:fill="F0F2F5" w:color="auto" w:val="clear"/>
            <w:vAlign w:val="center"/>
          </w:tcPr>
          <w:p>
            <w:r>
              <w:rPr>
                <w:rFonts w:ascii="Arial" w:hAnsi="Arial"/>
                <w:sz w:val="20"/>
              </w:rPr>
              <w:t>Milestone 3: Testing &amp; Deployment Completion</w:t>
            </w:r>
          </w:p>
        </w:tc>
        <w:tc>
          <w:tcPr>
            <w:tcW w:type="dxa" w:w="3120"/>
            <w:shd w:fill="F0F2F5" w:color="auto" w:val="clear"/>
            <w:vAlign w:val="center"/>
          </w:tcPr>
          <w:p>
            <w:r>
              <w:rPr>
                <w:rFonts w:ascii="Arial" w:hAnsi="Arial"/>
                <w:sz w:val="20"/>
              </w:rPr>
              <w:t>30%</w:t>
            </w:r>
          </w:p>
        </w:tc>
        <w:tc>
          <w:tcPr>
            <w:tcW w:type="dxa" w:w="3120"/>
            <w:shd w:fill="F0F2F5" w:color="auto" w:val="clear"/>
            <w:vAlign w:val="center"/>
          </w:tcPr>
          <w:p>
            <w:r>
              <w:rPr>
                <w:rFonts w:ascii="Arial" w:hAnsi="Arial"/>
                <w:sz w:val="20"/>
              </w:rPr>
              <w:t>Completion of Phase 3</w:t>
            </w:r>
          </w:p>
        </w:tc>
      </w:tr>
      <w:tr>
        <w:tc>
          <w:tcPr>
            <w:tcW w:type="dxa" w:w="3120"/>
            <w:vAlign w:val="center"/>
          </w:tcPr>
          <w:p>
            <w:r>
              <w:rPr>
                <w:rFonts w:ascii="Arial" w:hAnsi="Arial"/>
                <w:sz w:val="20"/>
              </w:rPr>
              <w:t>Milestone 4: Final Delivery</w:t>
            </w:r>
          </w:p>
        </w:tc>
        <w:tc>
          <w:tcPr>
            <w:tcW w:type="dxa" w:w="3120"/>
            <w:vAlign w:val="center"/>
          </w:tcPr>
          <w:p>
            <w:r>
              <w:rPr>
                <w:rFonts w:ascii="Arial" w:hAnsi="Arial"/>
                <w:sz w:val="20"/>
              </w:rPr>
              <w:t>10%</w:t>
            </w:r>
          </w:p>
        </w:tc>
        <w:tc>
          <w:tcPr>
            <w:tcW w:type="dxa" w:w="3120"/>
            <w:vAlign w:val="center"/>
          </w:tcPr>
          <w:p>
            <w:r>
              <w:rPr>
                <w:rFonts w:ascii="Arial" w:hAnsi="Arial"/>
                <w:sz w:val="20"/>
              </w:rPr>
              <w:t>Completion of all phases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Proprietary and Confidential  |  Prepared strictly for HDFC Bank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6969"/>
        <w:sz w:val="16"/>
      </w:rPr>
      <w:t>TECH MAHINDRA CONSULTING | HIGHLY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