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8002B"/>
          <w:sz w:val="60"/>
        </w:rPr>
        <w:t>TECH MAHINDRA</w:t>
      </w:r>
    </w:p>
    <w:p/>
    <w:p>
      <w:pPr>
        <w:jc w:val="center"/>
      </w:pPr>
      <w:r>
        <w:rPr>
          <w:color w:val="003578"/>
          <w:sz w:val="36"/>
        </w:rPr>
        <w:t>Solution Proposal</w:t>
      </w:r>
    </w:p>
    <w:p>
      <w:pPr>
        <w:jc w:val="center"/>
      </w:pPr>
      <w:r>
        <w:rPr>
          <w:color w:val="585858"/>
          <w:sz w:val="28"/>
        </w:rPr>
        <w:t>Prepared for: DiagTest</w:t>
      </w:r>
    </w:p>
    <w:p>
      <w:pPr>
        <w:jc w:val="center"/>
      </w:pPr>
      <w:r>
        <w:rPr>
          <w:color w:val="585858"/>
          <w:sz w:val="22"/>
        </w:rPr>
        <w:t>April 2026  |  CONFIDENTIAL</w:t>
      </w:r>
    </w:p>
    <w:p>
      <w:r>
        <w:br w:type="page"/>
      </w:r>
    </w:p>
    <w:p>
      <w:pPr>
        <w:pStyle w:val="Heading1"/>
      </w:pPr>
      <w:r>
        <w:rPr>
          <w:color w:val="003578"/>
        </w:rPr>
        <w:t>Tech Mahindra – Solution Proposal</w:t>
      </w:r>
    </w:p>
    <w:p>
      <w:pPr>
        <w:pStyle w:val="Heading1"/>
      </w:pPr>
      <w:r>
        <w:rPr>
          <w:color w:val="003578"/>
        </w:rPr>
        <w:t>Executive Summary</w:t>
      </w:r>
    </w:p>
    <w:p>
      <w:pPr>
        <w:pStyle w:val="ListBullet"/>
      </w:pPr>
      <w:r>
        <w:rPr>
          <w:sz w:val="22"/>
        </w:rPr>
        <w:t>This is a test proposal.</w:t>
      </w:r>
    </w:p>
    <w:p>
      <w:pPr>
        <w:pStyle w:val="Heading1"/>
      </w:pPr>
      <w:r>
        <w:rPr>
          <w:color w:val="003578"/>
        </w:rPr>
        <w:t>Architecture</w:t>
      </w:r>
    </w:p>
    <w:p>
      <w:r>
        <w:drawing>
          <wp:inline xmlns:a="http://schemas.openxmlformats.org/drawingml/2006/main" xmlns:pic="http://schemas.openxmlformats.org/drawingml/2006/picture">
            <wp:extent cx="5029200" cy="7436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7436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Figure: Solution Architecture Diagram</w:t>
      </w:r>
    </w:p>
    <w:p>
      <w:pPr>
        <w:pStyle w:val="Heading1"/>
      </w:pPr>
      <w:r>
        <w:rPr>
          <w:color w:val="003578"/>
        </w:rPr>
        <w:t>Commercials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4392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Role</w:t>
            </w:r>
          </w:p>
        </w:tc>
        <w:tc>
          <w:tcPr>
            <w:tcW w:type="dxa" w:w="4392"/>
            <w:shd w:fill="003578" w:color="auto" w:val="clear"/>
          </w:tcPr>
          <w:p>
            <w:r>
              <w:rPr>
                <w:b/>
                <w:color w:val="FFFFFF"/>
                <w:sz w:val="20"/>
              </w:rPr>
              <w:t>Rate</w:t>
            </w:r>
          </w:p>
        </w:tc>
      </w:tr>
      <w:tr>
        <w:tc>
          <w:tcPr>
            <w:tcW w:type="dxa" w:w="4392"/>
          </w:tcPr>
          <w:p>
            <w:r>
              <w:rPr>
                <w:b w:val="0"/>
                <w:sz w:val="20"/>
              </w:rPr>
              <w:t>Architect</w:t>
            </w:r>
          </w:p>
        </w:tc>
        <w:tc>
          <w:tcPr>
            <w:tcW w:type="dxa" w:w="4392"/>
          </w:tcPr>
          <w:p>
            <w:r>
              <w:rPr>
                <w:b w:val="0"/>
                <w:sz w:val="20"/>
              </w:rPr>
              <w:t>$120/hr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585858"/>
        </w:rPr>
        <w:t>Appendix: Agent Analysis Details</w:t>
      </w:r>
    </w:p>
    <w:p>
      <w:pPr>
        <w:pStyle w:val="Heading2"/>
      </w:pPr>
      <w:r>
        <w:rPr>
          <w:color w:val="003578"/>
        </w:rPr>
        <w:t>Requirements Analysis</w:t>
      </w:r>
    </w:p>
    <w:p>
      <w:pPr>
        <w:pStyle w:val="ListBullet"/>
      </w:pPr>
      <w:r>
        <w:rPr>
          <w:sz w:val="20"/>
        </w:rPr>
        <w:t>Requirements</w:t>
      </w:r>
    </w:p>
    <w:p>
      <w:pPr>
        <w:pStyle w:val="ListBullet"/>
      </w:pPr>
      <w:r>
        <w:rPr>
          <w:sz w:val="20"/>
        </w:rPr>
        <w:t>Cloud migration</w:t>
      </w:r>
    </w:p>
    <w:p>
      <w:pPr>
        <w:pStyle w:val="ListBullet"/>
      </w:pPr>
      <w:r>
        <w:rPr>
          <w:sz w:val="20"/>
        </w:rPr>
        <w:t>6-month delivery</w:t>
      </w:r>
    </w:p>
    <w:p>
      <w:pPr>
        <w:pStyle w:val="Heading2"/>
      </w:pPr>
      <w:r>
        <w:rPr>
          <w:color w:val="003578"/>
        </w:rPr>
        <w:t>Architecture Design</w:t>
      </w:r>
    </w:p>
    <w:p>
      <w:pPr>
        <w:pStyle w:val="ListBullet"/>
      </w:pPr>
      <w:r>
        <w:rPr>
          <w:sz w:val="20"/>
        </w:rPr>
        <w:t>Architecture</w:t>
      </w:r>
    </w:p>
    <w:p>
      <w:pPr>
        <w:pStyle w:val="ListBullet"/>
      </w:pPr>
      <w:r>
        <w:rPr>
          <w:sz w:val="20"/>
        </w:rPr>
        <w:t>Cloud-native solution.</w:t>
      </w:r>
    </w:p>
    <w:p>
      <w:pPr>
        <w:pStyle w:val="Heading2"/>
      </w:pPr>
      <w:r>
        <w:rPr>
          <w:color w:val="003578"/>
        </w:rPr>
        <w:t>Commercial Model</w:t>
      </w:r>
    </w:p>
    <w:p>
      <w:pPr>
        <w:pStyle w:val="ListBullet"/>
      </w:pPr>
      <w:r>
        <w:rPr>
          <w:sz w:val="20"/>
        </w:rPr>
        <w:t>Rate Card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