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</w:p>
    <w:p>
      <w:pPr>
        <w:spacing w:after="240" w:before="0"/>
        <w:jc w:val="center"/>
      </w:pPr>
      <w:r>
        <w:rPr>
          <w:rFonts w:ascii="Malgun Gothic" w:cs="Malgun Gothic" w:eastAsia="Malgun Gothic" w:hAnsi="Malgun Gothic"/>
          <w:color w:val="595959"/>
          <w:sz w:val="24"/>
          <w:szCs w:val="24"/>
        </w:rPr>
        <w:t xml:space="preserve">캡스톤 디자인</w:t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8"/>
          <w:szCs w:val="48"/>
        </w:rPr>
        <w:t xml:space="preserve">6주차 연구 보고서</w:t>
      </w:r>
    </w:p>
    <w:p>
      <w:pPr>
        <w:spacing w:after="480" w:before="0"/>
        <w:jc w:val="center"/>
      </w:pPr>
      <w:r>
        <w:rPr>
          <w:rFonts w:ascii="Malgun Gothic" w:cs="Malgun Gothic" w:eastAsia="Malgun Gothic" w:hAnsi="Malgun Gothic"/>
          <w:b/>
          <w:bCs/>
          <w:color w:val="2E75B6"/>
          <w:sz w:val="36"/>
          <w:szCs w:val="36"/>
        </w:rPr>
        <w:t xml:space="preserve">BTC 동적 그리드 트레이딩 RL 에이전트</w:t>
      </w:r>
    </w:p>
    <w:p>
      <w:pPr>
        <w:pBdr>
          <w:bottom w:val="single" w:color="2E75B6" w:sz="4" w:space="1"/>
        </w:pBdr>
        <w:spacing w:after="120" w:before="120"/>
      </w:pPr>
    </w:p>
    <w:p>
      <w:pPr>
        <w:spacing w:after="120" w:before="240"/>
        <w:jc w:val="center"/>
      </w:pPr>
      <w:r>
        <w:rPr>
          <w:rFonts w:ascii="Malgun Gothic" w:cs="Malgun Gothic" w:eastAsia="Malgun Gothic" w:hAnsi="Malgun Gothic"/>
          <w:color w:val="595959"/>
          <w:sz w:val="22"/>
          <w:szCs w:val="22"/>
        </w:rPr>
        <w:t xml:space="preserve">2026년 4월</w:t>
      </w:r>
    </w:p>
    <w:p>
      <w:pPr>
        <w:spacing w:after="0" w:before="1800"/>
      </w:pP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1. 연구 개요 및 질문</w:t>
      </w:r>
    </w:p>
    <w:p>
      <w:pPr>
        <w:pBdr>
          <w:bottom w:val="single" w:color="2E75B6" w:sz="4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1.1 연구 주제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가격 방향 예측 없이 시장 상태(변동성·가격 수준)와 포지션 상태(손익·보유량·여력)만을 state로 사용하는 PPO 기반 강화학습 에이전트의 비트코인 동적 그리드 트레이딩 전략 학습 및 행동 패턴 분석</w:t>
      </w:r>
    </w:p>
    <w:p>
      <w:pP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1.2 연구 질문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연구 질문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주 질문: 시장 상태와 포지션 상태에 반응하여 그리드 간격과 익절 목표를 동적으로 결정하는 PPO 에이전트가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        비트코인 시장에서 고정 그리드 전략 대비 Sharpe Ratio 기준 우위를 보이는가?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부 질문: 학습된 에이전트는 어떤 시장 상태(변동성 수준, 가격 수준)에서 어떤 그리드 간격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        (aggressiveness)과 익절 목표(profit_target)를 선택하는가?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2. 데이터</w:t>
      </w:r>
    </w:p>
    <w:p>
      <w:pPr>
        <w:pBdr>
          <w:bottom w:val="single" w:color="2E75B6" w:sz="4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2.1 데이터 수집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Binance 거래소의 BTC/USDT 1시간봉 데이터를 ccxt 라이브러리를 통해 수집했다. 1시간봉을 선택한 이유는 그리드 봇의 주문 체결 주기와 시장 변동성을 포착하기에 적합한 단위이기 때문이다.</w:t>
      </w:r>
    </w:p>
    <w:p>
      <w:pPr>
        <w:spacing w:after="80" w:before="12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Train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2020.01 ~ 2022.12 (25,916봉)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PPO 학습용 — 상승·하락·횡보 레짐 혼재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Validation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2023.01 ~ 2023.12 (8,736봉)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학습 중 평가용 (Sharpe 모니터링)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Test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2024.01 ~ 현재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8"/>
                <w:szCs w:val="18"/>
              </w:rPr>
              <w:t xml:space="preserve">최종 평가 전까지 완전 봉인</w:t>
            </w:r>
          </w:p>
        </w:tc>
      </w:tr>
    </w:tbl>
    <w:p>
      <w:pPr>
        <w:spacing w:after="60" w:before="120"/>
      </w:pP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처리된 데이터의 실제 구조 (Train 셋 상위 5행):</w:t>
      </w:r>
    </w:p>
    <w:p>
      <w:pPr>
        <w:spacing w:after="6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00"/>
        <w:gridCol w:w="700"/>
        <w:gridCol w:w="700"/>
        <w:gridCol w:w="700"/>
        <w:gridCol w:w="800"/>
        <w:gridCol w:w="900"/>
        <w:gridCol w:w="900"/>
        <w:gridCol w:w="1000"/>
        <w:gridCol w:w="100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timestamp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open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high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low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close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volume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log_price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vol_raw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zscore_lp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zscore_vol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2020-01-14 22:00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8735.9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8789.8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8719.1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8735.9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1875.6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0.0716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0.00935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1.015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0.194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2020-01-14 23:00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8736.0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8880.0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8722.0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8810.0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4718.1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0.0796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0.00925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1.300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0.059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2020-01-15 00:00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8814.6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8900.0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8701.0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8772.9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8982.4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0.0751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0.00922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1.184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-0.007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2020-01-15 01:00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8774.2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8803.8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8712.0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8778.0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4161.7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0.0754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0.00919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1.229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-0.056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2020-01-15 02:00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8778.0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8835.0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8765.3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8813.8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1933.9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0.0791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0.00909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1.386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-0.211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2.2 전처리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원본 OHLCV 데이터에서 다음 두 가지 파생 지표를 계산하고 정규화한다.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지표 계산 공식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log_price = log(close / close.rolling(168).mean())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→ 현재 가격이 최근 1주일 평균 대비 얼마나 위/아래인가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volatility_raw = ATR(168) / price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→ ATR = mean(True Range) over 168봉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   True Range = max(high-low, |high-prev_close|, |low-prev_close|)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두 변수 모두 rolling z-score(window=168)로 정규화 → zscore_* 컬럼으로 저장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zscore(x, t) = (x_t - mean(x_{t-167:t})) / std(x_{t-167:t})</w:t>
            </w:r>
          </w:p>
        </w:tc>
      </w:tr>
    </w:tbl>
    <w:p>
      <w:pPr>
        <w:spacing w:after="60" w:before="80"/>
      </w:pP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외부 라이브러리(TA-Lib 등) 없이 pandas로 직접 구현하여 의존성을 최소화했다.</w:t>
      </w:r>
    </w:p>
    <w:p>
      <w:pPr>
        <w:spacing w:after="80" w:before="120"/>
      </w:pPr>
    </w:p>
    <w:p>
      <w:pPr>
        <w:spacing w:after="40" w:before="120"/>
        <w:jc w:val="center"/>
      </w:pPr>
      <w:r>
        <w:drawing>
          <wp:inline distT="0" distB="0" distL="0" distR="0">
            <wp:extent cx="4762500" cy="1619250"/>
            <wp:effectExtent t="0" r="0" b="0" l="0"/>
            <wp:docPr id="1" name="[그림 1] BTC/USDT 가격 시계열 (2020~2022)" descr="[그림 1] BTC/USDT 가격 시계열 (2020~2022)" title="[그림 1] BTC/USDT 가격 시계열 (2020~202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[그림 1] BTC/USDT 가격 시계열 (2020~2022)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619250"/>
            <wp:effectExtent t="0" r="0" b="0" l="0"/>
            <wp:docPr id="1" name="[그림 2] ATR 기반 변동성 레짐 구분 (Low/Mid/High)" descr="[그림 2] ATR 기반 변동성 레짐 구분 (Low/Mid/High)" title="[그림 2] ATR 기반 변동성 레짐 구분 (Low/Mid/Hig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[그림 2] ATR 기반 변동성 레짐 구분 (Low/Mid/High)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3. MDP 설계</w:t>
      </w:r>
    </w:p>
    <w:p>
      <w:pPr>
        <w:pBdr>
          <w:bottom w:val="single" w:color="2E75B6" w:sz="4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3.1 상태 공간 (State Space)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환경은 5차원 연속 상태 벡터를 매 스텝마다 에이전트에게 전달한다. 모든 변수는 관측 시점 이전 168봉을 기준으로 rolling z-score 정규화한다.</w:t>
      </w:r>
    </w:p>
    <w:p>
      <w:pPr>
        <w:spacing w:after="6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z-score 정규화 공식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zscore(x, t) = (x_t - mean(x_{t-167:t})) / std(x_{t-167:t})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window = 168봉 (7일 × 24시간)</w:t>
            </w:r>
          </w:p>
        </w:tc>
      </w:tr>
    </w:tbl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4000"/>
        <w:gridCol w:w="20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차원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변수명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미보유 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[0]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log_price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현재가 / 7일 이동평균 비율 (로그)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그대로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[1]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divergence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현재가와 평균매수단가의 괴리율 (아래 공식 참조)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아래 참조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[2]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holdings_value_ratio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보유 BTC 평가액 / 초기 자본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[3]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cash_ratio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현재 현금 / 초기 자본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그대로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[4]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volatility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ATR(168) / 현재가 (상대 변동성)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그대로</w:t>
            </w:r>
          </w:p>
        </w:tc>
      </w:tr>
    </w:tbl>
    <w:p>
      <w:pPr>
        <w:spacing w:after="6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divergence 계산 공식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보유 중:                   divergence = (avg_price - price) / avg_price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미보유 + 직전 사이클 있음:   divergence = (last_avg_price - price) / last_avg_price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미보유 + 거래 이력 없음:     divergence = 0.0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avg_price      : 현재 사이클 평균 매수 단가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last_avg_price : 직전 사이클 전량 청산 시점의 평균 매수 단가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3.2 행동 공간 (Action Space)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행동은 2차원 연속 벡터 [0, 1]² 이다. 이산(Discrete) 행동이 아닌 이유는, 매수/매도 시점보다 간격의 세밀한 조정이 핵심 의사결정이기 때문이다.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60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차원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변수명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[0]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aggressiveness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매수 주문 간격 결정 — 클수록 현재가에서 멀리 주문 (0.01% ~ 5%)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[1]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profit_target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매도 주문 간격 결정 — 클수록 더 높은 목표 수익률 설정 (0.01% ~ 15%)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3.3 보상 함수 (Reward)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매 스텝의 보상은 포트폴리오 가치 변화를 초기 자본으로 정규화한 값에서 거래 수수료를 차감한다. 사이클 종료 시 별도 보너스는 없다.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보상 공식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step_reward = (equity_t - equity_{t-1}) / start_capital - fee_rate × n_trades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equity_t    : 현재 스텝의 포트폴리오 총가치 (현금 + 보유 BTC 평가액)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fee_rate    : 0.05% (Binance maker fee)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n_trades    : 해당 스텝에서 체결된 주문 수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4. 매수/매도 실행 로직</w:t>
      </w:r>
    </w:p>
    <w:p>
      <w:pPr>
        <w:pBdr>
          <w:bottom w:val="single" w:color="2E75B6" w:sz="4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4.1 주문 가격 계산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에이전트의 행동값(aggressiveness, profit_target)은 다음 공식으로 4개의 지정가 주문으로 변환된다.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Action → 주문 가격 변환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매수 주문 ]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buy_hi  = price × (1 - buy_hi_gap)    buy_hi_gap  = 0.0001 + aggressiveness × 0.05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buy_lo  = price × (1 - buy_lo_gap)    buy_lo_gap  = 0.001  + aggressiveness × 0.10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매도 주문 ]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sell_lo = price × (1 + sell_lo_gap)   sell_lo_gap = 0.0001 + profit_target  × 0.05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sell_hi = avg_price × (1 + sell_hi_gap)  sell_hi_gap = 0.001  + profit_target  × 0.15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4.2 주문 크기 (n_splits 예산 분할)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사이클 시작 시 전체 현금을 n_splits(=4) 슬롯으로 분할하여 예산을 확정한다. 이후 슬롯 예산이 소진되면 추가 매수를 완전 차단한다.</w:t>
      </w:r>
    </w:p>
    <w:p>
      <w:pPr>
        <w:spacing w:after="6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주문 크기 계산 공식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cycle_slot_size = cycle_start_cash / n_splits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per_order_size  = cycle_slot_size / n_buy_orders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threshold_btc   = cycle_slot_size / mean(sell_lo, sell_hi)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예시: 초기 자본 $10,000, n_splits=4, n_buy_orders=2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→ cycle_slot_size=$2,500 / per_order_size=$1,250</w:t>
            </w:r>
          </w:p>
        </w:tc>
      </w:tr>
    </w:tbl>
    <w:p>
      <w:pPr>
        <w:spacing w:after="6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예산 소진 조건: cycle_budget_remaining &lt; per_order_size → 매수 차단</w:t>
      </w:r>
    </w:p>
    <w:p>
      <w:pPr>
        <w:spacing w:after="60" w:before="8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4.3 체결 판단 및 SELL 우선 원칙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체결 여부는 다음 봉의 실제 high/low 값으로 판단한다. 같은 봉에서 매수와 매도가 동시에 체결 가능할 때는 반드시 매도를 먼저 처리한다.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next_high &gt;= sell_lo → sell_lo 체결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next_high &gt;= sell_hi (avg_price 기준) → sell_hi 체결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next_low  &lt;= buy_hi  → buy_hi 체결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next_low  &lt;= buy_lo  → buy_lo 체결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SELL 우선 원칙의 이유: 같은 봉에서 매도 후 수익을 확정한 다음 재매수하는 것이 더 유리하며, 동시 처리 시 포트폴리오 회계가 불명확해지는 것을 방지한다.</w:t>
      </w:r>
    </w:p>
    <w:p>
      <w:pPr>
        <w:spacing w:after="60" w:before="8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4.4 매도 수량 결정 (threshold_btc)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보유량이 일정 임계값 이하이면 전량 청산하여 사이클을 종료한다. 이를 통해 소액 포지션이 무한히 유지되는 것을 방지한다.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threshold_btc = cycle_slot_size / avg(sell_lo, sell_hi)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holdings ≤ threshold_btc → 전량 청산 (사이클 종료)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holdings &gt; threshold_btc → holdings / n_sell_orders 균등 분할 매도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5. 베이스라인 전략 및 평가 결과</w:t>
      </w:r>
    </w:p>
    <w:p>
      <w:pPr>
        <w:pBdr>
          <w:bottom w:val="single" w:color="2E75B6" w:sz="4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5.1 베이스라인 전략 구성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PPO 에이전트의 성능을 비교할 기준으로 세 종류의 규칙 기반 전략을 구현했다.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8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전략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Buy-and-Hold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Warmup 이후 전액 매수, 보유. 가장 단순한 기준선.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Fixed Grid (1% / 2% / 5%)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고정 간격으로 매수/매도 주문 배치. 동일 사이클 구조 적용.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ATR Grid (k=0.5/1.0/2.0)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gap = k × ATR(168)/price. 변동성에 비례하는 동적 간격. PPO와 가장 유사한 규칙 기반 전략.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5.2 Train/Val 셋 평가 결과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동일한 주문 구조(SELL 우선, n_splits, threshold_btc)를 모든 전략에 적용하여 공정하게 비교했다. 평가 지표는 연율화 Sharpe Ratio를 주 기준으로 한다.</w:t>
      </w:r>
    </w:p>
    <w:p>
      <w:pPr>
        <w:spacing w:after="6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Sharpe Ratio 연율화 공식</w:t>
            </w:r>
          </w:p>
        </w:tc>
      </w:tr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Sharpe = (mean(r_t) / std(r_t)) × √8760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r_t   : 매 시간봉 포트폴리오 수익률</w:t>
            </w:r>
          </w:p>
          <w:p>
            <w:pPr>
              <w:spacing w:after="40" w:before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 √8760 : 연율화 계수 (1년 = 8,760시간봉)</w:t>
            </w:r>
          </w:p>
        </w:tc>
      </w:tr>
    </w:tbl>
    <w:p>
      <w:pPr>
        <w:spacing w:after="80" w:before="80"/>
      </w:pP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80"/>
        <w:gridCol w:w="1380"/>
        <w:gridCol w:w="1380"/>
        <w:gridCol w:w="1380"/>
        <w:gridCol w:w="12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전략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Train Sharpe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Val Sharpe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Train 수익률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Val 수익률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Val MDD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Buy-and-Hold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0.666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2.377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+89.9%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+150.2%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21.7%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Fixed Grid 1%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0.620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75623"/>
                <w:sz w:val="18"/>
                <w:szCs w:val="18"/>
              </w:rPr>
              <w:t xml:space="preserve">2.610 ★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+73.4%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+43.2%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10.8%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Fixed Grid 2%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0.205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2.032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-2.0%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+17.0%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7.7%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Fixed Grid 5%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1.375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+50.0%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+2.5%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ATR Grid k=0.5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75623"/>
                <w:sz w:val="18"/>
                <w:szCs w:val="18"/>
              </w:rPr>
              <w:t xml:space="preserve">0.818 ★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1.118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+122.1%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+24.7%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16.1%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ATR Grid k=1.0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0.686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1.434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+86.4%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+39.8%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15.9%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ATR Grid k=2.0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8"/>
                <w:szCs w:val="18"/>
              </w:rPr>
              <w:t xml:space="preserve">-0.104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1.948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8"/>
                <w:szCs w:val="18"/>
              </w:rPr>
              <w:t xml:space="preserve">-46.5%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+29.0%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9.4%</w:t>
            </w:r>
          </w:p>
        </w:tc>
      </w:tr>
    </w:tbl>
    <w:p>
      <w:pPr>
        <w:spacing w:after="60" w:before="120"/>
      </w:pP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color w:val="375623"/>
          <w:sz w:val="20"/>
          <w:szCs w:val="20"/>
        </w:rPr>
        <w:t xml:space="preserve">★ </w:t>
      </w:r>
      <w:r>
        <w:rPr>
          <w:rFonts w:ascii="Malgun Gothic" w:cs="Malgun Gothic" w:eastAsia="Malgun Gothic" w:hAnsi="Malgun Gothic"/>
          <w:sz w:val="20"/>
          <w:szCs w:val="20"/>
        </w:rPr>
        <w:t xml:space="preserve">PPO 목표치: Train 셋 ATR k=0.5 (0.818), Val 셋 Fixed Grid 1% (2.610)</w:t>
      </w:r>
    </w:p>
    <w:p>
      <w:pPr>
        <w:spacing w:after="60" w:before="80"/>
      </w:pP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Train과 Val의 순위가 다르다는 점이 주목할 만하다. Val(2023)은 BTC가 $16k → $42k로 급등한 강세장이라 Buy-and-Hold가 유리하다. 반면 Train(2020-2022)은 상승·하락·횡보가 혼재해 ATR 비례 그리드가 유리하다. ATR k=2.0은 Train에서 Sharpe -0.104(음수)인데 Val에서는 1.948로 역전되는 극단적인 예시이다.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Train 셋이 PPO 학습 환경이므로, PPO 성능 비교는 Train 셋 기준이 더 공정하다.</w:t>
      </w:r>
    </w:p>
    <w:p>
      <w:pPr>
        <w:spacing w:after="80" w:before="80"/>
      </w:pPr>
    </w:p>
    <w:p>
      <w:pPr>
        <w:spacing w:after="40" w:before="120"/>
        <w:jc w:val="center"/>
      </w:pPr>
      <w:r>
        <w:drawing>
          <wp:inline distT="0" distB="0" distL="0" distR="0">
            <wp:extent cx="4762500" cy="1714500"/>
            <wp:effectExtent t="0" r="0" b="0" l="0"/>
            <wp:docPr id="1" name="[그림 3] Val 셋 베이스라인 Sharpe/수익률/MDD 비교" descr="[그림 3] Val 셋 베이스라인 Sharpe/수익률/MDD 비교" title="[그림 3] Val 셋 베이스라인 Sharpe/수익률/MDD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[그림 3] Val 셋 베이스라인 Sharpe/수익률/MDD 비교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809750"/>
            <wp:effectExtent t="0" r="0" b="0" l="0"/>
            <wp:docPr id="1" name="[그림 4] Train vs Val Sharpe 비교 — 강세장(Val)과 혼재장(Train) 간 순위 역전" descr="[그림 4] Train vs Val Sharpe 비교 — 강세장(Val)과 혼재장(Train) 간 순위 역전" title="[그림 4] Train vs Val Sharpe 비교 — 강세장(Val)과 혼재장(Train) 간 순위 역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[그림 4] Train vs Val Sharpe 비교 — 강세장(Val)과 혼재장(Train) 간 순위 역전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809750"/>
            <wp:effectExtent t="0" r="0" b="0" l="0"/>
            <wp:docPr id="1" name="[그림 5] Val 셋 자본 곡선 비교" descr="[그림 5] Val 셋 자본 곡선 비교" title="[그림 5] Val 셋 자본 곡선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[그림 5] Val 셋 자본 곡선 비교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6. PPO 학습 결과 및 분석</w:t>
      </w:r>
    </w:p>
    <w:p>
      <w:pPr>
        <w:pBdr>
          <w:bottom w:val="single" w:color="2E75B6" w:sz="4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6.1 실험 환경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알고리즘: PPO (stable-baselines3 v2.8.0)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정책 네트워크: MlpPolicy (2×64 hidden units)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학습 데이터: Train 셋 (2020-2022, 25,916봉)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평가 주기: 매 50,000 스텝마다 Val 셋 Sharpe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Python 3.11 / PyTorch 2.x / numpy 1.26</w:t>
      </w:r>
    </w:p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6.2 exp001 vs exp002 하이퍼파라미터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00"/>
        <w:gridCol w:w="3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exp001 (기본)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exp002 (튜닝)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learning_rate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3e-4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1e-4 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n_steps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2,048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4,096 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batch_size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128 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ent_coef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0.01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0.005 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total_timesteps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1,000,000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6.3 학습 결과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00"/>
        <w:gridCol w:w="3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exp001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exp002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best Sharpe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0.795 (step=100k)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0.745 (step=50k)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final Sharpe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8"/>
                <w:szCs w:val="18"/>
              </w:rPr>
              <w:t xml:space="preserve">-0.280 (수렴 실패)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-0.095 (개선)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평균 Sharpe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0.271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0.368 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양수 비율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95.0%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90.0%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Train 베이스라인 최고 (0.818)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8"/>
                <w:szCs w:val="18"/>
              </w:rPr>
              <w:t xml:space="preserve">미달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8"/>
                <w:szCs w:val="18"/>
              </w:rPr>
              <w:t xml:space="preserve">미달</w:t>
            </w:r>
          </w:p>
        </w:tc>
      </w:tr>
    </w:tbl>
    <w:p>
      <w:pPr>
        <w:spacing w:after="60" w:before="120"/>
      </w:pPr>
    </w:p>
    <w:p>
      <w:pPr>
        <w:spacing w:after="40" w:before="120"/>
        <w:jc w:val="center"/>
      </w:pPr>
      <w:r>
        <w:drawing>
          <wp:inline distT="0" distB="0" distL="0" distR="0">
            <wp:extent cx="4762500" cy="1714500"/>
            <wp:effectExtent t="0" r="0" b="0" l="0"/>
            <wp:docPr id="1" name="[그림 6] PPO exp001 학습 곡선 (Val Sharpe 추이)" descr="[그림 6] PPO exp001 학습 곡선 (Val Sharpe 추이)" title="[그림 6] PPO exp001 학습 곡선 (Val Sharpe 추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[그림 6] PPO exp001 학습 곡선 (Val Sharpe 추이)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714500"/>
            <wp:effectExtent t="0" r="0" b="0" l="0"/>
            <wp:docPr id="1" name="[그림 7] exp001 vs exp002 학습 곡선 비교" descr="[그림 7] exp001 vs exp002 학습 곡선 비교" title="[그림 7] exp001 vs exp002 학습 곡선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[그림 7] exp001 vs exp002 학습 곡선 비교</w:t>
      </w:r>
    </w:p>
    <w:p>
      <w:pPr>
        <w:spacing w:after="60" w:before="8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6.4 결과 해석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exp002는 exp001 대비 안정성이 개선되었다(final Sharpe -0.280 → -0.095, 평균 Sharpe 0.271 → 0.368). 그러나 두 실험 모두 Train 베이스라인 최고치(0.818)에 미달이다.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주목할 점은 exp001의 best_model(Sharpe 0.795)이 Train 베이스라인 최고치(0.818)에 거의 근접한다는 것이다. 이는 PPO가 전혀 학습하지 못한 것이 아니라,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초기에는 베이스라인 수준까지 학습했다가 이후 수렴하지 못하고 성능이 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하는 패턴임을 보여준다.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7. 한계 및 향후 계획</w:t>
      </w:r>
    </w:p>
    <w:p>
      <w:pPr>
        <w:pBdr>
          <w:bottom w:val="single" w:color="2E75B6" w:sz="4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7.1 현재 한계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PPO 수렴 실패: 학습 초반 이후 Sharpe가 진동하며 Train 베이스라인을 넘지 못함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보상 신호 약함: step_reward의 절대값이 매우 작아(~0.0001 수준) PPO의 학습 신호가 약함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학습률 불안정: lr=3e-4가 후반부에 정책을 불안정하게 만드는 것으로 추정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에피소드 길이 불균형: 학습 에피소드(25,916봉) 대비 롤아웃 버퍼(n_steps=2048)가 너무 짧음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백테스트와 실전 차이: 슬리피지, 부분 체결 등 실제 시장 마찰 미반영</w:t>
      </w:r>
    </w:p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7-1. 하이퍼파라미터 튜닝 방향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단순한 수치 조정(exp001→002)만으로는 한계가 있다. 다음 두 가지 구조적 변경이 가장 효과가 클 것으로 판단한다.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VecNormalize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SB3 내장 reward/obs 자동 정규화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약한 보상 신호 문제 해결 (근본 원인)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LR Scheduling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3e-4 → 1e-5 cosine/linear decay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후반부 수렴 불안정 해소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더 긴 학습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1M → 3M 스텝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충분한 샘플 확보 (리스크 없음)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8"/>
                <w:szCs w:val="18"/>
              </w:rPr>
              <w:t xml:space="preserve">n_steps 증가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4,096 → 8,192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긴 에피소드 대응 (크레딧 할당 개선)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7-2. Binance Real-time API 확장 계획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지도교수님께서 실시간 API 연동 가능성을 언급하셨다. 현재 시스템은 오프라인 백테스트 기반이며, 다음 단계로 실시간 운용 환경 구축이 가능하다.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현재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오프라인 백테스트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저장된 과거 데이터로 학습 및 평가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2단계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Paper Trading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Binance WebSocket으로 실시간 캔들 수신 → PPO 모델 추론 → 가상 주문 (실제 자금 없음)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3단계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Testnet Live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Binance Testnet API로 실제 주문 로직 검증 (가상 자금)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4단계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Live Trading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8"/>
                <w:szCs w:val="18"/>
              </w:rPr>
              <w:t xml:space="preserve">소액 실제 자금으로 검증 후 점진적 확대</w:t>
            </w:r>
          </w:p>
        </w:tc>
      </w:tr>
    </w:tbl>
    <w:p>
      <w:pPr>
        <w:spacing w:after="60" w:before="120"/>
      </w:pP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Binance WebSocket을 통해 실시간 1h 캔들을 수신하고, 캔들이 마감될 때마다 PPO 모델에 현재 state를 입력해 action을 얻고, ccxt의 create_limit_order()로 지정가 주문을 제출하는 구조다. 현재 구현된 환경(BTCGridTradingEnv)의 실행 로직을 실시간 루프로 전환하면 Paper Trading 단계는 비교적 빠르게 구현 가능하다.</w:t>
      </w:r>
    </w:p>
    <w:p>
      <w:pPr>
        <w:spacing w:after="80" w:before="200"/>
      </w:pPr>
    </w:p>
    <w:p>
      <w:pPr>
        <w:pBdr>
          <w:bottom w:val="single" w:color="2E75B6" w:sz="4" w:space="1"/>
        </w:pBdr>
        <w:spacing w:after="120" w:before="120"/>
      </w:pPr>
    </w:p>
    <w:p>
      <w:pPr>
        <w:spacing w:after="60" w:before="120"/>
        <w:jc w:val="center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GitHub: </w:t>
      </w:r>
      <w:r>
        <w:rPr>
          <w:rFonts w:ascii="Malgun Gothic" w:cs="Malgun Gothic" w:eastAsia="Malgun Gothic" w:hAnsi="Malgun Gothic"/>
          <w:color w:val="2E75B6"/>
          <w:sz w:val="18"/>
          <w:szCs w:val="18"/>
        </w:rPr>
        <w:t xml:space="preserve">github.com/cosmicpotato2047/capstone-rl-trading</w:t>
      </w:r>
    </w:p>
    <w:sectPr>
      <w:headerReference w:type="default" r:id="rId7"/>
      <w:footerReference w:type="default" r:id="rId8"/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95959"/>
        <w:sz w:val="16"/>
        <w:szCs w:val="16"/>
      </w:rPr>
      <w:t xml:space="preserve">- </w:t>
    </w:r>
    <w:r>
      <w:rPr>
        <w:rFonts w:ascii="Malgun Gothic" w:cs="Malgun Gothic" w:eastAsia="Malgun Gothic" w:hAnsi="Malgun Gothic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Malgun Gothic" w:cs="Malgun Gothic" w:eastAsia="Malgun Gothic" w:hAnsi="Malgun Gothic"/>
        <w:color w:val="595959"/>
        <w:sz w:val="16"/>
        <w:szCs w:val="16"/>
      </w:rPr>
      <w:t xml:space="preserve">캡스톤 프로젝트 6주차 보고서  |  BTC 그리드 트레이딩 RL 에이전트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d65a235dc669b161e93fcab53530d1ba9275aa.png"/><Relationship Id="rId10" Type="http://schemas.openxmlformats.org/officeDocument/2006/relationships/image" Target="media/fa7854a10f59151cda25d684c0393a8d23d84da2.png"/><Relationship Id="rId11" Type="http://schemas.openxmlformats.org/officeDocument/2006/relationships/image" Target="media/f9d82dbce9d994d81d5a744d674f9746b06b31f8.png"/><Relationship Id="rId12" Type="http://schemas.openxmlformats.org/officeDocument/2006/relationships/image" Target="media/bc0adc942c29b33b6b6adbb193e6cf61bbcde884.png"/><Relationship Id="rId13" Type="http://schemas.openxmlformats.org/officeDocument/2006/relationships/image" Target="media/d3fcd914220041fd09d7c7125d81a929c040fa32.png"/><Relationship Id="rId14" Type="http://schemas.openxmlformats.org/officeDocument/2006/relationships/image" Target="media/fc36344afc0c918d113192638789fa762479e55c.png"/><Relationship Id="rId15" Type="http://schemas.openxmlformats.org/officeDocument/2006/relationships/image" Target="media/19c233da7f035be4fc789bfadcb8149ad89ca9b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2026-04-17T03:54:17.682Z</dcterms:created>
  <dcterms:modified xsi:type="dcterms:W3CDTF">2026-04-17T03:54:17.684Z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