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240" w:before="0"/>
        <w:jc w:val="center"/>
      </w:pPr>
      <w:r>
        <w:rPr>
          <w:rFonts w:ascii="Malgun Gothic" w:cs="Malgun Gothic" w:eastAsia="Malgun Gothic" w:hAnsi="Malgun Gothic"/>
          <w:color w:val="595959"/>
          <w:sz w:val="24"/>
          <w:szCs w:val="24"/>
        </w:rPr>
        <w:t xml:space="preserve">캡스톤 디자인</w:t>
      </w:r>
    </w:p>
    <w:p>
      <w:pPr>
        <w:spacing w:after="120" w:before="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48"/>
          <w:szCs w:val="48"/>
        </w:rPr>
        <w:t xml:space="preserve">6주차 연구 보고서</w:t>
      </w:r>
    </w:p>
    <w:p>
      <w:pPr>
        <w:spacing w:after="480" w:before="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36"/>
          <w:szCs w:val="36"/>
        </w:rPr>
        <w:t xml:space="preserve">BTC 동적 그리드 트레이딩 RL 에이전트</w:t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after="120" w:before="240"/>
        <w:jc w:val="center"/>
      </w:pPr>
      <w:r>
        <w:rPr>
          <w:rFonts w:ascii="Malgun Gothic" w:cs="Malgun Gothic" w:eastAsia="Malgun Gothic" w:hAnsi="Malgun Gothic"/>
          <w:color w:val="595959"/>
          <w:sz w:val="22"/>
          <w:szCs w:val="22"/>
        </w:rPr>
        <w:t xml:space="preserve">2026년 4월</w:t>
      </w:r>
    </w:p>
    <w:p>
      <w:pPr>
        <w:spacing w:after="0" w:before="180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1. 연구 개요 및 질문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1.1 연구 배경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암호화폐 시장은 24시간 운영되며 변동성이 높다. 이 변동성을 위험이 아닌 수익 원천으로 활용하는 전략이 그리드 트레이딩이다. 그리드 봇은 일정 간격으로 매수/매도 주문을 배치해 가격 진동에서 반복적으로 수익을 얻는다.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기존 그리드 봇의 한계는 파라미터(그리드 간격, 주문 크기)가 고정되어 있다는 점이다. 변동성이 낮은 장에서는 간격이 너무 넓어 체결이 드물고, 변동성이 높은 장에서는 너무 좁아 손실이 반복된다. 본 연구는 강화학습(PPO)이 시장 상황을 인식하고 파라미터를 동적으로 조정할 수 있는지 탐구한다.</w:t>
      </w:r>
    </w:p>
    <w:p>
      <w:pPr>
        <w:spacing w:after="120" w:before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연구 질문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주 질문: PPO 에이전트가 규칙 기반 그리드 전략보다 높은 Sharpe Ratio를 달성할 수 있는가?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부 질문: 에이전트는 어떤 시장 레짐(Low/Mid/High Volatility)에서 어떤 간격을 선택하는가?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1.2 접근 방식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연구는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방향성 예측(가격이 오를지 내릴지)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 아닌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변동성에서의 수익 추구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목표로 한다. 강화학습 에이전트는 매 시간봉마다 두 개의 연속 행동값(매수 공격성, 수익 목표)을 출력하고, 이것이 그리드 주문 간격으로 변환된다.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2. 데이터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2.1 데이터 수집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Binance 거래소의 BTC/USDT 1시간봉 데이터를 ccxt 라이브러리를 통해 수집했다. 1시간봉을 선택한 이유는 그리드 봇의 주문 체결 주기와 시장 변동성을 포착하기에 적합한 단위이기 때문이다.</w:t>
      </w:r>
    </w:p>
    <w:p>
      <w:pPr>
        <w:spacing w:after="80" w:before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Train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2020.01 ~ 2022.12 (25,916봉)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PPO 학습용 — 상승·하락·횡보 레짐 혼재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Validation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2023.01 ~ 2023.12 (8,736봉)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학습 중 평가용 (Sharpe 모니터링)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Test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2024.01 ~ 현재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최종 평가 전까지 완전 봉인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2.2 전처리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원본 OHLCV 데이터에서 다음 세 가지 지표를 계산했다.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log_price: log(price / price.rolling(168).mean()) — 168시간(7일) 이동평균 대비 현재 가격의 상대적 위치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volatility_raw: ATR(168) / price — 절대 변동성을 가격으로 나눈 상대 변동성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Rolling z-score 정규화: 위 두 지표를 168봉 이동 평균/표준편차로 정규화 → 관측 공간 [-5, 5] 수렴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외부 라이브러리(TA-Lib 등) 없이 pandas로 직접 구현하여 의존성을 최소화했다.</w:t>
      </w:r>
    </w:p>
    <w:p>
      <w:pPr>
        <w:spacing w:after="80" w:before="120"/>
      </w:pPr>
    </w:p>
    <w:p>
      <w:pPr>
        <w:spacing w:after="40" w:before="120"/>
        <w:jc w:val="center"/>
      </w:pPr>
      <w:r>
        <w:drawing>
          <wp:inline distT="0" distB="0" distL="0" distR="0">
            <wp:extent cx="4762500" cy="1619250"/>
            <wp:effectExtent t="0" r="0" b="0" l="0"/>
            <wp:docPr id="1" name="[그림 1] BTC/USDT 가격 시계열 (2020~2022)" descr="[그림 1] BTC/USDT 가격 시계열 (2020~2022)" title="[그림 1] BTC/USDT 가격 시계열 (2020~202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[그림 1] BTC/USDT 가격 시계열 (2020~2022)</w:t>
      </w:r>
    </w:p>
    <w:p>
      <w:pPr>
        <w:spacing w:after="40" w:before="120"/>
        <w:jc w:val="center"/>
      </w:pPr>
      <w:r>
        <w:drawing>
          <wp:inline distT="0" distB="0" distL="0" distR="0">
            <wp:extent cx="4762500" cy="1619250"/>
            <wp:effectExtent t="0" r="0" b="0" l="0"/>
            <wp:docPr id="1" name="[그림 2] ATR 기반 변동성 레짐 구분 (Low/Mid/High)" descr="[그림 2] ATR 기반 변동성 레짐 구분 (Low/Mid/High)" title="[그림 2] ATR 기반 변동성 레짐 구분 (Low/Mid/High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[그림 2] ATR 기반 변동성 레짐 구분 (Low/Mid/High)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3. MDP 설계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3.1 상태 공간 (State Space)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환경은 5차원 연속 상태 벡터를 매 스텝마다 에이전트에게 전달한다.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400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차원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변수명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미보유 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[0]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log_price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현재가 / 7일 이동평균 비율 (로그)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그대로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[1]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divergence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현재가와 평균매수단가의 괴리율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[2]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holdings_value_ratio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보유 BTC 평가액 / 초기 자본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[3]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cash_ratio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현재 현금 / 초기 자본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그대로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[4]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volatility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ATR(168) / 현재가 (상대 변동성)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그대로</w:t>
            </w:r>
          </w:p>
        </w:tc>
      </w:tr>
    </w:tbl>
    <w:p>
      <w:pPr>
        <w:spacing w:after="60" w:before="12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3.2 행동 공간 (Action Space)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행동은 2차원 연속 벡터 [0, 1]² 이다. 이산(Discrete) 행동이 아닌 이유는, 매수/매도 시점보다 간격의 세밀한 조정이 핵심 의사결정이기 때문이다.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차원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변수명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[0]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aggressiveness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매수 주문 간격 결정 — 클수록 현재가에서 멀리 주문 (0.01% ~ 5%)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[1]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profit_target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매도 주문 간격 결정 — 클수록 더 높은 목표 수익률 설정 (0.01% ~ 15%)</w:t>
            </w:r>
          </w:p>
        </w:tc>
      </w:tr>
    </w:tbl>
    <w:p>
      <w:pPr>
        <w:spacing w:after="60" w:before="12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3.3 보상 함수 (Reward)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매 스텝의 보상은 포트폴리오 가치 변화를 초기 자본으로 정규화한 값에서 거래 수수료를 차감한다. 사이클 종료 시 별도 보너스는 없다.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보상 공식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step_reward = (equity_t - equity_{t-1}) / start_capital - fee_rate × n_trades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equity_t    : 현재 스텝의 포트폴리오 총가치 (현금 + 보유 BTC 평가액)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fee_rate    : 0.05% (Binance maker fee)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n_trades    : 해당 스텝에서 체결된 주문 수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4. 매수/매도 실행 로직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4.1 주문 가격 계산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에이전트의 행동값(aggressiveness, profit_target)은 다음 공식으로 4개의 지정가 주문으로 변환된다.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Action → 주문 가격 변환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[ 매수 주문 ]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buy_hi  = price × (1 - buy_hi_gap)    buy_hi_gap  = 0.0001 + aggressiveness × 0.05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buy_lo  = price × (1 - buy_lo_gap)    buy_lo_gap  = 0.001  + aggressiveness × 0.10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[ 매도 주문 ]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sell_lo = price × (1 + sell_lo_gap)   sell_lo_gap = 0.0001 + profit_target  × 0.05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sell_hi = avg_price × (1 + sell_hi_gap)  sell_hi_gap = 0.001  + profit_target  × 0.15</w:t>
            </w:r>
          </w:p>
        </w:tc>
      </w:tr>
    </w:tbl>
    <w:p>
      <w:pPr>
        <w:spacing w:after="60" w:before="12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4.2 주문 크기 (n_splits 예산 분할)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사이클 시작 시 전체 현금을 n_splits(=4) 슬롯으로 분할하여 예산을 확정한다. 이후 슬롯 예산이 소진되면 추가 매수를 완전 차단한다.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슬롯 크기 = cycle_start_cash / n_splits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주문당 크기 = 슬롯 크기 / n_buy_orders (현재 2개)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예산 소진 조건: cycle_budget_remaining &lt; per_order_size → 매수 차단</w:t>
      </w:r>
    </w:p>
    <w:p>
      <w:pPr>
        <w:spacing w:after="60" w:before="8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4.3 체결 판단 및 SELL 우선 원칙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체결 여부는 다음 봉의 실제 high/low 값으로 판단한다. 같은 봉에서 매수와 매도가 동시에 체결 가능할 때는 반드시 매도를 먼저 처리한다.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next_high &gt;= sell_lo → sell_lo 체결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next_high &gt;= sell_hi (avg_price 기준) → sell_hi 체결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next_low  &lt;= buy_hi  → buy_hi 체결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next_low  &lt;= buy_lo  → buy_lo 체결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SELL 우선 원칙의 이유: 같은 봉에서 매도 후 수익을 확정한 다음 재매수하는 것이 더 유리하며, 동시 처리 시 포트폴리오 회계가 불명확해지는 것을 방지한다.</w:t>
      </w:r>
    </w:p>
    <w:p>
      <w:pPr>
        <w:spacing w:after="60" w:before="8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4.4 매도 수량 결정 (threshold_btc)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보유량이 일정 임계값 이하이면 전량 청산하여 사이클을 종료한다. 이를 통해 소액 포지션이 무한히 유지되는 것을 방지한다.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threshold_btc = cycle_slot_size / avg(sell_lo, sell_hi)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holdings ≤ threshold_btc → 전량 청산 (사이클 종료)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holdings &gt; threshold_btc → holdings / n_sell_orders 균등 분할 매도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5. 베이스라인 전략 및 평가 결과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5.1 베이스라인 전략 구성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PPO 에이전트의 성능을 비교할 기준으로 세 종류의 규칙 기반 전략을 구현했다.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전략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Buy-and-Hold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Warmup 이후 전액 매수, 보유. 가장 단순한 기준선.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Fixed Grid (1% / 2% / 5%)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고정 간격으로 매수/매도 주문 배치. 동일 사이클 구조 적용.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ATR Grid (k=0.5/1.0/2.0)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gap = k × ATR(168)/price. 변동성에 비례하는 동적 간격. PPO와 가장 유사한 규칙 기반 전략.</w:t>
            </w:r>
          </w:p>
        </w:tc>
      </w:tr>
    </w:tbl>
    <w:p>
      <w:pPr>
        <w:spacing w:after="60" w:before="12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5.2 Train/Val 셋 평가 결과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동일한 주문 구조(SELL 우선, n_splits, threshold_btc)를 모든 전략에 적용하여 공정하게 비교했다. 평가 지표는 연율화 Sharpe Ratio를 주 기준으로 한다.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80"/>
        <w:gridCol w:w="1380"/>
        <w:gridCol w:w="1380"/>
        <w:gridCol w:w="1380"/>
        <w:gridCol w:w="12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전략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Train Sharpe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Val Sharpe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Train 수익률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Val 수익률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Val MDD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Buy-and-Hold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0.666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2.377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+89.9%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+150.2%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21.7%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Fixed Grid 1%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0.620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2.610 ★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+73.4%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+43.2%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10.8%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Fixed Grid 2%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0.205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2.032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-2.0%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+17.0%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7.7%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Fixed Grid 5%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0.802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1.375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+50.0%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+2.5%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1.7%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ATR Grid k=0.5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0.818 ★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1.118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+122.1%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+24.7%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16.1%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ATR Grid k=1.0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0.686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1.434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+86.4%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+39.8%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15.9%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ATR Grid k=2.0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8"/>
                <w:szCs w:val="18"/>
              </w:rPr>
              <w:t xml:space="preserve">-0.104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1.948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8"/>
                <w:szCs w:val="18"/>
              </w:rPr>
              <w:t xml:space="preserve">-46.5%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+29.0%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9.4%</w:t>
            </w:r>
          </w:p>
        </w:tc>
      </w:tr>
    </w:tbl>
    <w:p>
      <w:pPr>
        <w:spacing w:after="60" w:before="120"/>
      </w:pP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375623"/>
          <w:sz w:val="20"/>
          <w:szCs w:val="20"/>
        </w:rPr>
        <w:t xml:space="preserve">★ </w:t>
      </w:r>
      <w:r>
        <w:rPr>
          <w:rFonts w:ascii="Malgun Gothic" w:cs="Malgun Gothic" w:eastAsia="Malgun Gothic" w:hAnsi="Malgun Gothic"/>
          <w:sz w:val="20"/>
          <w:szCs w:val="20"/>
        </w:rPr>
        <w:t xml:space="preserve">PPO 목표치: Train 셋 ATR k=0.5 (0.818), Val 셋 Fixed Grid 1% (2.610)</w:t>
      </w:r>
    </w:p>
    <w:p>
      <w:pPr>
        <w:spacing w:after="60" w:before="80"/>
      </w:pP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Train과 Val의 순위가 다르다는 점이 주목할 만하다. Val(2023)은 BTC가 $16k → $42k로 급등한 강세장이라 Buy-and-Hold가 유리하다. 반면 Train(2020-2022)은 상승·하락·횡보가 혼재해 ATR 비례 그리드가 유리하다. ATR k=2.0은 Train에서 Sharpe -0.104(음수)인데 Val에서는 1.948로 역전되는 극단적인 예시이다.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Train 셋이 PPO 학습 환경이므로, PPO 성능 비교는 Train 셋 기준이 더 공정하다.</w:t>
      </w:r>
    </w:p>
    <w:p>
      <w:pPr>
        <w:spacing w:after="80" w:before="80"/>
      </w:pPr>
    </w:p>
    <w:p>
      <w:pPr>
        <w:spacing w:after="40" w:before="120"/>
        <w:jc w:val="center"/>
      </w:pPr>
      <w:r>
        <w:drawing>
          <wp:inline distT="0" distB="0" distL="0" distR="0">
            <wp:extent cx="4762500" cy="1714500"/>
            <wp:effectExtent t="0" r="0" b="0" l="0"/>
            <wp:docPr id="1" name="[그림 3] Val 셋 베이스라인 Sharpe/수익률/MDD 비교" descr="[그림 3] Val 셋 베이스라인 Sharpe/수익률/MDD 비교" title="[그림 3] Val 셋 베이스라인 Sharpe/수익률/MDD 비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[그림 3] Val 셋 베이스라인 Sharpe/수익률/MDD 비교</w:t>
      </w:r>
    </w:p>
    <w:p>
      <w:pPr>
        <w:spacing w:after="40" w:before="120"/>
        <w:jc w:val="center"/>
      </w:pPr>
      <w:r>
        <w:drawing>
          <wp:inline distT="0" distB="0" distL="0" distR="0">
            <wp:extent cx="4762500" cy="1809750"/>
            <wp:effectExtent t="0" r="0" b="0" l="0"/>
            <wp:docPr id="1" name="[그림 4] Train vs Val Sharpe 비교 — 강세장(Val)과 혼재장(Train) 간 순위 역전" descr="[그림 4] Train vs Val Sharpe 비교 — 강세장(Val)과 혼재장(Train) 간 순위 역전" title="[그림 4] Train vs Val Sharpe 비교 — 강세장(Val)과 혼재장(Train) 간 순위 역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[그림 4] Train vs Val Sharpe 비교 — 강세장(Val)과 혼재장(Train) 간 순위 역전</w:t>
      </w:r>
    </w:p>
    <w:p>
      <w:pPr>
        <w:spacing w:after="40" w:before="120"/>
        <w:jc w:val="center"/>
      </w:pPr>
      <w:r>
        <w:drawing>
          <wp:inline distT="0" distB="0" distL="0" distR="0">
            <wp:extent cx="4762500" cy="1809750"/>
            <wp:effectExtent t="0" r="0" b="0" l="0"/>
            <wp:docPr id="1" name="[그림 5] Val 셋 자본 곡선 비교" descr="[그림 5] Val 셋 자본 곡선 비교" title="[그림 5] Val 셋 자본 곡선 비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[그림 5] Val 셋 자본 곡선 비교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6. PPO 학습 결과 및 분석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6.1 실험 환경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알고리즘: PPO (stable-baselines3 v2.8.0)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정책 네트워크: MlpPolicy (2×64 hidden units)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학습 데이터: Train 셋 (2020-2022, 25,916봉)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평가 주기: 매 50,000 스텝마다 Val 셋 Sharpe 측정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Python 3.11 / PyTorch 2.x / numpy 1.26</w:t>
      </w:r>
    </w:p>
    <w:p>
      <w:pPr>
        <w:spacing w:after="60" w:before="12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6.2 exp001 vs exp002 하이퍼파라미터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00"/>
        <w:gridCol w:w="3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파라미터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exp001 (기본)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exp002 (튜닝)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learning_rate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3e-4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1e-4 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n_steps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2,048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4,096 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batch_size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64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128 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ent_coef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0.01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0.005 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total_timesteps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1,000,000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1,000,000</w:t>
            </w:r>
          </w:p>
        </w:tc>
      </w:tr>
    </w:tbl>
    <w:p>
      <w:pPr>
        <w:spacing w:after="60" w:before="12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6.3 학습 결과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00"/>
        <w:gridCol w:w="3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exp001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exp002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best Sharpe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0.795 (step=100k)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0.745 (step=50k)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final Sharpe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8"/>
                <w:szCs w:val="18"/>
              </w:rPr>
              <w:t xml:space="preserve">-0.280 (수렴 실패)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-0.095 (개선)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평균 Sharpe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0.271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0.368 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양수 비율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95.0%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90.0%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Train 베이스라인 최고 (0.818)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8"/>
                <w:szCs w:val="18"/>
              </w:rPr>
              <w:t xml:space="preserve">미달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8"/>
                <w:szCs w:val="18"/>
              </w:rPr>
              <w:t xml:space="preserve">미달</w:t>
            </w:r>
          </w:p>
        </w:tc>
      </w:tr>
    </w:tbl>
    <w:p>
      <w:pPr>
        <w:spacing w:after="60" w:before="120"/>
      </w:pPr>
    </w:p>
    <w:p>
      <w:pPr>
        <w:spacing w:after="40" w:before="120"/>
        <w:jc w:val="center"/>
      </w:pPr>
      <w:r>
        <w:drawing>
          <wp:inline distT="0" distB="0" distL="0" distR="0">
            <wp:extent cx="4762500" cy="1714500"/>
            <wp:effectExtent t="0" r="0" b="0" l="0"/>
            <wp:docPr id="1" name="[그림 6] PPO exp001 학습 곡선 (Val Sharpe 추이)" descr="[그림 6] PPO exp001 학습 곡선 (Val Sharpe 추이)" title="[그림 6] PPO exp001 학습 곡선 (Val Sharpe 추이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[그림 6] PPO exp001 학습 곡선 (Val Sharpe 추이)</w:t>
      </w:r>
    </w:p>
    <w:p>
      <w:pPr>
        <w:spacing w:after="40" w:before="120"/>
        <w:jc w:val="center"/>
      </w:pPr>
      <w:r>
        <w:drawing>
          <wp:inline distT="0" distB="0" distL="0" distR="0">
            <wp:extent cx="4762500" cy="1714500"/>
            <wp:effectExtent t="0" r="0" b="0" l="0"/>
            <wp:docPr id="1" name="[그림 7] exp001 vs exp002 학습 곡선 비교" descr="[그림 7] exp001 vs exp002 학습 곡선 비교" title="[그림 7] exp001 vs exp002 학습 곡선 비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[그림 7] exp001 vs exp002 학습 곡선 비교</w:t>
      </w:r>
    </w:p>
    <w:p>
      <w:pPr>
        <w:spacing w:after="60" w:before="8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6.4 결과 해석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exp002는 exp001 대비 안정성이 개선되었다(final Sharpe -0.280 → -0.095, 평균 Sharpe 0.271 → 0.368). 그러나 두 실험 모두 Train 베이스라인 최고치(0.818)에 미달이다.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주목할 점은 exp001의 best_model(Sharpe 0.795)이 Train 베이스라인 최고치(0.818)에 거의 근접한다는 것이다. 이는 PPO가 전혀 학습하지 못한 것이 아니라,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초기에는 베이스라인 수준까지 학습했다가 이후 수렴하지 못하고 성능이 하락</w:t>
      </w:r>
      <w:r>
        <w:rPr>
          <w:rFonts w:ascii="Malgun Gothic" w:cs="Malgun Gothic" w:eastAsia="Malgun Gothic" w:hAnsi="Malgun Gothic"/>
          <w:sz w:val="20"/>
          <w:szCs w:val="20"/>
        </w:rPr>
        <w:t xml:space="preserve">하는 패턴임을 보여준다.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7. 한계 및 향후 계획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7.1 현재 한계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PPO 수렴 실패: 학습 초반 이후 Sharpe가 진동하며 Train 베이스라인을 넘지 못함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보상 신호 약함: step_reward의 절대값이 매우 작아(~0.0001 수준) PPO의 학습 신호가 약함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학습률 불안정: lr=3e-4가 후반부에 정책을 불안정하게 만드는 것으로 추정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에피소드 길이 불균형: 학습 에피소드(25,916봉) 대비 롤아웃 버퍼(n_steps=2048)가 너무 짧음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백테스트와 실전 차이: 슬리피지, 부분 체결 등 실제 시장 마찰 미반영</w:t>
      </w:r>
    </w:p>
    <w:p>
      <w:pPr>
        <w:spacing w:after="60" w:before="12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7-1. 하이퍼파라미터 튜닝 방향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단순한 수치 조정(exp001→002)만으로는 한계가 있다. 다음 두 가지 구조적 변경이 가장 효과가 클 것으로 판단한다.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방법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기대 효과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VecNormalize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SB3 내장 reward/obs 자동 정규화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약한 보상 신호 문제 해결 (근본 원인)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LR Scheduling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3e-4 → 1e-5 cosine/linear decay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후반부 수렴 불안정 해소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더 긴 학습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1M → 3M 스텝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충분한 샘플 확보 (리스크 없음)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n_steps 증가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4,096 → 8,192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긴 에피소드 대응 (크레딧 할당 개선)</w:t>
            </w:r>
          </w:p>
        </w:tc>
      </w:tr>
    </w:tbl>
    <w:p>
      <w:pPr>
        <w:spacing w:after="60" w:before="12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7-2. Binance Real-time API 확장 계획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지도교수님께서 실시간 API 연동 가능성을 언급하셨다. 현재 시스템은 오프라인 백테스트 기반이며, 다음 단계로 실시간 운용 환경 구축이 가능하다.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구성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현재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오프라인 백테스트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저장된 과거 데이터로 학습 및 평가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Paper Trading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Binance WebSocket으로 실시간 캔들 수신 → PPO 모델 추론 → 가상 주문 (실제 자금 없음)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Testnet Live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Binance Testnet API로 실제 주문 로직 검증 (가상 자금)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Live Trading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소액 실제 자금으로 검증 후 점진적 확대</w:t>
            </w:r>
          </w:p>
        </w:tc>
      </w:tr>
    </w:tbl>
    <w:p>
      <w:pPr>
        <w:spacing w:after="60" w:before="120"/>
      </w:pP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Binance WebSocket을 통해 실시간 1h 캔들을 수신하고, 캔들이 마감될 때마다 PPO 모델에 현재 state를 입력해 action을 얻고, ccxt의 create_limit_order()로 지정가 주문을 제출하는 구조다. 현재 구현된 환경(BTCGridTradingEnv)의 실행 로직을 실시간 루프로 전환하면 Paper Trading 단계는 비교적 빠르게 구현 가능하다.</w:t>
      </w:r>
    </w:p>
    <w:p>
      <w:pPr>
        <w:spacing w:after="80" w:before="200"/>
      </w:pPr>
    </w:p>
    <w:p>
      <w:pPr>
        <w:pBdr>
          <w:bottom w:val="single" w:color="2E75B6" w:sz="4" w:space="1"/>
        </w:pBdr>
        <w:spacing w:after="120" w:before="120"/>
      </w:pPr>
    </w:p>
    <w:p>
      <w:pPr>
        <w:spacing w:after="60" w:before="120"/>
        <w:jc w:val="center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GitHub: </w:t>
      </w:r>
      <w:r>
        <w:rPr>
          <w:rFonts w:ascii="Malgun Gothic" w:cs="Malgun Gothic" w:eastAsia="Malgun Gothic" w:hAnsi="Malgun Gothic"/>
          <w:color w:val="2E75B6"/>
          <w:sz w:val="18"/>
          <w:szCs w:val="18"/>
        </w:rPr>
        <w:t xml:space="preserve">github.com/cosmicpotato2047/capstone-rl-trading</w:t>
      </w:r>
    </w:p>
    <w:sectPr>
      <w:headerReference w:type="default" r:id="rId7"/>
      <w:footerReference w:type="default" r:id="rId8"/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95959"/>
        <w:sz w:val="16"/>
        <w:szCs w:val="16"/>
      </w:rPr>
      <w:t xml:space="preserve">- </w:t>
    </w:r>
    <w:r>
      <w:rPr>
        <w:rFonts w:ascii="Malgun Gothic" w:cs="Malgun Gothic" w:eastAsia="Malgun Gothic" w:hAnsi="Malgun Gothic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59595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Malgun Gothic" w:cs="Malgun Gothic" w:eastAsia="Malgun Gothic" w:hAnsi="Malgun Gothic"/>
        <w:color w:val="595959"/>
        <w:sz w:val="16"/>
        <w:szCs w:val="16"/>
      </w:rPr>
      <w:t xml:space="preserve">캡스톤 프로젝트 6주차 보고서  |  BTC 그리드 트레이딩 RL 에이전트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algun Gothic" w:cs="Malgun Gothic" w:eastAsia="Malgun Gothic" w:hAnsi="Malgun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8d65a235dc669b161e93fcab53530d1ba9275aa.png"/><Relationship Id="rId10" Type="http://schemas.openxmlformats.org/officeDocument/2006/relationships/image" Target="media/fa7854a10f59151cda25d684c0393a8d23d84da2.png"/><Relationship Id="rId11" Type="http://schemas.openxmlformats.org/officeDocument/2006/relationships/image" Target="media/f9d82dbce9d994d81d5a744d674f9746b06b31f8.png"/><Relationship Id="rId12" Type="http://schemas.openxmlformats.org/officeDocument/2006/relationships/image" Target="media/bc0adc942c29b33b6b6adbb193e6cf61bbcde884.png"/><Relationship Id="rId13" Type="http://schemas.openxmlformats.org/officeDocument/2006/relationships/image" Target="media/d3fcd914220041fd09d7c7125d81a929c040fa32.png"/><Relationship Id="rId14" Type="http://schemas.openxmlformats.org/officeDocument/2006/relationships/image" Target="media/fc36344afc0c918d113192638789fa762479e55c.png"/><Relationship Id="rId15" Type="http://schemas.openxmlformats.org/officeDocument/2006/relationships/image" Target="media/19c233da7f035be4fc789bfadcb8149ad89ca9b2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2026-04-15T02:13:29.821Z</dcterms:created>
  <dcterms:modified xsi:type="dcterms:W3CDTF">2026-04-15T02:13:29.822Z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