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캡스톤 디자인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8"/>
          <w:szCs w:val="48"/>
        </w:rPr>
        <w:t xml:space="preserve">6주차 연구 보고서</w:t>
      </w:r>
    </w:p>
    <w:p>
      <w:pPr>
        <w:spacing w:after="480" w:before="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BTC 동적 그리드 트레이딩 RL 에이전트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2026년 4월</w:t>
      </w:r>
    </w:p>
    <w:p>
      <w:pPr>
        <w:spacing w:after="0" w:before="18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1. 연구 개요 및 질문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연구 주제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가격 방향 예측 없이 시장 상태(변동성·가격 수준)와 포지션 상태(손익·보유량·여력)만을 state로 사용하는 PPO 기반 강화학습 에이전트의 비트코인 동적 그리드 트레이딩 전략 학습 및 행동 패턴 분석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연구 질문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연구 질문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 질문: 시장 상태와 포지션 상태에 반응하여 그리드 간격과 익절 목표를 동적으로 결정하는 PPO 에이전트가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        비트코인 시장에서 고정 그리드 전략 대비 Sharpe Ratio 기준 우위를 보이는가?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 질문: 학습된 에이전트는 어떤 시장 상태(변동성 수준, 가격 수준)에서 어떤 그리드 간격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        (aggressiveness)과 익절 목표(profit_target)를 선택하는가?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2. 데이터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데이터 수집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Binance 거래소의 BTC/USDT 1시간봉 데이터를 ccxt 라이브러리를 통해 수집했다. 1시간봉을 선택한 이유는 그리드 봇의 주문 체결 주기와 시장 변동성을 포착하기에 적합한 단위이기 때문이다.</w:t>
      </w:r>
    </w:p>
    <w:p>
      <w:pPr>
        <w:spacing w:after="8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Train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2020.01 ~ 2022.12 (25,916봉)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PPO 학습용 — 상승·하락·횡보 레짐 혼재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2023.01 ~ 2023.12 (8,736봉)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학습 중 평가용 (Sharpe 모니터링)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2024.01 ~ 현재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최종 평가 전까지 완전 봉인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처리된 데이터의 실제 구조 (Train 셋 상위 5행):</w:t>
      </w:r>
    </w:p>
    <w:p>
      <w:pPr>
        <w:spacing w:after="6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700"/>
        <w:gridCol w:w="700"/>
        <w:gridCol w:w="700"/>
        <w:gridCol w:w="800"/>
        <w:gridCol w:w="900"/>
        <w:gridCol w:w="900"/>
        <w:gridCol w:w="1000"/>
        <w:gridCol w:w="10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log_price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vol_raw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zscore_lp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zscore_vol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2020-01-14 22:00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8735.9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8789.8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8719.1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8735.9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1875.6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0.0716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0.00935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0.194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2020-01-14 23:00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8736.0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8880.0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8722.0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8810.0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4718.1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0.0796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0.00925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0.059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2020-01-15 00:00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8814.6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8900.0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8701.0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8772.9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8982.4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0.0751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0.00922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-0.007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2020-01-15 01:00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8774.2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8803.8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8712.0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8778.0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4161.7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0.0754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0.00919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-0.056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2020-01-15 02:00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8778.0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8835.0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8765.3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8813.8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1933.9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0.0791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0.00909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-0.211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전처리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원본 OHLCV 데이터에서 다음 두 가지 파생 지표를 계산하고 정규화한다.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 계산 공식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log_price = log(close / close.rolling(168).mean())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→ 현재 가격이 최근 1주일 평균 대비 얼마나 위/아래인가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volatility_raw = ATR(168) / price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→ ATR = mean(True Range) over 168봉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   True Range = max(high-low, |high-prev_close|, |low-prev_close|)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두 변수 모두 rolling z-score(window=168)로 정규화 → zscore_* 컬럼으로 저장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zscore(x, t) = (x_t - mean(x_{t-167:t})) / std(x_{t-167:t})</w:t>
            </w:r>
          </w:p>
        </w:tc>
      </w:tr>
    </w:tbl>
    <w:p>
      <w:pPr>
        <w:spacing w:after="60" w:before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외부 라이브러리(TA-Lib 등) 없이 pandas로 직접 구현하여 의존성을 최소화했다.</w:t>
      </w:r>
    </w:p>
    <w:p>
      <w:pPr>
        <w:spacing w:after="80" w:before="120"/>
      </w:pPr>
    </w:p>
    <w:p>
      <w:pPr>
        <w:spacing w:after="40" w:before="120"/>
        <w:jc w:val="center"/>
      </w:pPr>
      <w:r>
        <w:drawing>
          <wp:inline distT="0" distB="0" distL="0" distR="0">
            <wp:extent cx="4762500" cy="1619250"/>
            <wp:effectExtent t="0" r="0" b="0" l="0"/>
            <wp:docPr id="1" name="[그림 1] BTC/USDT 가격 시계열 (2020~2022)" descr="[그림 1] BTC/USDT 가격 시계열 (2020~2022)" title="[그림 1] BTC/USDT 가격 시계열 (2020~20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1] BTC/USDT 가격 시계열 (2020~2022)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619250"/>
            <wp:effectExtent t="0" r="0" b="0" l="0"/>
            <wp:docPr id="1" name="[그림 2] ATR 기반 변동성 레짐 구분 (Low/Mid/High)" descr="[그림 2] ATR 기반 변동성 레짐 구분 (Low/Mid/High)" title="[그림 2] ATR 기반 변동성 레짐 구분 (Low/Mid/Hig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2] ATR 기반 변동성 레짐 구분 (Low/Mid/High)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3. MDP 설계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상태 공간 (State Space)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환경은 5차원 연속 상태 벡터를 매 스텝마다 에이전트에게 전달한다. 모든 변수는 관측 시점 이전 168봉을 기준으로 rolling z-score 정규화한다.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z-score 정규화 공식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zscore(x, t) = (x_t - mean(x_{t-167:t})) / std(x_{t-167:t})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window = 168봉 (7일 × 24시간)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차원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미보유 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[0]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log_price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현재가 / 7일 이동평균 비율 (로그)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그대로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[1]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divergence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현재가와 평균매수단가의 괴리율 (아래 공식 참조)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아래 참조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[2]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holdings_value_ratio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보유 BTC 평가액 / 초기 자본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[3]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cash_ratio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현재 현금 / 초기 자본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그대로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[4]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volatility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ATR(168) / 현재가 (상대 변동성)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그대로</w:t>
            </w:r>
          </w:p>
        </w:tc>
      </w:tr>
    </w:tbl>
    <w:p>
      <w:pPr>
        <w:spacing w:after="6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divergence 계산 공식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보유 중:                   divergence = (avg_price - price) / avg_price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미보유 + 직전 사이클 있음:   divergence = (last_avg_price - price) / last_avg_price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미보유 + 거래 이력 없음:     divergence = 0.0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avg_price      : 현재 사이클 평균 매수 단가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last_avg_price : 직전 사이클 전량 청산 시점의 평균 매수 단가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행동 공간 (Action Space)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행동은 2차원 연속 벡터 [0, 1]² 이다. 이산(Discrete) 행동이 아닌 이유는, 매수/매도 시점보다 간격의 세밀한 조정이 핵심 의사결정이기 때문이다.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차원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[0]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aggressiveness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매수 주문 간격 결정 — 클수록 현재가에서 멀리 주문 (0.01% ~ 5%)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[1]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profit_target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매도 주문 간격 결정 — 클수록 더 높은 목표 수익률 설정 (0.01% ~ 15%)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보상 함수 (Reward)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 스텝의 보상은 포트폴리오 가치 변화를 초기 자본으로 정규화한 값에서 거래 수수료를 차감한다. 사이클 종료 시 별도 보너스는 없다.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보상 공식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step_reward = (equity_t - equity_{t-1}) / start_capital - fee_rate × n_trades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equity_t    : 현재 스텝의 포트폴리오 총가치 (현금 + 보유 BTC 평가액)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fee_rate    : 0.05% (Binance maker fee)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n_trades    : 해당 스텝에서 체결된 주문 수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4. 매수/매도 실행 로직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주문 가격 계산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에이전트의 행동값(aggressiveness, profit_target)은 다음 공식으로 4개의 지정가 주문으로 변환된다.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Action → 주문 가격 변환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매수 주문 ]  — 기준: 현재가(price)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buy_hi  = price × (1 - buy_hi_gap)       buy_hi_gap  = 0.0001 + aggressiveness × 0.05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buy_lo  = price × (1 - buy_lo_gap)       buy_lo_gap  = 0.001  + aggressiveness × 0.10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 매도 주문 ]  — sell_lo와 sell_hi는 기준 가격이 의도적으로 다름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sell_lo = price     × (1 + sell_lo_gap)  sell_lo_gap = 0.0001 + profit_target  × 0.05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sell_hi = avg_price × (1 + sell_hi_gap)  sell_hi_gap = 0.001  + profit_target  × 0.15</w:t>
            </w:r>
          </w:p>
        </w:tc>
      </w:tr>
    </w:tbl>
    <w:p>
      <w:pPr>
        <w:spacing w:after="6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sell_lo vs sell_hi 기준 가격이 다른 이유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sell_lo (현재가 기준): 시장 모멘텀 활용 — "지금 시장 기준으로 조금만 올라도 팔겠다"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→ 변동성이 있는 장에서 빠른 소익 실현 목적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sell_hi (평단가 기준): 원가 기반 수익 보호 — "매수 원가 대비 확실한 수익이 날 때만 팔겠다"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→ 손실 매도를 방지하고 목표 수익률을 보장하는 목적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※ 주의: avg_price가 현재가보다 낮을 때 sell_hi &lt; sell_lo 역전이 발생할 수 있음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 → 다음 실험에서 명칭 변경 및 역전 케이스 처리 예정 (7.2 설계 이슈 참조)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주문 크기 (n_splits 예산 분할)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사이클 시작 시 전체 현금을 n_splits(=4) 슬롯으로 분할하여 예산을 확정한다. 이후 슬롯 예산이 소진되면 추가 매수를 완전 차단한다.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주문 크기 계산 공식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cycle_slot_size = cycle_start_cash / n_splits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per_order_size  = cycle_slot_size / n_buy_orders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threshold_btc   = cycle_slot_size / mean(sell_lo, sell_hi)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예시: 초기 자본 $10,000, n_splits=4, n_buy_orders=2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→ cycle_slot_size=$2,500 / per_order_size=$1,250</w:t>
            </w:r>
          </w:p>
        </w:tc>
      </w:tr>
    </w:tbl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예산 소진 조건: cycle_budget_remaining &lt; per_order_size → 매수 차단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체결 판단 및 SELL 우선 원칙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체결 여부는 다음 봉의 실제 high/low 값으로 판단한다. 같은 봉에서 매수와 매도가 동시에 체결 가능할 때는 반드시 매도를 먼저 처리한다.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next_high &gt;= sell_lo → sell_lo 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next_high &gt;= sell_hi (avg_price 기준) → sell_hi 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next_low  &lt;= buy_hi  → buy_hi 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next_low  &lt;= buy_lo  → buy_lo 체결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SELL 우선 원칙의 이유: 같은 봉에서 매도 후 수익을 확정한 다음 재매수하는 것이 더 유리하며, 동시 처리 시 포트폴리오 회계가 불명확해지는 것을 방지한다.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4.4 매도 수량 결정 (threshold_btc)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보유량이 일정 임계값 이하이면 전량 청산하여 사이클을 종료한다. 이를 통해 소액 포지션이 무한히 유지되는 것을 방지한다.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threshold_btc = cycle_slot_size / avg(sell_lo, sell_hi)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holdings ≤ threshold_btc → 전량 청산 (사이클 종료)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holdings &gt; threshold_btc → holdings / n_sell_orders 균등 분할 매도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5. 베이스라인 전략 및 평가 결과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베이스라인 전략 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PPO 에이전트의 성능을 비교할 기준으로 세 종류의 규칙 기반 전략을 구현했다.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Buy-and-Hold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Warmup 이후 전액 매수, 보유. 가장 단순한 기준선.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Fixed Grid (1% / 2% / 5%)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고정 간격으로 매수/매도 주문 배치. 동일 사이클 구조 적용.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ATR Grid (k=0.5/1.0/2.0)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gap = k × ATR(168)/price. 변동성에 비례하는 동적 간격. PPO와 가장 유사한 규칙 기반 전략.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5.2 Train/Val 셋 평가 결과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동일한 주문 구조(SELL 우선, n_splits, threshold_btc)를 모든 전략에 적용하여 공정하게 비교했다. 평가 지표는 연율화 Sharpe Ratio를 주 기준으로 한다.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Sharpe Ratio 연율화 공식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Sharpe = (mean(r_t) / std(r_t)) × √8760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r_t   : 매 시간봉 포트폴리오 수익률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√8760 : 연율화 계수 (1년 = 8,760시간봉)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80"/>
        <w:gridCol w:w="1380"/>
        <w:gridCol w:w="1380"/>
        <w:gridCol w:w="1380"/>
        <w:gridCol w:w="1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Train Sharpe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Val Sharpe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Train 수익률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Val 수익률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Val MDD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Buy-and-Hold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0.666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2.377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+89.9%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+150.2%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21.7%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Fixed Grid 1%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0.620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2.610 ★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+73.4%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+43.2%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10.8%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Fixed Grid 2%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0.205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2.032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-2.0%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+17.0%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7.7%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Fixed Grid 5%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0.802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1.375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+50.0%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+2.5%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ATR Grid k=0.5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18"/>
                <w:szCs w:val="18"/>
              </w:rPr>
              <w:t xml:space="preserve">0.818 ★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1.118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+122.1%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+24.7%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16.1%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ATR Grid k=1.0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0.686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1.434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+86.4%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+39.8%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ATR Grid k=2.0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-0.104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1.948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-46.5%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+29.0%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9.4%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375623"/>
          <w:sz w:val="20"/>
          <w:szCs w:val="20"/>
        </w:rPr>
        <w:t xml:space="preserve">★ </w:t>
      </w:r>
      <w:r>
        <w:rPr>
          <w:rFonts w:ascii="Malgun Gothic" w:cs="Malgun Gothic" w:eastAsia="Malgun Gothic" w:hAnsi="Malgun Gothic"/>
          <w:sz w:val="20"/>
          <w:szCs w:val="20"/>
        </w:rPr>
        <w:t xml:space="preserve">PPO 목표치: Train 셋 ATR k=0.5 (0.818), Val 셋 Fixed Grid 1% (2.610)</w:t>
      </w:r>
    </w:p>
    <w:p>
      <w:pPr>
        <w:spacing w:after="60" w:before="8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Train과 Val의 순위가 다르다는 점이 주목할 만하다. Val(2023)은 BTC가 $16k → $42k로 급등한 강세장이라 Buy-and-Hold가 유리하다. 반면 Train(2020-2022)은 상승·하락·횡보가 혼재해 ATR 비례 그리드가 유리하다. ATR k=2.0은 Train에서 Sharpe -0.104(음수)인데 Val에서는 1.948로 역전되는 극단적인 예시이다.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Train 셋이 PPO 학습 환경이므로, PPO 성능 비교는 Train 셋 기준이 더 공정하다.</w:t>
      </w:r>
    </w:p>
    <w:p>
      <w:pPr>
        <w:spacing w:after="80" w:before="80"/>
      </w:pPr>
    </w:p>
    <w:p>
      <w:pPr>
        <w:spacing w:after="40" w:before="120"/>
        <w:jc w:val="center"/>
      </w:pPr>
      <w:r>
        <w:drawing>
          <wp:inline distT="0" distB="0" distL="0" distR="0">
            <wp:extent cx="4762500" cy="1714500"/>
            <wp:effectExtent t="0" r="0" b="0" l="0"/>
            <wp:docPr id="1" name="[그림 3] Val 셋 베이스라인 Sharpe/수익률/MDD 비교" descr="[그림 3] Val 셋 베이스라인 Sharpe/수익률/MDD 비교" title="[그림 3] Val 셋 베이스라인 Sharpe/수익률/MDD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3] Val 셋 베이스라인 Sharpe/수익률/MDD 비교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809750"/>
            <wp:effectExtent t="0" r="0" b="0" l="0"/>
            <wp:docPr id="1" name="[그림 4] Train vs Val Sharpe 비교 — 강세장(Val)과 혼재장(Train) 간 순위 역전" descr="[그림 4] Train vs Val Sharpe 비교 — 강세장(Val)과 혼재장(Train) 간 순위 역전" title="[그림 4] Train vs Val Sharpe 비교 — 강세장(Val)과 혼재장(Train) 간 순위 역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4] Train vs Val Sharpe 비교 — 강세장(Val)과 혼재장(Train) 간 순위 역전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809750"/>
            <wp:effectExtent t="0" r="0" b="0" l="0"/>
            <wp:docPr id="1" name="[그림 5] Val 셋 자본 곡선 비교" descr="[그림 5] Val 셋 자본 곡선 비교" title="[그림 5] Val 셋 자본 곡선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5] Val 셋 자본 곡선 비교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6. PPO 학습 결과 및 분석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6.1 실험 환경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알고리즘: PPO (stable-baselines3 v2.8.0)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정책 네트워크: MlpPolicy (2×64 hidden units)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학습 데이터: Train 셋 (2020-2022, 25,916봉)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평가 주기: 매 50,000 스텝마다 Val 셋 Sharpe 측정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Python 3.11 / PyTorch 2.x / numpy 1.26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6.2 exp001 vs exp002 하이퍼파라미터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exp001 (기본)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exp002 (튜닝)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3e-4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1e-4 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n_steps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2,048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4,096 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batch_size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128 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ent_coef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0.005 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total_timesteps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1,000,000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1,000,000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6.3 학습 결과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exp001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exp002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best Sharpe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0.795 (step=100k)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0.745 (step=50k)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final Sharpe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-0.280 (수렴 실패)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-0.095 (개선)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평균 Sharpe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0.271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0.368 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양수 비율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95.0%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 베이스라인 최고 (0.818)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미달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미달</w:t>
            </w:r>
          </w:p>
        </w:tc>
      </w:tr>
    </w:tbl>
    <w:p>
      <w:pPr>
        <w:spacing w:after="60" w:before="120"/>
      </w:pPr>
    </w:p>
    <w:p>
      <w:pPr>
        <w:spacing w:after="40" w:before="120"/>
        <w:jc w:val="center"/>
      </w:pPr>
      <w:r>
        <w:drawing>
          <wp:inline distT="0" distB="0" distL="0" distR="0">
            <wp:extent cx="4762500" cy="1714500"/>
            <wp:effectExtent t="0" r="0" b="0" l="0"/>
            <wp:docPr id="1" name="[그림 6] PPO exp001 학습 곡선 (Val Sharpe 추이)" descr="[그림 6] PPO exp001 학습 곡선 (Val Sharpe 추이)" title="[그림 6] PPO exp001 학습 곡선 (Val Sharpe 추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6] PPO exp001 학습 곡선 (Val Sharpe 추이)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714500"/>
            <wp:effectExtent t="0" r="0" b="0" l="0"/>
            <wp:docPr id="1" name="[그림 7] exp001 vs exp002 학습 곡선 비교" descr="[그림 7] exp001 vs exp002 학습 곡선 비교" title="[그림 7] exp001 vs exp002 학습 곡선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7] exp001 vs exp002 학습 곡선 비교</w:t>
      </w:r>
    </w:p>
    <w:p>
      <w:pPr>
        <w:spacing w:after="60" w:before="8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6.4 결과 해석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exp002는 exp001 대비 안정성이 개선되었다(final Sharpe -0.280 → -0.095, 평균 Sharpe 0.271 → 0.368). 그러나 두 실험 모두 Train 베이스라인 최고치(0.818)에 미달이다.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주목할 점은 exp001의 best_model(Sharpe 0.795)이 Train 베이스라인 최고치(0.818)에 거의 근접한다는 것이다. 이는 PPO가 전혀 학습하지 못한 것이 아니라,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초기에는 베이스라인 수준까지 학습했다가 이후 수렴하지 못하고 성능이 하락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하는 패턴임을 보여준다.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7. 한계 및 향후 계획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7.1 현재 한계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PPO 수렴 실패: 학습 초반 이후 Sharpe가 진동하며 Train 베이스라인을 넘지 못함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보상 신호 약함: step_reward의 절대값이 매우 작아(~0.0001 수준) PPO의 학습 신호가 약함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학습률 불안정: lr=3e-4가 후반부에 정책을 불안정하게 만드는 것으로 추정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에피소드 길이 불균형: 학습 에피소드(25,916봉) 대비 롤아웃 버퍼(n_steps=2048)가 너무 짧음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백테스트와 실전 차이: 슬리피지, 부분 체결 등 실제 시장 마찰 미반영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7.2 발견된 설계 이슈 (다음 실험 반영 예정)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실험 분석 과정에서 다음 세 가지 설계 이슈가 발견되었다. 하이퍼파라미터 튜닝(exp003)과 함께 반영할 예정이다.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20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개선 방향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threshold_btc 분모 불명확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avg(sell_lo, sell_hi)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price로 단순화 — "1슬롯으로 살 수 있는 BTC량" 명확화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균등 분할 매도 기준 불일치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holdings / n_sell_orders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holdings / n_splits로 변경 — 매수(n_splits 분할)와 대칭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지정가 체결 방식 — 백테스트와 실전 불일치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지정가 그대로 체결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지정가 조건 충족 시 시점 시장가로 체결하도록 수정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sell_lo / sell_hi 명칭 혼동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결과값 기준 명칭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sell_market / sell_cost로 변경 — 기준 가격 차이를 명칭에 반영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7-1. 하이퍼파라미터 튜닝 방향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단순한 수치 조정(exp001→002)만으로는 한계가 있다. 다음 두 가지 구조적 변경이 가장 효과가 클 것으로 판단한다.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VecNormalize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SB3 내장 reward/obs 자동 정규화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약한 보상 신호 문제 해결 (근본 원인)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LR Scheduling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3e-4 → 1e-5 cosine/linear decay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후반부 수렴 불안정 해소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더 긴 학습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1M → 3M 스텝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충분한 샘플 확보 (리스크 없음)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n_steps 증가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4,096 → 8,192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긴 에피소드 대응 (크레딧 할당 개선)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7-2. Binance Real-time API 확장 계획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지도교수님께서 실시간 API 연동 가능성을 언급하셨다. 현재 시스템은 오프라인 백테스트 기반이며, 다음 단계로 실시간 운용 환경 구축이 가능하다.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오프라인 백테스트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저장된 과거 데이터로 학습 및 평가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Binance WebSocket으로 실시간 캔들 수신 → PPO 모델 추론 → 가상 주문 (실제 자금 없음)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Testnet Live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Binance Testnet API로 실제 주문 로직 검증 (가상 자금)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Live Trading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소액 실제 자금으로 검증 후 점진적 확대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Binance WebSocket을 통해 실시간 1h 캔들을 수신하고, 캔들이 마감될 때마다 PPO 모델에 현재 state를 입력해 action을 얻고, ccxt의 create_limit_order()로 지정가 주문을 제출하는 구조다. 현재 구현된 환경(BTCGridTradingEnv)의 실행 로직을 실시간 루프로 전환하면 Paper Trading 단계는 비교적 빠르게 구현 가능하다.</w:t>
      </w:r>
    </w:p>
    <w:p>
      <w:pPr>
        <w:spacing w:after="80" w:before="200"/>
      </w:pP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GitHub: </w:t>
      </w:r>
      <w:r>
        <w:rPr>
          <w:rFonts w:ascii="Malgun Gothic" w:cs="Malgun Gothic" w:eastAsia="Malgun Gothic" w:hAnsi="Malgun Gothic"/>
          <w:color w:val="2E75B6"/>
          <w:sz w:val="18"/>
          <w:szCs w:val="18"/>
        </w:rPr>
        <w:t xml:space="preserve">github.com/cosmicpotato2047/capstone-rl-trading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캡스톤 프로젝트 6주차 보고서  |  BTC 그리드 트레이딩 RL 에이전트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d65a235dc669b161e93fcab53530d1ba9275aa.png"/><Relationship Id="rId10" Type="http://schemas.openxmlformats.org/officeDocument/2006/relationships/image" Target="media/fa7854a10f59151cda25d684c0393a8d23d84da2.png"/><Relationship Id="rId11" Type="http://schemas.openxmlformats.org/officeDocument/2006/relationships/image" Target="media/f9d82dbce9d994d81d5a744d674f9746b06b31f8.png"/><Relationship Id="rId12" Type="http://schemas.openxmlformats.org/officeDocument/2006/relationships/image" Target="media/bc0adc942c29b33b6b6adbb193e6cf61bbcde884.png"/><Relationship Id="rId13" Type="http://schemas.openxmlformats.org/officeDocument/2006/relationships/image" Target="media/d3fcd914220041fd09d7c7125d81a929c040fa32.png"/><Relationship Id="rId14" Type="http://schemas.openxmlformats.org/officeDocument/2006/relationships/image" Target="media/fc36344afc0c918d113192638789fa762479e55c.png"/><Relationship Id="rId15" Type="http://schemas.openxmlformats.org/officeDocument/2006/relationships/image" Target="media/19c233da7f035be4fc789bfadcb8149ad89ca9b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2026-04-17T04:31:25.403Z</dcterms:created>
  <dcterms:modified xsi:type="dcterms:W3CDTF">2026-04-17T04:31:25.405Z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