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IBM Plex Mono" w:hAnsi="IBM Plex Mono"/>
          <w:sz w:val="17"/>
        </w:rPr>
        <w:t>01  /  IDENTITY SYSTEM AND PRODUCT FOUNDATIONS</w:t>
      </w:r>
    </w:p>
    <w:p>
      <w:pPr>
        <w:pStyle w:val="Title"/>
      </w:pPr>
      <w:r>
        <w:t>Cosmik brand kit</w:t>
      </w:r>
    </w:p>
    <w:p>
      <w:pPr>
        <w:pStyle w:val="Subtitle"/>
      </w:pPr>
      <w:r>
        <w:t>One recognizable identity across websites, tools, project pages, and documents.</w:t>
      </w:r>
    </w:p>
    <w:p>
      <w:pPr>
        <w:spacing w:after="120" w:before="40"/>
      </w:pPr>
      <w:r>
        <w:drawing>
          <wp:inline xmlns:a="http://schemas.openxmlformats.org/drawingml/2006/main" xmlns:pic="http://schemas.openxmlformats.org/drawingml/2006/picture">
            <wp:extent cx="6309360" cy="2103120"/>
            <wp:docPr id="1" name="Picture 1" descr="Approved Cosmik original banner with crescent emblem and COSMIK wordmark on black."/>
            <wp:cNvGraphicFramePr>
              <a:graphicFrameLocks noChangeAspect="1"/>
            </wp:cNvGraphicFramePr>
            <a:graphic>
              <a:graphicData uri="http://schemas.openxmlformats.org/drawingml/2006/picture">
                <pic:pic>
                  <pic:nvPicPr>
                    <pic:cNvPr id="0" name="Cosmik GitHub Banner.png"/>
                    <pic:cNvPicPr/>
                  </pic:nvPicPr>
                  <pic:blipFill>
                    <a:blip r:embed="rId11"/>
                    <a:stretch>
                      <a:fillRect/>
                    </a:stretch>
                  </pic:blipFill>
                  <pic:spPr>
                    <a:xfrm>
                      <a:off x="0" y="0"/>
                      <a:ext cx="6309360" cy="2103120"/>
                    </a:xfrm>
                    <a:prstGeom prst="rect"/>
                  </pic:spPr>
                </pic:pic>
              </a:graphicData>
            </a:graphic>
          </wp:inline>
        </w:drawing>
      </w:r>
    </w:p>
    <w:p>
      <w:r>
        <w:t>Cosmik is Matthew Downs’s independent open-source gaming workshop. It covers modern reimplementations of older open-source games and engines, mods and tools, and original games.</w:t>
      </w:r>
    </w:p>
    <w:p>
      <w:pPr>
        <w:pStyle w:val="Heading2"/>
      </w:pPr>
      <w:r>
        <w:t>Brand foundation</w:t>
      </w:r>
    </w:p>
    <w:p>
      <w:r>
        <w:rPr>
          <w:sz w:val="28"/>
        </w:rPr>
        <w:t>Open-source games, mods, and tools. Reimagining classic technology and building something new.</w:t>
      </w:r>
    </w:p>
    <w:p>
      <w:r>
        <w:t>Reimagine covers older open-source games and engines. Extend covers mods and tools. Create covers original games and experiments. These are the published areas of work.</w:t>
      </w:r>
    </w:p>
    <w:p>
      <w:pPr>
        <w:pStyle w:val="Heading2"/>
      </w:pPr>
      <w:r>
        <w:t>How to use this edition</w:t>
      </w:r>
    </w:p>
    <w:p>
      <w:r>
        <w:t>Approved means existing artwork or published language. Proposed means a supporting specification awaiting review. Archive means a reference that must not be treated as a production master.</w:t>
      </w:r>
    </w:p>
    <w:p>
      <w:r>
        <w:t>This edition adds tested semantic themes, component specimens, a reusable document template, and an explicit asset handoff. The traced symbol has been accepted. The complete outlined wordmark and horizontal lockup are still separate production work.</w:t>
      </w:r>
    </w:p>
    <w:p>
      <w:pPr>
        <w:pageBreakBefore/>
        <w:spacing w:after="40"/>
      </w:pPr>
      <w:r>
        <w:rPr>
          <w:rFonts w:ascii="IBM Plex Mono" w:hAnsi="IBM Plex Mono"/>
          <w:sz w:val="17"/>
        </w:rPr>
        <w:t>02  /  APPROVED ORIGINALS AND ACCEPTED TRACE</w:t>
      </w:r>
    </w:p>
    <w:p>
      <w:pPr>
        <w:pStyle w:val="Heading1"/>
      </w:pPr>
      <w:r>
        <w:t>Identity assets and authority</w:t>
      </w:r>
    </w:p>
    <w:p>
      <w:r>
        <w:t>Use one approved source for each identity role. Keep the original raster compositions as references; do not silently replace them with a generated or traced interpretation.</w:t>
      </w:r>
    </w:p>
    <w:p>
      <w:pPr>
        <w:spacing w:after="120" w:before="40"/>
      </w:pPr>
      <w:r>
        <w:drawing>
          <wp:inline xmlns:a="http://schemas.openxmlformats.org/drawingml/2006/main" xmlns:pic="http://schemas.openxmlformats.org/drawingml/2006/picture">
            <wp:extent cx="6309360" cy="2481682"/>
            <wp:docPr id="2" name="Picture 2" descr="Approved original raster alongside accepted traced symbol and a reverse-color rendering of the same accepted geometry."/>
            <wp:cNvGraphicFramePr>
              <a:graphicFrameLocks noChangeAspect="1"/>
            </wp:cNvGraphicFramePr>
            <a:graphic>
              <a:graphicData uri="http://schemas.openxmlformats.org/drawingml/2006/picture">
                <pic:pic>
                  <pic:nvPicPr>
                    <pic:cNvPr id="0" name="asset-status.png"/>
                    <pic:cNvPicPr/>
                  </pic:nvPicPr>
                  <pic:blipFill>
                    <a:blip r:embed="rId12"/>
                    <a:stretch>
                      <a:fillRect/>
                    </a:stretch>
                  </pic:blipFill>
                  <pic:spPr>
                    <a:xfrm>
                      <a:off x="0" y="0"/>
                      <a:ext cx="6309360" cy="2481682"/>
                    </a:xfrm>
                    <a:prstGeom prst="rect"/>
                  </pic:spPr>
                </pic:pic>
              </a:graphicData>
            </a:graphic>
          </wp:inline>
        </w:drawing>
      </w:r>
    </w:p>
    <w:tbl>
      <w:tblPr>
        <w:tblW w:type="auto" w:w="0"/>
        <w:jc w:val="left"/>
        <w:tblLayout w:type="fixed"/>
        <w:tblLook w:firstColumn="1" w:firstRow="1" w:lastColumn="0" w:lastRow="0" w:noHBand="0" w:noVBand="1" w:val="04A0"/>
      </w:tblPr>
      <w:tblGrid>
        <w:gridCol w:w="2592"/>
        <w:gridCol w:w="3024"/>
        <w:gridCol w:w="4320"/>
      </w:tblGrid>
      <w:tr>
        <w:trPr>
          <w:tblHeader/>
          <w:cantSplit/>
        </w:trPr>
        <w:tc>
          <w:tcPr>
            <w:tcW w:type="dxa" w:w="2592"/>
            <w:vAlign w:val="center"/>
            <w:tcMar>
              <w:top w:w="100" w:type="dxa"/>
              <w:bottom w:w="100" w:type="dxa"/>
              <w:left w:w="100" w:type="dxa"/>
              <w:right w:w="100" w:type="dxa"/>
            </w:tcMar>
            <w:tcBorders>
              <w:bottom w:val="single" w:sz="4" w:color="D0D0CA"/>
            </w:tcBorders>
            <w:shd w:fill="F5F4F0"/>
          </w:tcPr>
          <w:p>
            <w:pPr>
              <w:spacing w:after="0" w:line="269" w:lineRule="auto"/>
            </w:pPr>
            <w:r>
              <w:rPr>
                <w:rFonts w:ascii="Inter SemiBold" w:hAnsi="Inter SemiBold"/>
                <w:b w:val="0"/>
                <w:sz w:val="19"/>
              </w:rPr>
              <w:t>Asset</w:t>
            </w:r>
          </w:p>
        </w:tc>
        <w:tc>
          <w:tcPr>
            <w:tcW w:type="dxa" w:w="3024"/>
            <w:vAlign w:val="center"/>
            <w:tcMar>
              <w:top w:w="100" w:type="dxa"/>
              <w:bottom w:w="100" w:type="dxa"/>
              <w:left w:w="100" w:type="dxa"/>
              <w:right w:w="100" w:type="dxa"/>
            </w:tcMar>
            <w:tcBorders>
              <w:bottom w:val="single" w:sz="4" w:color="D0D0CA"/>
            </w:tcBorders>
            <w:shd w:fill="F5F4F0"/>
          </w:tcPr>
          <w:p>
            <w:pPr>
              <w:spacing w:after="0" w:line="269" w:lineRule="auto"/>
            </w:pPr>
            <w:r>
              <w:rPr>
                <w:rFonts w:ascii="Inter SemiBold" w:hAnsi="Inter SemiBold"/>
                <w:b w:val="0"/>
                <w:sz w:val="19"/>
              </w:rPr>
              <w:t>Current status</w:t>
            </w:r>
          </w:p>
        </w:tc>
        <w:tc>
          <w:tcPr>
            <w:tcW w:type="dxa" w:w="4320"/>
            <w:vAlign w:val="center"/>
            <w:tcMar>
              <w:top w:w="100" w:type="dxa"/>
              <w:bottom w:w="100" w:type="dxa"/>
              <w:left w:w="100" w:type="dxa"/>
              <w:right w:w="100" w:type="dxa"/>
            </w:tcMar>
            <w:tcBorders>
              <w:bottom w:val="single" w:sz="4" w:color="D0D0CA"/>
            </w:tcBorders>
            <w:shd w:fill="F5F4F0"/>
          </w:tcPr>
          <w:p>
            <w:pPr>
              <w:spacing w:after="0" w:line="269" w:lineRule="auto"/>
            </w:pPr>
            <w:r>
              <w:rPr>
                <w:rFonts w:ascii="Inter SemiBold" w:hAnsi="Inter SemiBold"/>
                <w:b w:val="0"/>
                <w:sz w:val="19"/>
              </w:rPr>
              <w:t>Allowed use</w:t>
            </w:r>
          </w:p>
        </w:tc>
      </w:tr>
      <w:tr>
        <w:trPr>
          <w:cantSplit/>
        </w:trPr>
        <w:tc>
          <w:tcPr>
            <w:tcW w:type="dxa" w:w="2592"/>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Original square and banner</w:t>
            </w:r>
          </w:p>
        </w:tc>
        <w:tc>
          <w:tcPr>
            <w:tcW w:type="dxa" w:w="3024"/>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Approved raster compositions</w:t>
            </w:r>
          </w:p>
        </w:tc>
        <w:tc>
          <w:tcPr>
            <w:tcW w:type="dxa" w:w="4320"/>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Intact, proportionally scaled black-background placements</w:t>
            </w:r>
          </w:p>
        </w:tc>
      </w:tr>
      <w:tr>
        <w:trPr>
          <w:cantSplit/>
        </w:trPr>
        <w:tc>
          <w:tcPr>
            <w:tcW w:type="dxa" w:w="2592"/>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Traced symbol and exact reverse</w:t>
            </w:r>
          </w:p>
        </w:tc>
        <w:tc>
          <w:tcPr>
            <w:tcW w:type="dxa" w:w="3024"/>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Accepted vector master</w:t>
            </w:r>
          </w:p>
        </w:tc>
        <w:tc>
          <w:tcPr>
            <w:tcW w:type="dxa" w:w="4320"/>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Reusable symbol master; proof in the final medium</w:t>
            </w:r>
          </w:p>
        </w:tc>
      </w:tr>
      <w:tr>
        <w:trPr>
          <w:cantSplit/>
        </w:trPr>
        <w:tc>
          <w:tcPr>
            <w:tcW w:type="dxa" w:w="2592"/>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Generated light PNGs</w:t>
            </w:r>
          </w:p>
        </w:tc>
        <w:tc>
          <w:tcPr>
            <w:tcW w:type="dxa" w:w="3024"/>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Archived alternatives</w:t>
            </w:r>
          </w:p>
        </w:tc>
        <w:tc>
          <w:tcPr>
            <w:tcW w:type="dxa" w:w="4320"/>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Reference only; geometry differs from original</w:t>
            </w:r>
          </w:p>
        </w:tc>
      </w:tr>
      <w:tr>
        <w:trPr>
          <w:cantSplit/>
        </w:trPr>
        <w:tc>
          <w:tcPr>
            <w:tcW w:type="dxa" w:w="2592"/>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Outlined wordmark and lockup</w:t>
            </w:r>
          </w:p>
        </w:tc>
        <w:tc>
          <w:tcPr>
            <w:tcW w:type="dxa" w:w="3024"/>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Not yet supplied</w:t>
            </w:r>
          </w:p>
        </w:tc>
        <w:tc>
          <w:tcPr>
            <w:tcW w:type="dxa" w:w="4320"/>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Do not recreate with Inter or auto-label a substitute</w:t>
            </w:r>
          </w:p>
        </w:tc>
      </w:tr>
    </w:tbl>
    <w:p>
      <w:pPr>
        <w:spacing w:after="0"/>
      </w:pPr>
    </w:p>
    <w:p>
      <w:pPr>
        <w:pStyle w:val="Heading2"/>
      </w:pPr>
      <w:r>
        <w:t>One shape across colors</w:t>
      </w:r>
    </w:p>
    <w:p>
      <w:r>
        <w:t>The vector reverse uses the same geometry with a different fill. The separately generated light PNGs do not. Derive every transparent and solid-background export from the accepted vector source.</w:t>
      </w:r>
    </w:p>
    <w:p>
      <w:pPr>
        <w:pStyle w:val="Heading2"/>
      </w:pPr>
      <w:r>
        <w:t>Using the name in live interfaces</w:t>
      </w:r>
    </w:p>
    <w:p>
      <w:r>
        <w:t>A live identity label is allowed: “Cosmik”, Inter Medium 500, 20 px, normal tracking, centered vertically beside a 48 px square symbol with a 12 px gap. It is an interface label, not a replacement COSMIK wordmark.</w:t>
      </w:r>
    </w:p>
    <w:p>
      <w:pPr>
        <w:pageBreakBefore/>
        <w:spacing w:after="40"/>
      </w:pPr>
      <w:r>
        <w:rPr>
          <w:rFonts w:ascii="IBM Plex Mono" w:hAnsi="IBM Plex Mono"/>
          <w:sz w:val="17"/>
        </w:rPr>
        <w:t>03  /  PROPOSED SYSTEM</w:t>
      </w:r>
    </w:p>
    <w:p>
      <w:pPr>
        <w:pStyle w:val="Heading1"/>
      </w:pPr>
      <w:r>
        <w:t>Logo construction and proof</w:t>
      </w:r>
    </w:p>
    <w:p>
      <w:r>
        <w:t>Keep original aspect ratios. For the symbol, clear space is at least 10% of its visible flare-to-flare width on every side. The full supplied square canvas already exceeds this minimum.</w:t>
      </w:r>
    </w:p>
    <w:p>
      <w:pPr>
        <w:spacing w:after="120" w:before="40"/>
      </w:pPr>
      <w:r>
        <w:drawing>
          <wp:inline xmlns:a="http://schemas.openxmlformats.org/drawingml/2006/main" xmlns:pic="http://schemas.openxmlformats.org/drawingml/2006/picture">
            <wp:extent cx="6080760" cy="2553919"/>
            <wp:docPr id="3" name="Picture 3" descr="Original banner annotated with visible artwork bounds and clear space one quarter of the visible symbol height."/>
            <wp:cNvGraphicFramePr>
              <a:graphicFrameLocks noChangeAspect="1"/>
            </wp:cNvGraphicFramePr>
            <a:graphic>
              <a:graphicData uri="http://schemas.openxmlformats.org/drawingml/2006/picture">
                <pic:pic>
                  <pic:nvPicPr>
                    <pic:cNvPr id="0" name="banner-spacing.png"/>
                    <pic:cNvPicPr/>
                  </pic:nvPicPr>
                  <pic:blipFill>
                    <a:blip r:embed="rId13"/>
                    <a:stretch>
                      <a:fillRect/>
                    </a:stretch>
                  </pic:blipFill>
                  <pic:spPr>
                    <a:xfrm>
                      <a:off x="0" y="0"/>
                      <a:ext cx="6080760" cy="2553919"/>
                    </a:xfrm>
                    <a:prstGeom prst="rect"/>
                  </pic:spPr>
                </pic:pic>
              </a:graphicData>
            </a:graphic>
          </wp:inline>
        </w:drawing>
      </w:r>
    </w:p>
    <w:p>
      <w:r>
        <w:rPr>
          <w:sz w:val="19"/>
        </w:rPr>
        <w:t>For the horizontal lockup, S is the visible emblem height. Keep 0.25 S around the complete visible lockup. The current raster’s gap is about 0.15 S and its letter height about 0.39 S. These measurements record the artwork; do not rebuild it from the ratios.</w:t>
      </w:r>
    </w:p>
    <w:p>
      <w:pPr>
        <w:spacing w:after="120" w:before="40"/>
      </w:pPr>
      <w:r>
        <w:drawing>
          <wp:inline xmlns:a="http://schemas.openxmlformats.org/drawingml/2006/main" xmlns:pic="http://schemas.openxmlformats.org/drawingml/2006/picture">
            <wp:extent cx="6305550" cy="1238250"/>
            <wp:docPr id="4" name="Picture 4" descr="Actual-size proposed symbol tests at 16, 24, 32, 48, 64, and 96 pixels."/>
            <wp:cNvGraphicFramePr>
              <a:graphicFrameLocks noChangeAspect="1"/>
            </wp:cNvGraphicFramePr>
            <a:graphic>
              <a:graphicData uri="http://schemas.openxmlformats.org/drawingml/2006/picture">
                <pic:pic>
                  <pic:nvPicPr>
                    <pic:cNvPr id="0" name="symbol-sizes.png"/>
                    <pic:cNvPicPr/>
                  </pic:nvPicPr>
                  <pic:blipFill>
                    <a:blip r:embed="rId14"/>
                    <a:stretch>
                      <a:fillRect/>
                    </a:stretch>
                  </pic:blipFill>
                  <pic:spPr>
                    <a:xfrm>
                      <a:off x="0" y="0"/>
                      <a:ext cx="6305550" cy="1238250"/>
                    </a:xfrm>
                    <a:prstGeom prst="rect"/>
                  </pic:spPr>
                </pic:pic>
              </a:graphicData>
            </a:graphic>
          </wp:inline>
        </w:drawing>
      </w:r>
    </w:p>
    <w:p>
      <w:pPr>
        <w:pStyle w:val="Caption"/>
      </w:pPr>
      <w:r>
        <w:t>Use 48 px for brand-led interface placements. Use 32 px for constrained avatars. At 16–24 px the flare loses definition. No optically redrawn small-size master is included. The strip is placed at 96 ppi; PDF zoom changes apparent size.</w:t>
      </w:r>
    </w:p>
    <w:p>
      <w:pPr>
        <w:spacing w:after="120" w:before="40"/>
      </w:pPr>
      <w:r>
        <w:drawing>
          <wp:inline xmlns:a="http://schemas.openxmlformats.org/drawingml/2006/main" xmlns:pic="http://schemas.openxmlformats.org/drawingml/2006/picture">
            <wp:extent cx="6305550" cy="1847850"/>
            <wp:docPr id="5" name="Picture 5" descr="Original full banner shown at 360 and 240 pixels; 360 is the proposed brand-led starting size."/>
            <wp:cNvGraphicFramePr>
              <a:graphicFrameLocks noChangeAspect="1"/>
            </wp:cNvGraphicFramePr>
            <a:graphic>
              <a:graphicData uri="http://schemas.openxmlformats.org/drawingml/2006/picture">
                <pic:pic>
                  <pic:nvPicPr>
                    <pic:cNvPr id="0" name="banner-sizes.png"/>
                    <pic:cNvPicPr/>
                  </pic:nvPicPr>
                  <pic:blipFill>
                    <a:blip r:embed="rId15"/>
                    <a:stretch>
                      <a:fillRect/>
                    </a:stretch>
                  </pic:blipFill>
                  <pic:spPr>
                    <a:xfrm>
                      <a:off x="0" y="0"/>
                      <a:ext cx="6305550" cy="1847850"/>
                    </a:xfrm>
                    <a:prstGeom prst="rect"/>
                  </pic:spPr>
                </pic:pic>
              </a:graphicData>
            </a:graphic>
          </wp:inline>
        </w:drawing>
      </w:r>
    </w:p>
    <w:p>
      <w:r>
        <w:rPr>
          <w:sz w:val="19"/>
        </w:rPr>
        <w:t>Use the full banner from 360 px wide. For print, begin at a 15 mm symbol or a 75 mm banner and proof on the actual stock. These are provisional visual recommendations, not universal reproduction limits.</w:t>
      </w:r>
    </w:p>
    <w:p>
      <w:pPr>
        <w:pageBreakBefore/>
        <w:spacing w:after="40"/>
      </w:pPr>
      <w:r>
        <w:rPr>
          <w:rFonts w:ascii="IBM Plex Mono" w:hAnsi="IBM Plex Mono"/>
          <w:sz w:val="17"/>
        </w:rPr>
        <w:t>04  /  PROPOSED SYSTEM</w:t>
      </w:r>
    </w:p>
    <w:p>
      <w:pPr>
        <w:pStyle w:val="Heading1"/>
      </w:pPr>
      <w:r>
        <w:t>Typography across media</w:t>
      </w:r>
    </w:p>
    <w:p>
      <w:r>
        <w:t>Inter is the reading and interface family. IBM Plex Mono is for code and short technical metadata. The original COSMIK wordmark remains separate artwork.</w:t>
      </w:r>
    </w:p>
    <w:p>
      <w:pPr>
        <w:spacing w:before="140" w:after="260"/>
      </w:pPr>
      <w:r>
        <w:rPr>
          <w:rFonts w:ascii="Inter SemiBold" w:hAnsi="Inter SemiBold"/>
          <w:b w:val="0"/>
          <w:sz w:val="60"/>
        </w:rPr>
        <w:t>Open-source games,</w:t>
        <w:br/>
        <w:t>mods, and tools.</w:t>
      </w:r>
    </w:p>
    <w:p>
      <w:r>
        <w:rPr>
          <w:rFonts w:ascii="IBM Plex Mono" w:hAnsi="IBM Plex Mono"/>
          <w:sz w:val="24"/>
        </w:rPr>
        <w:t>README.md  /  0123456789  /  Aa Bb Cc</w:t>
      </w:r>
    </w:p>
    <w:tbl>
      <w:tblPr>
        <w:tblW w:type="auto" w:w="0"/>
        <w:jc w:val="left"/>
        <w:tblLayout w:type="fixed"/>
        <w:tblLook w:firstColumn="1" w:firstRow="1" w:lastColumn="0" w:lastRow="0" w:noHBand="0" w:noVBand="1" w:val="04A0"/>
      </w:tblPr>
      <w:tblGrid>
        <w:gridCol w:w="2952"/>
        <w:gridCol w:w="2952"/>
        <w:gridCol w:w="4032"/>
      </w:tblGrid>
      <w:tr>
        <w:trPr>
          <w:tblHeader/>
          <w:cantSplit/>
        </w:trPr>
        <w:tc>
          <w:tcPr>
            <w:tcW w:type="dxa" w:w="2952"/>
            <w:vAlign w:val="center"/>
            <w:tcMar>
              <w:top w:w="100" w:type="dxa"/>
              <w:bottom w:w="100" w:type="dxa"/>
              <w:left w:w="100" w:type="dxa"/>
              <w:right w:w="100" w:type="dxa"/>
            </w:tcMar>
            <w:tcBorders>
              <w:bottom w:val="single" w:sz="4" w:color="D0D0CA"/>
            </w:tcBorders>
            <w:shd w:fill="F5F4F0"/>
          </w:tcPr>
          <w:p>
            <w:pPr>
              <w:spacing w:after="0" w:line="269" w:lineRule="auto"/>
            </w:pPr>
            <w:r>
              <w:rPr>
                <w:rFonts w:ascii="Inter SemiBold" w:hAnsi="Inter SemiBold"/>
                <w:b w:val="0"/>
                <w:sz w:val="19"/>
              </w:rPr>
              <w:t>Web role</w:t>
            </w:r>
          </w:p>
        </w:tc>
        <w:tc>
          <w:tcPr>
            <w:tcW w:type="dxa" w:w="2952"/>
            <w:vAlign w:val="center"/>
            <w:tcMar>
              <w:top w:w="100" w:type="dxa"/>
              <w:bottom w:w="100" w:type="dxa"/>
              <w:left w:w="100" w:type="dxa"/>
              <w:right w:w="100" w:type="dxa"/>
            </w:tcMar>
            <w:tcBorders>
              <w:bottom w:val="single" w:sz="4" w:color="D0D0CA"/>
            </w:tcBorders>
            <w:shd w:fill="F5F4F0"/>
          </w:tcPr>
          <w:p>
            <w:pPr>
              <w:spacing w:after="0" w:line="269" w:lineRule="auto"/>
            </w:pPr>
            <w:r>
              <w:rPr>
                <w:rFonts w:ascii="Inter SemiBold" w:hAnsi="Inter SemiBold"/>
                <w:b w:val="0"/>
                <w:sz w:val="19"/>
              </w:rPr>
              <w:t>Font and weight</w:t>
            </w:r>
          </w:p>
        </w:tc>
        <w:tc>
          <w:tcPr>
            <w:tcW w:type="dxa" w:w="4032"/>
            <w:vAlign w:val="center"/>
            <w:tcMar>
              <w:top w:w="100" w:type="dxa"/>
              <w:bottom w:w="100" w:type="dxa"/>
              <w:left w:w="100" w:type="dxa"/>
              <w:right w:w="100" w:type="dxa"/>
            </w:tcMar>
            <w:tcBorders>
              <w:bottom w:val="single" w:sz="4" w:color="D0D0CA"/>
            </w:tcBorders>
            <w:shd w:fill="F5F4F0"/>
          </w:tcPr>
          <w:p>
            <w:pPr>
              <w:spacing w:after="0" w:line="269" w:lineRule="auto"/>
            </w:pPr>
            <w:r>
              <w:rPr>
                <w:rFonts w:ascii="Inter SemiBold" w:hAnsi="Inter SemiBold"/>
                <w:b w:val="0"/>
                <w:sz w:val="19"/>
              </w:rPr>
              <w:t>Size / line height</w:t>
            </w:r>
          </w:p>
        </w:tc>
      </w:tr>
      <w:tr>
        <w:trPr>
          <w:cantSplit/>
        </w:trPr>
        <w:tc>
          <w:tcPr>
            <w:tcW w:type="dxa" w:w="2952"/>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Display</w:t>
            </w:r>
          </w:p>
        </w:tc>
        <w:tc>
          <w:tcPr>
            <w:tcW w:type="dxa" w:w="2952"/>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Inter 600</w:t>
            </w:r>
          </w:p>
        </w:tc>
        <w:tc>
          <w:tcPr>
            <w:tcW w:type="dxa" w:w="4032"/>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48 / 1.10; small 34 / 1.15</w:t>
            </w:r>
          </w:p>
        </w:tc>
      </w:tr>
      <w:tr>
        <w:trPr>
          <w:cantSplit/>
        </w:trPr>
        <w:tc>
          <w:tcPr>
            <w:tcW w:type="dxa" w:w="2952"/>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Section / project heading</w:t>
            </w:r>
          </w:p>
        </w:tc>
        <w:tc>
          <w:tcPr>
            <w:tcW w:type="dxa" w:w="2952"/>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Inter 600</w:t>
            </w:r>
          </w:p>
        </w:tc>
        <w:tc>
          <w:tcPr>
            <w:tcW w:type="dxa" w:w="4032"/>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30 / 1.20 and 22 / 1.30</w:t>
            </w:r>
          </w:p>
        </w:tc>
      </w:tr>
      <w:tr>
        <w:trPr>
          <w:cantSplit/>
        </w:trPr>
        <w:tc>
          <w:tcPr>
            <w:tcW w:type="dxa" w:w="2952"/>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Body</w:t>
            </w:r>
          </w:p>
        </w:tc>
        <w:tc>
          <w:tcPr>
            <w:tcW w:type="dxa" w:w="2952"/>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Inter 400</w:t>
            </w:r>
          </w:p>
        </w:tc>
        <w:tc>
          <w:tcPr>
            <w:tcW w:type="dxa" w:w="4032"/>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17 / 1.55</w:t>
            </w:r>
          </w:p>
        </w:tc>
      </w:tr>
      <w:tr>
        <w:trPr>
          <w:cantSplit/>
        </w:trPr>
        <w:tc>
          <w:tcPr>
            <w:tcW w:type="dxa" w:w="2952"/>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Navigation and button</w:t>
            </w:r>
          </w:p>
        </w:tc>
        <w:tc>
          <w:tcPr>
            <w:tcW w:type="dxa" w:w="2952"/>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Inter 500</w:t>
            </w:r>
          </w:p>
        </w:tc>
        <w:tc>
          <w:tcPr>
            <w:tcW w:type="dxa" w:w="4032"/>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15 / 1.40</w:t>
            </w:r>
          </w:p>
        </w:tc>
      </w:tr>
      <w:tr>
        <w:trPr>
          <w:cantSplit/>
        </w:trPr>
        <w:tc>
          <w:tcPr>
            <w:tcW w:type="dxa" w:w="2952"/>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Code and short metadata</w:t>
            </w:r>
          </w:p>
        </w:tc>
        <w:tc>
          <w:tcPr>
            <w:tcW w:type="dxa" w:w="2952"/>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IBM Plex Mono 400</w:t>
            </w:r>
          </w:p>
        </w:tc>
        <w:tc>
          <w:tcPr>
            <w:tcW w:type="dxa" w:w="4032"/>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14 / 1.50</w:t>
            </w:r>
          </w:p>
        </w:tc>
      </w:tr>
    </w:tbl>
    <w:p>
      <w:pPr>
        <w:spacing w:after="0"/>
      </w:pPr>
    </w:p>
    <w:tbl>
      <w:tblPr>
        <w:tblW w:type="auto" w:w="0"/>
        <w:jc w:val="left"/>
        <w:tblLayout w:type="fixed"/>
        <w:tblLook w:firstColumn="1" w:firstRow="1" w:lastColumn="0" w:lastRow="0" w:noHBand="0" w:noVBand="1" w:val="04A0"/>
      </w:tblPr>
      <w:tblGrid>
        <w:gridCol w:w="2952"/>
        <w:gridCol w:w="2952"/>
        <w:gridCol w:w="4032"/>
      </w:tblGrid>
      <w:tr>
        <w:trPr>
          <w:tblHeader/>
          <w:cantSplit/>
        </w:trPr>
        <w:tc>
          <w:tcPr>
            <w:tcW w:type="dxa" w:w="2952"/>
            <w:vAlign w:val="center"/>
            <w:tcMar>
              <w:top w:w="100" w:type="dxa"/>
              <w:bottom w:w="100" w:type="dxa"/>
              <w:left w:w="100" w:type="dxa"/>
              <w:right w:w="100" w:type="dxa"/>
            </w:tcMar>
            <w:tcBorders>
              <w:bottom w:val="single" w:sz="4" w:color="D0D0CA"/>
            </w:tcBorders>
            <w:shd w:fill="F5F4F0"/>
          </w:tcPr>
          <w:p>
            <w:pPr>
              <w:spacing w:after="0" w:line="269" w:lineRule="auto"/>
            </w:pPr>
            <w:r>
              <w:rPr>
                <w:rFonts w:ascii="Inter SemiBold" w:hAnsi="Inter SemiBold"/>
                <w:b w:val="0"/>
                <w:sz w:val="19"/>
              </w:rPr>
              <w:t>Document role</w:t>
            </w:r>
          </w:p>
        </w:tc>
        <w:tc>
          <w:tcPr>
            <w:tcW w:type="dxa" w:w="2952"/>
            <w:vAlign w:val="center"/>
            <w:tcMar>
              <w:top w:w="100" w:type="dxa"/>
              <w:bottom w:w="100" w:type="dxa"/>
              <w:left w:w="100" w:type="dxa"/>
              <w:right w:w="100" w:type="dxa"/>
            </w:tcMar>
            <w:tcBorders>
              <w:bottom w:val="single" w:sz="4" w:color="D0D0CA"/>
            </w:tcBorders>
            <w:shd w:fill="F5F4F0"/>
          </w:tcPr>
          <w:p>
            <w:pPr>
              <w:spacing w:after="0" w:line="269" w:lineRule="auto"/>
            </w:pPr>
            <w:r>
              <w:rPr>
                <w:rFonts w:ascii="Inter SemiBold" w:hAnsi="Inter SemiBold"/>
                <w:b w:val="0"/>
                <w:sz w:val="19"/>
              </w:rPr>
              <w:t>Font and weight</w:t>
            </w:r>
          </w:p>
        </w:tc>
        <w:tc>
          <w:tcPr>
            <w:tcW w:type="dxa" w:w="4032"/>
            <w:vAlign w:val="center"/>
            <w:tcMar>
              <w:top w:w="100" w:type="dxa"/>
              <w:bottom w:w="100" w:type="dxa"/>
              <w:left w:w="100" w:type="dxa"/>
              <w:right w:w="100" w:type="dxa"/>
            </w:tcMar>
            <w:tcBorders>
              <w:bottom w:val="single" w:sz="4" w:color="D0D0CA"/>
            </w:tcBorders>
            <w:shd w:fill="F5F4F0"/>
          </w:tcPr>
          <w:p>
            <w:pPr>
              <w:spacing w:after="0" w:line="269" w:lineRule="auto"/>
            </w:pPr>
            <w:r>
              <w:rPr>
                <w:rFonts w:ascii="Inter SemiBold" w:hAnsi="Inter SemiBold"/>
                <w:b w:val="0"/>
                <w:sz w:val="19"/>
              </w:rPr>
              <w:t>Points / line height</w:t>
            </w:r>
          </w:p>
        </w:tc>
      </w:tr>
      <w:tr>
        <w:trPr>
          <w:cantSplit/>
        </w:trPr>
        <w:tc>
          <w:tcPr>
            <w:tcW w:type="dxa" w:w="2952"/>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Title / section / subhead</w:t>
            </w:r>
          </w:p>
        </w:tc>
        <w:tc>
          <w:tcPr>
            <w:tcW w:type="dxa" w:w="2952"/>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Inter 600</w:t>
            </w:r>
          </w:p>
        </w:tc>
        <w:tc>
          <w:tcPr>
            <w:tcW w:type="dxa" w:w="4032"/>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30 / 1.10; 20 / 1.20; 14 / 1.25</w:t>
            </w:r>
          </w:p>
        </w:tc>
      </w:tr>
      <w:tr>
        <w:trPr>
          <w:cantSplit/>
        </w:trPr>
        <w:tc>
          <w:tcPr>
            <w:tcW w:type="dxa" w:w="2952"/>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Body</w:t>
            </w:r>
          </w:p>
        </w:tc>
        <w:tc>
          <w:tcPr>
            <w:tcW w:type="dxa" w:w="2952"/>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Inter 400</w:t>
            </w:r>
          </w:p>
        </w:tc>
        <w:tc>
          <w:tcPr>
            <w:tcW w:type="dxa" w:w="4032"/>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11 / 1.40</w:t>
            </w:r>
          </w:p>
        </w:tc>
      </w:tr>
      <w:tr>
        <w:trPr>
          <w:cantSplit/>
        </w:trPr>
        <w:tc>
          <w:tcPr>
            <w:tcW w:type="dxa" w:w="2952"/>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Table / code / caption</w:t>
            </w:r>
          </w:p>
        </w:tc>
        <w:tc>
          <w:tcPr>
            <w:tcW w:type="dxa" w:w="2952"/>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Inter 400 / Plex Mono 400</w:t>
            </w:r>
          </w:p>
        </w:tc>
        <w:tc>
          <w:tcPr>
            <w:tcW w:type="dxa" w:w="4032"/>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10 / 1.20; 9.5 / 1.30; 9.5 / 1.20</w:t>
            </w:r>
          </w:p>
        </w:tc>
      </w:tr>
    </w:tbl>
    <w:p>
      <w:pPr>
        <w:spacing w:after="0"/>
      </w:pPr>
    </w:p>
    <w:p>
      <w:r>
        <w:rPr>
          <w:sz w:val="20"/>
        </w:rPr>
        <w:t>Use sentence case and 0 tracking. Only short uppercase metadata gets 0.06 em tracking. Keep reading columns near 65 characters. Do not use all-caps body copy, artificial condensed type, or monospace for long prose.</w:t>
      </w:r>
    </w:p>
    <w:p>
      <w:r>
        <w:rPr>
          <w:sz w:val="19"/>
        </w:rPr>
        <w:t>The bundle includes official Inter 4.1 static desktop fonts, web font files, IBM Plex Mono Regular, and their OFL notices. Install the desktop fonts to edit Word templates. Preserve the licenses when distributing font files. PDF fonts are embedded.</w:t>
      </w:r>
    </w:p>
    <w:p>
      <w:pPr>
        <w:pageBreakBefore/>
        <w:spacing w:after="40"/>
      </w:pPr>
      <w:r>
        <w:rPr>
          <w:rFonts w:ascii="IBM Plex Mono" w:hAnsi="IBM Plex Mono"/>
          <w:sz w:val="17"/>
        </w:rPr>
        <w:t>05  /  PROPOSED SYSTEM</w:t>
      </w:r>
    </w:p>
    <w:p>
      <w:pPr>
        <w:pStyle w:val="Heading1"/>
      </w:pPr>
      <w:r>
        <w:t>Color and semantic themes</w:t>
      </w:r>
    </w:p>
    <w:p>
      <w:r>
        <w:t>The identity remains black and warm off-white. Product surfaces use a neutral scale with complete light and dark roles. Exact sRGB tokens are proposed implementation choices, not pixel-perfect extractions from the textured artwork.</w:t>
      </w:r>
    </w:p>
    <w:tbl>
      <w:tblPr>
        <w:tblW w:type="auto" w:w="0"/>
        <w:jc w:val="left"/>
        <w:tblLayout w:type="fixed"/>
        <w:tblLook w:firstColumn="1" w:firstRow="1" w:lastColumn="0" w:lastRow="0" w:noHBand="0" w:noVBand="1" w:val="04A0"/>
      </w:tblPr>
      <w:tblGrid>
        <w:gridCol w:w="4032"/>
        <w:gridCol w:w="2952"/>
        <w:gridCol w:w="2952"/>
      </w:tblGrid>
      <w:tr>
        <w:trPr>
          <w:tblHeader/>
          <w:cantSplit/>
        </w:trPr>
        <w:tc>
          <w:tcPr>
            <w:tcW w:type="dxa" w:w="4032"/>
            <w:vAlign w:val="center"/>
            <w:tcMar>
              <w:top w:w="100" w:type="dxa"/>
              <w:bottom w:w="100" w:type="dxa"/>
              <w:left w:w="100" w:type="dxa"/>
              <w:right w:w="100" w:type="dxa"/>
            </w:tcMar>
            <w:tcBorders>
              <w:bottom w:val="single" w:sz="4" w:color="D0D0CA"/>
            </w:tcBorders>
            <w:shd w:fill="F5F4F0"/>
          </w:tcPr>
          <w:p>
            <w:pPr>
              <w:spacing w:after="0" w:line="269" w:lineRule="auto"/>
            </w:pPr>
            <w:r>
              <w:rPr>
                <w:rFonts w:ascii="Inter SemiBold" w:hAnsi="Inter SemiBold"/>
                <w:b w:val="0"/>
                <w:sz w:val="19"/>
              </w:rPr>
              <w:t>Semantic role</w:t>
            </w:r>
          </w:p>
        </w:tc>
        <w:tc>
          <w:tcPr>
            <w:tcW w:type="dxa" w:w="2952"/>
            <w:vAlign w:val="center"/>
            <w:tcMar>
              <w:top w:w="100" w:type="dxa"/>
              <w:bottom w:w="100" w:type="dxa"/>
              <w:left w:w="100" w:type="dxa"/>
              <w:right w:w="100" w:type="dxa"/>
            </w:tcMar>
            <w:tcBorders>
              <w:bottom w:val="single" w:sz="4" w:color="D0D0CA"/>
            </w:tcBorders>
            <w:shd w:fill="F5F4F0"/>
          </w:tcPr>
          <w:p>
            <w:pPr>
              <w:spacing w:after="0" w:line="269" w:lineRule="auto"/>
            </w:pPr>
            <w:r>
              <w:rPr>
                <w:rFonts w:ascii="Inter SemiBold" w:hAnsi="Inter SemiBold"/>
                <w:b w:val="0"/>
                <w:sz w:val="19"/>
              </w:rPr>
              <w:t>Dark theme</w:t>
            </w:r>
          </w:p>
        </w:tc>
        <w:tc>
          <w:tcPr>
            <w:tcW w:type="dxa" w:w="2952"/>
            <w:vAlign w:val="center"/>
            <w:tcMar>
              <w:top w:w="100" w:type="dxa"/>
              <w:bottom w:w="100" w:type="dxa"/>
              <w:left w:w="100" w:type="dxa"/>
              <w:right w:w="100" w:type="dxa"/>
            </w:tcMar>
            <w:tcBorders>
              <w:bottom w:val="single" w:sz="4" w:color="D0D0CA"/>
            </w:tcBorders>
            <w:shd w:fill="F5F4F0"/>
          </w:tcPr>
          <w:p>
            <w:pPr>
              <w:spacing w:after="0" w:line="269" w:lineRule="auto"/>
            </w:pPr>
            <w:r>
              <w:rPr>
                <w:rFonts w:ascii="Inter SemiBold" w:hAnsi="Inter SemiBold"/>
                <w:b w:val="0"/>
                <w:sz w:val="19"/>
              </w:rPr>
              <w:t>Light theme</w:t>
            </w:r>
          </w:p>
        </w:tc>
      </w:tr>
      <w:tr>
        <w:trPr>
          <w:cantSplit/>
        </w:trPr>
        <w:tc>
          <w:tcPr>
            <w:tcW w:type="dxa" w:w="4032"/>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Canvas</w:t>
            </w:r>
          </w:p>
        </w:tc>
        <w:tc>
          <w:tcPr>
            <w:tcW w:type="dxa" w:w="2952"/>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#000000</w:t>
            </w:r>
          </w:p>
        </w:tc>
        <w:tc>
          <w:tcPr>
            <w:tcW w:type="dxa" w:w="2952"/>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#F6F5F0</w:t>
            </w:r>
          </w:p>
        </w:tc>
      </w:tr>
      <w:tr>
        <w:trPr>
          <w:cantSplit/>
        </w:trPr>
        <w:tc>
          <w:tcPr>
            <w:tcW w:type="dxa" w:w="4032"/>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Surface</w:t>
            </w:r>
          </w:p>
        </w:tc>
        <w:tc>
          <w:tcPr>
            <w:tcW w:type="dxa" w:w="2952"/>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#121212</w:t>
            </w:r>
          </w:p>
        </w:tc>
        <w:tc>
          <w:tcPr>
            <w:tcW w:type="dxa" w:w="2952"/>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#FFFFFF</w:t>
            </w:r>
          </w:p>
        </w:tc>
      </w:tr>
      <w:tr>
        <w:trPr>
          <w:cantSplit/>
        </w:trPr>
        <w:tc>
          <w:tcPr>
            <w:tcW w:type="dxa" w:w="4032"/>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Raised surface</w:t>
            </w:r>
          </w:p>
        </w:tc>
        <w:tc>
          <w:tcPr>
            <w:tcW w:type="dxa" w:w="2952"/>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#1F1F1F</w:t>
            </w:r>
          </w:p>
        </w:tc>
        <w:tc>
          <w:tcPr>
            <w:tcW w:type="dxa" w:w="2952"/>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#E8E7E3</w:t>
            </w:r>
          </w:p>
        </w:tc>
      </w:tr>
      <w:tr>
        <w:trPr>
          <w:cantSplit/>
        </w:trPr>
        <w:tc>
          <w:tcPr>
            <w:tcW w:type="dxa" w:w="4032"/>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Primary text</w:t>
            </w:r>
          </w:p>
        </w:tc>
        <w:tc>
          <w:tcPr>
            <w:tcW w:type="dxa" w:w="2952"/>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#F6F5F0</w:t>
            </w:r>
          </w:p>
        </w:tc>
        <w:tc>
          <w:tcPr>
            <w:tcW w:type="dxa" w:w="2952"/>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#000000</w:t>
            </w:r>
          </w:p>
        </w:tc>
      </w:tr>
      <w:tr>
        <w:trPr>
          <w:cantSplit/>
        </w:trPr>
        <w:tc>
          <w:tcPr>
            <w:tcW w:type="dxa" w:w="4032"/>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Secondary text</w:t>
            </w:r>
          </w:p>
        </w:tc>
        <w:tc>
          <w:tcPr>
            <w:tcW w:type="dxa" w:w="2952"/>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#A3A3A3</w:t>
            </w:r>
          </w:p>
        </w:tc>
        <w:tc>
          <w:tcPr>
            <w:tcW w:type="dxa" w:w="2952"/>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#666666</w:t>
            </w:r>
          </w:p>
        </w:tc>
      </w:tr>
      <w:tr>
        <w:trPr>
          <w:cantSplit/>
        </w:trPr>
        <w:tc>
          <w:tcPr>
            <w:tcW w:type="dxa" w:w="4032"/>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Functional boundary</w:t>
            </w:r>
          </w:p>
        </w:tc>
        <w:tc>
          <w:tcPr>
            <w:tcW w:type="dxa" w:w="2952"/>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#767676</w:t>
            </w:r>
          </w:p>
        </w:tc>
        <w:tc>
          <w:tcPr>
            <w:tcW w:type="dxa" w:w="2952"/>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#767676</w:t>
            </w:r>
          </w:p>
        </w:tc>
      </w:tr>
    </w:tbl>
    <w:p>
      <w:pPr>
        <w:spacing w:after="0"/>
      </w:pPr>
    </w:p>
    <w:p>
      <w:pPr>
        <w:pStyle w:val="Heading2"/>
      </w:pPr>
      <w:r>
        <w:t>Use roles rather than raw grays</w:t>
      </w:r>
    </w:p>
    <w:p>
      <w:r>
        <w:t>Product code consumes semantic tokens such as canvas, surface, text, and border. Primitive colors are only the ingredients. Switch the whole theme mapping together; never change text without its associated surfaces.</w:t>
      </w:r>
    </w:p>
    <w:tbl>
      <w:tblPr>
        <w:tblW w:type="auto" w:w="0"/>
        <w:jc w:val="left"/>
        <w:tblLayout w:type="fixed"/>
        <w:tblLook w:firstColumn="1" w:firstRow="1" w:lastColumn="0" w:lastRow="0" w:noHBand="0" w:noVBand="1" w:val="04A0"/>
      </w:tblPr>
      <w:tblGrid>
        <w:gridCol w:w="4536"/>
        <w:gridCol w:w="1512"/>
        <w:gridCol w:w="3888"/>
      </w:tblGrid>
      <w:tr>
        <w:trPr>
          <w:tblHeader/>
          <w:cantSplit/>
        </w:trPr>
        <w:tc>
          <w:tcPr>
            <w:tcW w:type="dxa" w:w="4536"/>
            <w:vAlign w:val="center"/>
            <w:tcMar>
              <w:top w:w="100" w:type="dxa"/>
              <w:bottom w:w="100" w:type="dxa"/>
              <w:left w:w="100" w:type="dxa"/>
              <w:right w:w="100" w:type="dxa"/>
            </w:tcMar>
            <w:tcBorders>
              <w:bottom w:val="single" w:sz="4" w:color="D0D0CA"/>
            </w:tcBorders>
            <w:shd w:fill="F5F4F0"/>
          </w:tcPr>
          <w:p>
            <w:pPr>
              <w:spacing w:after="0" w:line="269" w:lineRule="auto"/>
            </w:pPr>
            <w:r>
              <w:rPr>
                <w:rFonts w:ascii="Inter SemiBold" w:hAnsi="Inter SemiBold"/>
                <w:b w:val="0"/>
                <w:sz w:val="19"/>
              </w:rPr>
              <w:t>Tested pair</w:t>
            </w:r>
          </w:p>
        </w:tc>
        <w:tc>
          <w:tcPr>
            <w:tcW w:type="dxa" w:w="1512"/>
            <w:vAlign w:val="center"/>
            <w:tcMar>
              <w:top w:w="100" w:type="dxa"/>
              <w:bottom w:w="100" w:type="dxa"/>
              <w:left w:w="100" w:type="dxa"/>
              <w:right w:w="100" w:type="dxa"/>
            </w:tcMar>
            <w:tcBorders>
              <w:bottom w:val="single" w:sz="4" w:color="D0D0CA"/>
            </w:tcBorders>
            <w:shd w:fill="F5F4F0"/>
          </w:tcPr>
          <w:p>
            <w:pPr>
              <w:spacing w:after="0" w:line="269" w:lineRule="auto"/>
            </w:pPr>
            <w:r>
              <w:rPr>
                <w:rFonts w:ascii="Inter SemiBold" w:hAnsi="Inter SemiBold"/>
                <w:b w:val="0"/>
                <w:sz w:val="19"/>
              </w:rPr>
              <w:t>Contrast</w:t>
            </w:r>
          </w:p>
        </w:tc>
        <w:tc>
          <w:tcPr>
            <w:tcW w:type="dxa" w:w="3888"/>
            <w:vAlign w:val="center"/>
            <w:tcMar>
              <w:top w:w="100" w:type="dxa"/>
              <w:bottom w:w="100" w:type="dxa"/>
              <w:left w:w="100" w:type="dxa"/>
              <w:right w:w="100" w:type="dxa"/>
            </w:tcMar>
            <w:tcBorders>
              <w:bottom w:val="single" w:sz="4" w:color="D0D0CA"/>
            </w:tcBorders>
            <w:shd w:fill="F5F4F0"/>
          </w:tcPr>
          <w:p>
            <w:pPr>
              <w:spacing w:after="0" w:line="269" w:lineRule="auto"/>
            </w:pPr>
            <w:r>
              <w:rPr>
                <w:rFonts w:ascii="Inter SemiBold" w:hAnsi="Inter SemiBold"/>
                <w:b w:val="0"/>
                <w:sz w:val="19"/>
              </w:rPr>
              <w:t>Use</w:t>
            </w:r>
          </w:p>
        </w:tc>
      </w:tr>
      <w:tr>
        <w:trPr>
          <w:cantSplit/>
        </w:trPr>
        <w:tc>
          <w:tcPr>
            <w:tcW w:type="dxa" w:w="4536"/>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Paper on Black</w:t>
            </w:r>
          </w:p>
        </w:tc>
        <w:tc>
          <w:tcPr>
            <w:tcW w:type="dxa" w:w="1512"/>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19.23:1</w:t>
            </w:r>
          </w:p>
        </w:tc>
        <w:tc>
          <w:tcPr>
            <w:tcW w:type="dxa" w:w="3888"/>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Primary text</w:t>
            </w:r>
          </w:p>
        </w:tc>
      </w:tr>
      <w:tr>
        <w:trPr>
          <w:cantSplit/>
        </w:trPr>
        <w:tc>
          <w:tcPr>
            <w:tcW w:type="dxa" w:w="4536"/>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Muted dark on Raised dark</w:t>
            </w:r>
          </w:p>
        </w:tc>
        <w:tc>
          <w:tcPr>
            <w:tcW w:type="dxa" w:w="1512"/>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6.53:1</w:t>
            </w:r>
          </w:p>
        </w:tc>
        <w:tc>
          <w:tcPr>
            <w:tcW w:type="dxa" w:w="3888"/>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Secondary text</w:t>
            </w:r>
          </w:p>
        </w:tc>
      </w:tr>
      <w:tr>
        <w:trPr>
          <w:cantSplit/>
        </w:trPr>
        <w:tc>
          <w:tcPr>
            <w:tcW w:type="dxa" w:w="4536"/>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Muted light on Raised light</w:t>
            </w:r>
          </w:p>
        </w:tc>
        <w:tc>
          <w:tcPr>
            <w:tcW w:type="dxa" w:w="1512"/>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4.64:1</w:t>
            </w:r>
          </w:p>
        </w:tc>
        <w:tc>
          <w:tcPr>
            <w:tcW w:type="dxa" w:w="3888"/>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Secondary text</w:t>
            </w:r>
          </w:p>
        </w:tc>
      </w:tr>
      <w:tr>
        <w:trPr>
          <w:cantSplit/>
        </w:trPr>
        <w:tc>
          <w:tcPr>
            <w:tcW w:type="dxa" w:w="4536"/>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Functional border on Raised dark</w:t>
            </w:r>
          </w:p>
        </w:tc>
        <w:tc>
          <w:tcPr>
            <w:tcW w:type="dxa" w:w="1512"/>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3.62:1</w:t>
            </w:r>
          </w:p>
        </w:tc>
        <w:tc>
          <w:tcPr>
            <w:tcW w:type="dxa" w:w="3888"/>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Essential boundary</w:t>
            </w:r>
          </w:p>
        </w:tc>
      </w:tr>
    </w:tbl>
    <w:p>
      <w:pPr>
        <w:spacing w:after="0"/>
      </w:pPr>
    </w:p>
    <w:p>
      <w:r>
        <w:rPr>
          <w:sz w:val="19"/>
        </w:rPr>
        <w:t>Values are conservative two-decimal figures from solid sRGB pairs. Confirm against the included validation report. Required text uses at least 4.5:1; necessary control boundaries use at least 3:1. Decorative separators are exempt from the latter only when they convey no essential information.</w:t>
      </w:r>
    </w:p>
    <w:p>
      <w:pPr>
        <w:pStyle w:val="Heading2"/>
      </w:pPr>
      <w:r>
        <w:t>Print and color status</w:t>
      </w:r>
    </w:p>
    <w:p>
      <w:r>
        <w:t>The reference palette is sRGB. No universal CMYK or Pantone match is specified. Use the original paper color, test black coverage, and approve a physical proof for each print process and stock. No accent color is part of this baseline.</w:t>
      </w:r>
    </w:p>
    <w:p>
      <w:pPr>
        <w:pageBreakBefore/>
        <w:spacing w:after="40"/>
      </w:pPr>
      <w:r>
        <w:rPr>
          <w:rFonts w:ascii="IBM Plex Mono" w:hAnsi="IBM Plex Mono"/>
          <w:sz w:val="17"/>
        </w:rPr>
        <w:t>06  /  PROPOSED SYSTEM</w:t>
      </w:r>
    </w:p>
    <w:p>
      <w:pPr>
        <w:pStyle w:val="Heading1"/>
      </w:pPr>
      <w:r>
        <w:t>Actions and keyboard focus</w:t>
      </w:r>
    </w:p>
    <w:p>
      <w:r>
        <w:t>Controls should explain the next step and behave consistently. The offline component reference consumes the same tokens as this guide. Its states are examples, not a full application framework.</w:t>
      </w:r>
    </w:p>
    <w:p>
      <w:pPr>
        <w:spacing w:after="120" w:before="40"/>
      </w:pPr>
      <w:r>
        <w:drawing>
          <wp:inline xmlns:a="http://schemas.openxmlformats.org/drawingml/2006/main" xmlns:pic="http://schemas.openxmlformats.org/drawingml/2006/picture">
            <wp:extent cx="6172200" cy="3332988"/>
            <wp:docPr id="6" name="Picture 6" descr="Dark and light drawn action specimens showing primary and secondary buttons and interaction states."/>
            <wp:cNvGraphicFramePr>
              <a:graphicFrameLocks noChangeAspect="1"/>
            </wp:cNvGraphicFramePr>
            <a:graphic>
              <a:graphicData uri="http://schemas.openxmlformats.org/drawingml/2006/picture">
                <pic:pic>
                  <pic:nvPicPr>
                    <pic:cNvPr id="0" name="actions-drawn.png"/>
                    <pic:cNvPicPr/>
                  </pic:nvPicPr>
                  <pic:blipFill>
                    <a:blip r:embed="rId16"/>
                    <a:stretch>
                      <a:fillRect/>
                    </a:stretch>
                  </pic:blipFill>
                  <pic:spPr>
                    <a:xfrm>
                      <a:off x="0" y="0"/>
                      <a:ext cx="6172200" cy="3332988"/>
                    </a:xfrm>
                    <a:prstGeom prst="rect"/>
                  </pic:spPr>
                </pic:pic>
              </a:graphicData>
            </a:graphic>
          </wp:inline>
        </w:drawing>
      </w:r>
    </w:p>
    <w:p>
      <w:pPr>
        <w:pStyle w:val="Caption"/>
      </w:pPr>
      <w:r>
        <w:t>Drawn specification using the token values. Browser rendering and keyboard checks remain pending; see the validation report.</w:t>
      </w:r>
    </w:p>
    <w:tbl>
      <w:tblPr>
        <w:tblW w:type="auto" w:w="0"/>
        <w:jc w:val="left"/>
        <w:tblLayout w:type="fixed"/>
        <w:tblLook w:firstColumn="1" w:firstRow="1" w:lastColumn="0" w:lastRow="0" w:noHBand="0" w:noVBand="1" w:val="04A0"/>
      </w:tblPr>
      <w:tblGrid>
        <w:gridCol w:w="2088"/>
        <w:gridCol w:w="7848"/>
      </w:tblGrid>
      <w:tr>
        <w:trPr>
          <w:tblHeader/>
          <w:cantSplit/>
        </w:trPr>
        <w:tc>
          <w:tcPr>
            <w:tcW w:type="dxa" w:w="2088"/>
            <w:vAlign w:val="center"/>
            <w:tcMar>
              <w:top w:w="100" w:type="dxa"/>
              <w:bottom w:w="100" w:type="dxa"/>
              <w:left w:w="100" w:type="dxa"/>
              <w:right w:w="100" w:type="dxa"/>
            </w:tcMar>
            <w:tcBorders>
              <w:bottom w:val="single" w:sz="4" w:color="D0D0CA"/>
            </w:tcBorders>
            <w:shd w:fill="F5F4F0"/>
          </w:tcPr>
          <w:p>
            <w:pPr>
              <w:spacing w:after="0" w:line="269" w:lineRule="auto"/>
            </w:pPr>
            <w:r>
              <w:rPr>
                <w:rFonts w:ascii="Inter SemiBold" w:hAnsi="Inter SemiBold"/>
                <w:b w:val="0"/>
                <w:sz w:val="19"/>
              </w:rPr>
              <w:t>State</w:t>
            </w:r>
          </w:p>
        </w:tc>
        <w:tc>
          <w:tcPr>
            <w:tcW w:type="dxa" w:w="7848"/>
            <w:vAlign w:val="center"/>
            <w:tcMar>
              <w:top w:w="100" w:type="dxa"/>
              <w:bottom w:w="100" w:type="dxa"/>
              <w:left w:w="100" w:type="dxa"/>
              <w:right w:w="100" w:type="dxa"/>
            </w:tcMar>
            <w:tcBorders>
              <w:bottom w:val="single" w:sz="4" w:color="D0D0CA"/>
            </w:tcBorders>
            <w:shd w:fill="F5F4F0"/>
          </w:tcPr>
          <w:p>
            <w:pPr>
              <w:spacing w:after="0" w:line="269" w:lineRule="auto"/>
            </w:pPr>
            <w:r>
              <w:rPr>
                <w:rFonts w:ascii="Inter SemiBold" w:hAnsi="Inter SemiBold"/>
                <w:b w:val="0"/>
                <w:sz w:val="19"/>
              </w:rPr>
              <w:t>Required behavior</w:t>
            </w:r>
          </w:p>
        </w:tc>
      </w:tr>
      <w:tr>
        <w:trPr>
          <w:cantSplit/>
        </w:trPr>
        <w:tc>
          <w:tcPr>
            <w:tcW w:type="dxa" w:w="2088"/>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Default</w:t>
            </w:r>
          </w:p>
        </w:tc>
        <w:tc>
          <w:tcPr>
            <w:tcW w:type="dxa" w:w="7848"/>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One primary action per local task; use specific verb labels.</w:t>
            </w:r>
          </w:p>
        </w:tc>
      </w:tr>
      <w:tr>
        <w:trPr>
          <w:cantSplit/>
        </w:trPr>
        <w:tc>
          <w:tcPr>
            <w:tcW w:type="dxa" w:w="2088"/>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Hover and pressed</w:t>
            </w:r>
          </w:p>
        </w:tc>
        <w:tc>
          <w:tcPr>
            <w:tcW w:type="dxa" w:w="7848"/>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Change fill without changing layout; retain text contrast.</w:t>
            </w:r>
          </w:p>
        </w:tc>
      </w:tr>
      <w:tr>
        <w:trPr>
          <w:cantSplit/>
        </w:trPr>
        <w:tc>
          <w:tcPr>
            <w:tcW w:type="dxa" w:w="2088"/>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Keyboard focus</w:t>
            </w:r>
          </w:p>
        </w:tc>
        <w:tc>
          <w:tcPr>
            <w:tcW w:type="dxa" w:w="7848"/>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Visible 2 px outline with offset; do not clip it or hide it under overlays.</w:t>
            </w:r>
          </w:p>
        </w:tc>
      </w:tr>
      <w:tr>
        <w:trPr>
          <w:cantSplit/>
        </w:trPr>
        <w:tc>
          <w:tcPr>
            <w:tcW w:type="dxa" w:w="2088"/>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Disabled</w:t>
            </w:r>
          </w:p>
        </w:tc>
        <w:tc>
          <w:tcPr>
            <w:tcW w:type="dxa" w:w="7848"/>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Native disabled behavior plus a reason when the next step is unclear.</w:t>
            </w:r>
          </w:p>
        </w:tc>
      </w:tr>
      <w:tr>
        <w:trPr>
          <w:cantSplit/>
        </w:trPr>
        <w:tc>
          <w:tcPr>
            <w:tcW w:type="dxa" w:w="2088"/>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Loading</w:t>
            </w:r>
          </w:p>
        </w:tc>
        <w:tc>
          <w:tcPr>
            <w:tcW w:type="dxa" w:w="7848"/>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Keep the control width stable; use a meaningful loading label and expose busy state.</w:t>
            </w:r>
          </w:p>
        </w:tc>
      </w:tr>
    </w:tbl>
    <w:p>
      <w:pPr>
        <w:spacing w:after="0"/>
      </w:pPr>
    </w:p>
    <w:p>
      <w:r>
        <w:rPr>
          <w:sz w:val="20"/>
        </w:rPr>
        <w:t>Standalone targets are at least 44 × 44 CSS px as a house standard. WCAG 2.2 AA has a 24 px minimum with exceptions; the larger house target gives touch and pointer users more room.</w:t>
      </w:r>
    </w:p>
    <w:p>
      <w:r>
        <w:rPr>
          <w:sz w:val="20"/>
        </w:rPr>
        <w:t>Underline inline links. A button performs an action; a link navigates. Keep keyboard order meaningful and show the same useful content for touch, pointer, and keyboard input.</w:t>
      </w:r>
    </w:p>
    <w:p>
      <w:pPr>
        <w:pageBreakBefore/>
        <w:spacing w:after="40"/>
      </w:pPr>
      <w:r>
        <w:rPr>
          <w:rFonts w:ascii="IBM Plex Mono" w:hAnsi="IBM Plex Mono"/>
          <w:sz w:val="17"/>
        </w:rPr>
        <w:t>07  /  PROPOSED SYSTEM</w:t>
      </w:r>
    </w:p>
    <w:p>
      <w:pPr>
        <w:pStyle w:val="Heading1"/>
      </w:pPr>
      <w:r>
        <w:t>Forms and functional messages</w:t>
      </w:r>
    </w:p>
    <w:p>
      <w:r>
        <w:t>Labels, instructions, errors, and status remain understandable without relying on color. The monochrome palette works because the message and structure carry the meaning.</w:t>
      </w:r>
    </w:p>
    <w:p>
      <w:pPr>
        <w:spacing w:after="120" w:before="40"/>
      </w:pPr>
      <w:r>
        <w:drawing>
          <wp:inline xmlns:a="http://schemas.openxmlformats.org/drawingml/2006/main" xmlns:pic="http://schemas.openxmlformats.org/drawingml/2006/picture">
            <wp:extent cx="6172200" cy="3044952"/>
            <wp:docPr id="7" name="Picture 7" descr="Drawn labeled fields, helper and error text, and selection controls in light and dark themes."/>
            <wp:cNvGraphicFramePr>
              <a:graphicFrameLocks noChangeAspect="1"/>
            </wp:cNvGraphicFramePr>
            <a:graphic>
              <a:graphicData uri="http://schemas.openxmlformats.org/drawingml/2006/picture">
                <pic:pic>
                  <pic:nvPicPr>
                    <pic:cNvPr id="0" name="forms-drawn.png"/>
                    <pic:cNvPicPr/>
                  </pic:nvPicPr>
                  <pic:blipFill>
                    <a:blip r:embed="rId17"/>
                    <a:stretch>
                      <a:fillRect/>
                    </a:stretch>
                  </pic:blipFill>
                  <pic:spPr>
                    <a:xfrm>
                      <a:off x="0" y="0"/>
                      <a:ext cx="6172200" cy="3044952"/>
                    </a:xfrm>
                    <a:prstGeom prst="rect"/>
                  </pic:spPr>
                </pic:pic>
              </a:graphicData>
            </a:graphic>
          </wp:inline>
        </w:drawing>
      </w:r>
    </w:p>
    <w:p>
      <w:pPr>
        <w:pStyle w:val="Caption"/>
      </w:pPr>
      <w:r>
        <w:t>Drawn specification. The offline HTML supplies the actual editable controls and state examples.</w:t>
      </w:r>
    </w:p>
    <w:p>
      <w:pPr>
        <w:pStyle w:val="Heading2"/>
      </w:pPr>
      <w:r>
        <w:t>Field contract</w:t>
      </w:r>
    </w:p>
    <w:p>
      <w:r>
        <w:t>Put a persistent label above the field. Use helper text for the expected format. A placeholder can show an example but cannot replace the label. Identify an error in words, connect it to the field, and say how to fix it. Preserve the entered value.</w:t>
      </w:r>
    </w:p>
    <w:p>
      <w:pPr>
        <w:pStyle w:val="Heading2"/>
      </w:pPr>
      <w:r>
        <w:t>Status contract</w:t>
      </w:r>
    </w:p>
    <w:p>
      <w:r>
        <w:t>Use explicit labels such as Error, Saved, or In development. Pair important status with a distinct symbol or text treatment. Never use a shade change alone. Success and error messages can use the same neutral foreground when their words remain clear.</w:t>
      </w:r>
    </w:p>
    <w:p>
      <w:pPr>
        <w:pStyle w:val="Heading2"/>
      </w:pPr>
      <w:r>
        <w:t>Accessibility checks before shipping</w:t>
      </w:r>
    </w:p>
    <w:p>
      <w:r>
        <w:t>Check keyboard access, visible focus, programmatic names, error associations, and announcements for asynchronous results. Test 320 CSS-px reflow, 200% text enlargement, and reduced motion. The kit’s contrast checks and specimens are evidence for this reference, not certification of every future product.</w:t>
      </w:r>
    </w:p>
    <w:p>
      <w:pPr>
        <w:pageBreakBefore/>
        <w:spacing w:after="40"/>
      </w:pPr>
      <w:r>
        <w:rPr>
          <w:rFonts w:ascii="IBM Plex Mono" w:hAnsi="IBM Plex Mono"/>
          <w:sz w:val="17"/>
        </w:rPr>
        <w:t>08  /  PROPOSED SYSTEM</w:t>
      </w:r>
    </w:p>
    <w:p>
      <w:pPr>
        <w:pStyle w:val="Heading1"/>
      </w:pPr>
      <w:r>
        <w:t>Layout that scales</w:t>
      </w:r>
    </w:p>
    <w:p>
      <w:r>
        <w:t>Use a 4 px base rhythm. Common steps are 8, 16, 24, 32, 48, 64, and 96 px. Choose one dominant alignment and group related controls more tightly than unrelated sections.</w:t>
      </w:r>
    </w:p>
    <w:p>
      <w:pPr>
        <w:spacing w:after="120" w:before="40"/>
      </w:pPr>
      <w:r>
        <w:drawing>
          <wp:inline xmlns:a="http://schemas.openxmlformats.org/drawingml/2006/main" xmlns:pic="http://schemas.openxmlformats.org/drawingml/2006/picture">
            <wp:extent cx="6309360" cy="1051560"/>
            <wp:docPr id="8" name="Picture 8" descr="Proposed spacing scale shown proportionally at 4, 8, 16, 24, 32, 48, 64 and 96 pixels."/>
            <wp:cNvGraphicFramePr>
              <a:graphicFrameLocks noChangeAspect="1"/>
            </wp:cNvGraphicFramePr>
            <a:graphic>
              <a:graphicData uri="http://schemas.openxmlformats.org/drawingml/2006/picture">
                <pic:pic>
                  <pic:nvPicPr>
                    <pic:cNvPr id="0" name="spacing.png"/>
                    <pic:cNvPicPr/>
                  </pic:nvPicPr>
                  <pic:blipFill>
                    <a:blip r:embed="rId18"/>
                    <a:stretch>
                      <a:fillRect/>
                    </a:stretch>
                  </pic:blipFill>
                  <pic:spPr>
                    <a:xfrm>
                      <a:off x="0" y="0"/>
                      <a:ext cx="6309360" cy="1051560"/>
                    </a:xfrm>
                    <a:prstGeom prst="rect"/>
                  </pic:spPr>
                </pic:pic>
              </a:graphicData>
            </a:graphic>
          </wp:inline>
        </w:drawing>
      </w:r>
    </w:p>
    <w:p>
      <w:pPr>
        <w:spacing w:after="120" w:before="40"/>
      </w:pPr>
      <w:r>
        <w:drawing>
          <wp:inline xmlns:a="http://schemas.openxmlformats.org/drawingml/2006/main" xmlns:pic="http://schemas.openxmlformats.org/drawingml/2006/picture">
            <wp:extent cx="5760720" cy="2592324"/>
            <wp:docPr id="9" name="Picture 9" descr="Structural diagram showing three columns on desktop and the same content stacked on a narrow view."/>
            <wp:cNvGraphicFramePr>
              <a:graphicFrameLocks noChangeAspect="1"/>
            </wp:cNvGraphicFramePr>
            <a:graphic>
              <a:graphicData uri="http://schemas.openxmlformats.org/drawingml/2006/picture">
                <pic:pic>
                  <pic:nvPicPr>
                    <pic:cNvPr id="0" name="responsive-drawn.png"/>
                    <pic:cNvPicPr/>
                  </pic:nvPicPr>
                  <pic:blipFill>
                    <a:blip r:embed="rId19"/>
                    <a:stretch>
                      <a:fillRect/>
                    </a:stretch>
                  </pic:blipFill>
                  <pic:spPr>
                    <a:xfrm>
                      <a:off x="0" y="0"/>
                      <a:ext cx="5760720" cy="2592324"/>
                    </a:xfrm>
                    <a:prstGeom prst="rect"/>
                  </pic:spPr>
                </pic:pic>
              </a:graphicData>
            </a:graphic>
          </wp:inline>
        </w:drawing>
      </w:r>
    </w:p>
    <w:p>
      <w:pPr>
        <w:pStyle w:val="Caption"/>
      </w:pPr>
      <w:r>
        <w:t>Structural diagram, not a browser screenshot. Preserve all content when columns stack.</w:t>
      </w:r>
    </w:p>
    <w:tbl>
      <w:tblPr>
        <w:tblW w:type="auto" w:w="0"/>
        <w:jc w:val="left"/>
        <w:tblLayout w:type="fixed"/>
        <w:tblLook w:firstColumn="1" w:firstRow="1" w:lastColumn="0" w:lastRow="0" w:noHBand="0" w:noVBand="1" w:val="04A0"/>
      </w:tblPr>
      <w:tblGrid>
        <w:gridCol w:w="2376"/>
        <w:gridCol w:w="3816"/>
        <w:gridCol w:w="3744"/>
      </w:tblGrid>
      <w:tr>
        <w:trPr>
          <w:tblHeader/>
          <w:cantSplit/>
        </w:trPr>
        <w:tc>
          <w:tcPr>
            <w:tcW w:type="dxa" w:w="2376"/>
            <w:vAlign w:val="center"/>
            <w:tcMar>
              <w:top w:w="100" w:type="dxa"/>
              <w:bottom w:w="100" w:type="dxa"/>
              <w:left w:w="100" w:type="dxa"/>
              <w:right w:w="100" w:type="dxa"/>
            </w:tcMar>
            <w:tcBorders>
              <w:bottom w:val="single" w:sz="4" w:color="D0D0CA"/>
            </w:tcBorders>
            <w:shd w:fill="F5F4F0"/>
          </w:tcPr>
          <w:p>
            <w:pPr>
              <w:spacing w:after="0" w:line="269" w:lineRule="auto"/>
            </w:pPr>
            <w:r>
              <w:rPr>
                <w:rFonts w:ascii="Inter SemiBold" w:hAnsi="Inter SemiBold"/>
                <w:b w:val="0"/>
                <w:sz w:val="19"/>
              </w:rPr>
              <w:t>Rule</w:t>
            </w:r>
          </w:p>
        </w:tc>
        <w:tc>
          <w:tcPr>
            <w:tcW w:type="dxa" w:w="3816"/>
            <w:vAlign w:val="center"/>
            <w:tcMar>
              <w:top w:w="100" w:type="dxa"/>
              <w:bottom w:w="100" w:type="dxa"/>
              <w:left w:w="100" w:type="dxa"/>
              <w:right w:w="100" w:type="dxa"/>
            </w:tcMar>
            <w:tcBorders>
              <w:bottom w:val="single" w:sz="4" w:color="D0D0CA"/>
            </w:tcBorders>
            <w:shd w:fill="F5F4F0"/>
          </w:tcPr>
          <w:p>
            <w:pPr>
              <w:spacing w:after="0" w:line="269" w:lineRule="auto"/>
            </w:pPr>
            <w:r>
              <w:rPr>
                <w:rFonts w:ascii="Inter SemiBold" w:hAnsi="Inter SemiBold"/>
                <w:b w:val="0"/>
                <w:sz w:val="19"/>
              </w:rPr>
              <w:t>Wide layout</w:t>
            </w:r>
          </w:p>
        </w:tc>
        <w:tc>
          <w:tcPr>
            <w:tcW w:type="dxa" w:w="3744"/>
            <w:vAlign w:val="center"/>
            <w:tcMar>
              <w:top w:w="100" w:type="dxa"/>
              <w:bottom w:w="100" w:type="dxa"/>
              <w:left w:w="100" w:type="dxa"/>
              <w:right w:w="100" w:type="dxa"/>
            </w:tcMar>
            <w:tcBorders>
              <w:bottom w:val="single" w:sz="4" w:color="D0D0CA"/>
            </w:tcBorders>
            <w:shd w:fill="F5F4F0"/>
          </w:tcPr>
          <w:p>
            <w:pPr>
              <w:spacing w:after="0" w:line="269" w:lineRule="auto"/>
            </w:pPr>
            <w:r>
              <w:rPr>
                <w:rFonts w:ascii="Inter SemiBold" w:hAnsi="Inter SemiBold"/>
                <w:b w:val="0"/>
                <w:sz w:val="19"/>
              </w:rPr>
              <w:t>Narrow layout</w:t>
            </w:r>
          </w:p>
        </w:tc>
      </w:tr>
      <w:tr>
        <w:trPr>
          <w:cantSplit/>
        </w:trPr>
        <w:tc>
          <w:tcPr>
            <w:tcW w:type="dxa" w:w="2376"/>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Outer gutter</w:t>
            </w:r>
          </w:p>
        </w:tc>
        <w:tc>
          <w:tcPr>
            <w:tcW w:type="dxa" w:w="3816"/>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24 px minimum; center within 1120 px</w:t>
            </w:r>
          </w:p>
        </w:tc>
        <w:tc>
          <w:tcPr>
            <w:tcW w:type="dxa" w:w="3744"/>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24 px, with content allowed to wrap</w:t>
            </w:r>
          </w:p>
        </w:tc>
      </w:tr>
      <w:tr>
        <w:trPr>
          <w:cantSplit/>
        </w:trPr>
        <w:tc>
          <w:tcPr>
            <w:tcW w:type="dxa" w:w="2376"/>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Columns</w:t>
            </w:r>
          </w:p>
        </w:tc>
        <w:tc>
          <w:tcPr>
            <w:tcW w:type="dxa" w:w="3816"/>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Two or three only when content fits</w:t>
            </w:r>
          </w:p>
        </w:tc>
        <w:tc>
          <w:tcPr>
            <w:tcW w:type="dxa" w:w="3744"/>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Single column below 720 px</w:t>
            </w:r>
          </w:p>
        </w:tc>
      </w:tr>
      <w:tr>
        <w:trPr>
          <w:cantSplit/>
        </w:trPr>
        <w:tc>
          <w:tcPr>
            <w:tcW w:type="dxa" w:w="2376"/>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Major section gap</w:t>
            </w:r>
          </w:p>
        </w:tc>
        <w:tc>
          <w:tcPr>
            <w:tcW w:type="dxa" w:w="3816"/>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64–96 px</w:t>
            </w:r>
          </w:p>
        </w:tc>
        <w:tc>
          <w:tcPr>
            <w:tcW w:type="dxa" w:w="3744"/>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48 px below 720 px</w:t>
            </w:r>
          </w:p>
        </w:tc>
      </w:tr>
      <w:tr>
        <w:trPr>
          <w:cantSplit/>
        </w:trPr>
        <w:tc>
          <w:tcPr>
            <w:tcW w:type="dxa" w:w="2376"/>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Display type</w:t>
            </w:r>
          </w:p>
        </w:tc>
        <w:tc>
          <w:tcPr>
            <w:tcW w:type="dxa" w:w="3816"/>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48 px / 1.10</w:t>
            </w:r>
          </w:p>
        </w:tc>
        <w:tc>
          <w:tcPr>
            <w:tcW w:type="dxa" w:w="3744"/>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34 px / 1.15 below 720 px</w:t>
            </w:r>
          </w:p>
        </w:tc>
      </w:tr>
      <w:tr>
        <w:trPr>
          <w:cantSplit/>
        </w:trPr>
        <w:tc>
          <w:tcPr>
            <w:tcW w:type="dxa" w:w="2376"/>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Navigation and actions</w:t>
            </w:r>
          </w:p>
        </w:tc>
        <w:tc>
          <w:tcPr>
            <w:tcW w:type="dxa" w:w="3816"/>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Wrap cleanly when necessary</w:t>
            </w:r>
          </w:p>
        </w:tc>
        <w:tc>
          <w:tcPr>
            <w:tcW w:type="dxa" w:w="3744"/>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Stack or wrap; preserve target sizes</w:t>
            </w:r>
          </w:p>
        </w:tc>
      </w:tr>
    </w:tbl>
    <w:p>
      <w:pPr>
        <w:spacing w:after="0"/>
      </w:pPr>
    </w:p>
    <w:p>
      <w:r>
        <w:rPr>
          <w:sz w:val="20"/>
        </w:rPr>
        <w:t>Use 4 px corner radii for controls and surfaces. Avoid ornamental shadows, repeated logo decoration, and dense badge clusters. Code blocks may scroll horizontally inside their own container; the page itself must reflow.</w:t>
      </w:r>
    </w:p>
    <w:p>
      <w:pPr>
        <w:pageBreakBefore/>
        <w:spacing w:after="40"/>
      </w:pPr>
      <w:r>
        <w:rPr>
          <w:rFonts w:ascii="IBM Plex Mono" w:hAnsi="IBM Plex Mono"/>
          <w:sz w:val="17"/>
        </w:rPr>
        <w:t>09  /  PROPOSED SYSTEM</w:t>
      </w:r>
    </w:p>
    <w:p>
      <w:pPr>
        <w:pStyle w:val="Heading1"/>
      </w:pPr>
      <w:r>
        <w:t>Documents people can reuse</w:t>
      </w:r>
    </w:p>
    <w:p>
      <w:r>
        <w:t>Use the included editable technical-note template as a starting point. It carries the identity through type, spacing, restrained branding, and clear hierarchy rather than an oversized cover page.</w:t>
      </w:r>
    </w:p>
    <w:p>
      <w:pPr>
        <w:spacing w:after="120" w:before="40"/>
      </w:pPr>
      <w:r>
        <w:drawing>
          <wp:inline xmlns:a="http://schemas.openxmlformats.org/drawingml/2006/main" xmlns:pic="http://schemas.openxmlformats.org/drawingml/2006/picture">
            <wp:extent cx="5943600" cy="4081272"/>
            <wp:docPr id="10" name="Picture 10" descr="Two reviewed pages of the reusable Cosmik technical-note document template."/>
            <wp:cNvGraphicFramePr>
              <a:graphicFrameLocks noChangeAspect="1"/>
            </wp:cNvGraphicFramePr>
            <a:graphic>
              <a:graphicData uri="http://schemas.openxmlformats.org/drawingml/2006/picture">
                <pic:pic>
                  <pic:nvPicPr>
                    <pic:cNvPr id="0" name="template-preview.png"/>
                    <pic:cNvPicPr/>
                  </pic:nvPicPr>
                  <pic:blipFill>
                    <a:blip r:embed="rId20"/>
                    <a:stretch>
                      <a:fillRect/>
                    </a:stretch>
                  </pic:blipFill>
                  <pic:spPr>
                    <a:xfrm>
                      <a:off x="0" y="0"/>
                      <a:ext cx="5943600" cy="4081272"/>
                    </a:xfrm>
                    <a:prstGeom prst="rect"/>
                  </pic:spPr>
                </pic:pic>
              </a:graphicData>
            </a:graphic>
          </wp:inline>
        </w:drawing>
      </w:r>
    </w:p>
    <w:tbl>
      <w:tblPr>
        <w:tblW w:type="auto" w:w="0"/>
        <w:jc w:val="left"/>
        <w:tblLayout w:type="fixed"/>
        <w:tblLook w:firstColumn="1" w:firstRow="1" w:lastColumn="0" w:lastRow="0" w:noHBand="0" w:noVBand="1" w:val="04A0"/>
      </w:tblPr>
      <w:tblGrid>
        <w:gridCol w:w="2088"/>
        <w:gridCol w:w="7848"/>
      </w:tblGrid>
      <w:tr>
        <w:trPr>
          <w:tblHeader/>
          <w:cantSplit/>
        </w:trPr>
        <w:tc>
          <w:tcPr>
            <w:tcW w:type="dxa" w:w="2088"/>
            <w:vAlign w:val="center"/>
            <w:tcMar>
              <w:top w:w="100" w:type="dxa"/>
              <w:bottom w:w="100" w:type="dxa"/>
              <w:left w:w="100" w:type="dxa"/>
              <w:right w:w="100" w:type="dxa"/>
            </w:tcMar>
            <w:tcBorders>
              <w:bottom w:val="single" w:sz="4" w:color="D0D0CA"/>
            </w:tcBorders>
            <w:shd w:fill="F5F4F0"/>
          </w:tcPr>
          <w:p>
            <w:pPr>
              <w:spacing w:after="0" w:line="269" w:lineRule="auto"/>
            </w:pPr>
            <w:r>
              <w:rPr>
                <w:rFonts w:ascii="Inter SemiBold" w:hAnsi="Inter SemiBold"/>
                <w:b w:val="0"/>
                <w:sz w:val="19"/>
              </w:rPr>
              <w:t>Element</w:t>
            </w:r>
          </w:p>
        </w:tc>
        <w:tc>
          <w:tcPr>
            <w:tcW w:type="dxa" w:w="7848"/>
            <w:vAlign w:val="center"/>
            <w:tcMar>
              <w:top w:w="100" w:type="dxa"/>
              <w:bottom w:w="100" w:type="dxa"/>
              <w:left w:w="100" w:type="dxa"/>
              <w:right w:w="100" w:type="dxa"/>
            </w:tcMar>
            <w:tcBorders>
              <w:bottom w:val="single" w:sz="4" w:color="D0D0CA"/>
            </w:tcBorders>
            <w:shd w:fill="F5F4F0"/>
          </w:tcPr>
          <w:p>
            <w:pPr>
              <w:spacing w:after="0" w:line="269" w:lineRule="auto"/>
            </w:pPr>
            <w:r>
              <w:rPr>
                <w:rFonts w:ascii="Inter SemiBold" w:hAnsi="Inter SemiBold"/>
                <w:b w:val="0"/>
                <w:sz w:val="19"/>
              </w:rPr>
              <w:t>Template rule</w:t>
            </w:r>
          </w:p>
        </w:tc>
      </w:tr>
      <w:tr>
        <w:trPr>
          <w:cantSplit/>
        </w:trPr>
        <w:tc>
          <w:tcPr>
            <w:tcW w:type="dxa" w:w="2088"/>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Page</w:t>
            </w:r>
          </w:p>
        </w:tc>
        <w:tc>
          <w:tcPr>
            <w:tcW w:type="dxa" w:w="7848"/>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Letter portrait; 20 mm margins. Reflow and review if adapting to A4.</w:t>
            </w:r>
          </w:p>
        </w:tc>
      </w:tr>
      <w:tr>
        <w:trPr>
          <w:cantSplit/>
        </w:trPr>
        <w:tc>
          <w:tcPr>
            <w:tcW w:type="dxa" w:w="2088"/>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Branding</w:t>
            </w:r>
          </w:p>
        </w:tc>
        <w:tc>
          <w:tcPr>
            <w:tcW w:type="dxa" w:w="7848"/>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Intact approved raster or live identity label; no retyped wordmark.</w:t>
            </w:r>
          </w:p>
        </w:tc>
      </w:tr>
      <w:tr>
        <w:trPr>
          <w:cantSplit/>
        </w:trPr>
        <w:tc>
          <w:tcPr>
            <w:tcW w:type="dxa" w:w="2088"/>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Reading</w:t>
            </w:r>
          </w:p>
        </w:tc>
        <w:tc>
          <w:tcPr>
            <w:tcW w:type="dxa" w:w="7848"/>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Inter 11 pt / 1.4; left aligned; real Word heading styles.</w:t>
            </w:r>
          </w:p>
        </w:tc>
      </w:tr>
      <w:tr>
        <w:trPr>
          <w:cantSplit/>
        </w:trPr>
        <w:tc>
          <w:tcPr>
            <w:tcW w:type="dxa" w:w="2088"/>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Tables and code</w:t>
            </w:r>
          </w:p>
        </w:tc>
        <w:tc>
          <w:tcPr>
            <w:tcW w:type="dxa" w:w="7848"/>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Use tables for comparable records; repeat header rows. Use Plex Mono for code.</w:t>
            </w:r>
          </w:p>
        </w:tc>
      </w:tr>
      <w:tr>
        <w:trPr>
          <w:cantSplit/>
        </w:trPr>
        <w:tc>
          <w:tcPr>
            <w:tcW w:type="dxa" w:w="2088"/>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Figures and links</w:t>
            </w:r>
          </w:p>
        </w:tc>
        <w:tc>
          <w:tcPr>
            <w:tcW w:type="dxa" w:w="7848"/>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Add a caption and meaningful alt text; use descriptive, visible links.</w:t>
            </w:r>
          </w:p>
        </w:tc>
      </w:tr>
      <w:tr>
        <w:trPr>
          <w:cantSplit/>
        </w:trPr>
        <w:tc>
          <w:tcPr>
            <w:tcW w:type="dxa" w:w="2088"/>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Footer</w:t>
            </w:r>
          </w:p>
        </w:tc>
        <w:tc>
          <w:tcPr>
            <w:tcW w:type="dxa" w:w="7848"/>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Version or document status and page number; no invented legal footer.</w:t>
            </w:r>
          </w:p>
        </w:tc>
      </w:tr>
    </w:tbl>
    <w:p>
      <w:pPr>
        <w:spacing w:after="0"/>
      </w:pPr>
    </w:p>
    <w:p>
      <w:r>
        <w:rPr>
          <w:sz w:val="20"/>
        </w:rPr>
        <w:t>Replace bracketed fields and remove instruction text. Keep the document’s title and first paragraph specific to its purpose. Review every exported PDF page after substantive changes; missing fonts can alter the Word layout.</w:t>
      </w:r>
    </w:p>
    <w:p>
      <w:pPr>
        <w:pageBreakBefore/>
        <w:spacing w:after="40"/>
      </w:pPr>
      <w:r>
        <w:rPr>
          <w:rFonts w:ascii="IBM Plex Mono" w:hAnsi="IBM Plex Mono"/>
          <w:sz w:val="17"/>
        </w:rPr>
        <w:t>10  /  PROPOSED SYSTEM</w:t>
      </w:r>
    </w:p>
    <w:p>
      <w:pPr>
        <w:pStyle w:val="Heading1"/>
      </w:pPr>
      <w:r>
        <w:t>One umbrella for distinct projects</w:t>
      </w:r>
    </w:p>
    <w:p>
      <w:r>
        <w:t>Cosmik is the parent identity. Each project has its own name, purpose, status, and upstream obligations. A project can have its own visual mood while keeping the endorsement and utility type consistent.</w:t>
      </w:r>
    </w:p>
    <w:p>
      <w:pPr>
        <w:spacing w:after="120" w:before="40"/>
      </w:pPr>
      <w:r>
        <w:drawing>
          <wp:inline xmlns:a="http://schemas.openxmlformats.org/drawingml/2006/main" xmlns:pic="http://schemas.openxmlformats.org/drawingml/2006/picture">
            <wp:extent cx="6217920" cy="2984602"/>
            <wp:docPr id="11" name="Picture 11" descr="Organization masthead, project-first HPLX page, illustrative original-project naming, and separate upstream credit area."/>
            <wp:cNvGraphicFramePr>
              <a:graphicFrameLocks noChangeAspect="1"/>
            </wp:cNvGraphicFramePr>
            <a:graphic>
              <a:graphicData uri="http://schemas.openxmlformats.org/drawingml/2006/picture">
                <pic:pic>
                  <pic:nvPicPr>
                    <pic:cNvPr id="0" name="architecture.png"/>
                    <pic:cNvPicPr/>
                  </pic:nvPicPr>
                  <pic:blipFill>
                    <a:blip r:embed="rId21"/>
                    <a:stretch>
                      <a:fillRect/>
                    </a:stretch>
                  </pic:blipFill>
                  <pic:spPr>
                    <a:xfrm>
                      <a:off x="0" y="0"/>
                      <a:ext cx="6217920" cy="2984602"/>
                    </a:xfrm>
                    <a:prstGeom prst="rect"/>
                  </pic:spPr>
                </pic:pic>
              </a:graphicData>
            </a:graphic>
          </wp:inline>
        </w:drawing>
      </w:r>
    </w:p>
    <w:p>
      <w:pPr>
        <w:pStyle w:val="Heading2"/>
      </w:pPr>
      <w:r>
        <w:t>Endorsement pattern</w:t>
      </w:r>
    </w:p>
    <w:p>
      <w:r>
        <w:t>Let the project title lead. Place “A Cosmik project” beneath the title or in the footer, Inter 400 at 14 px on the web or 9.5 pt in a document. Keep at least 16 px or 4 mm between the title block and endorsement; do not combine marks into a new logo.</w:t>
      </w:r>
    </w:p>
    <w:p>
      <w:pPr>
        <w:pStyle w:val="Heading2"/>
      </w:pPr>
      <w:r>
        <w:t>Names and claims</w:t>
      </w:r>
    </w:p>
    <w:p>
      <w:r>
        <w:t>Use Cosmik in prose and cosmik-labs for the handle. HPLX is the engine project; the separate Amnesia: The Dark Descent implementation is another project. Do not imply official affiliation, ownership of game IP, or common licensing across all code and assets.</w:t>
      </w:r>
    </w:p>
    <w:p>
      <w:r>
        <w:rPr>
          <w:sz w:val="19"/>
        </w:rPr>
        <w:t>Keep original creator credits and license notices readable and separate from the Cosmik endorsement. The generic original-project example above is a layout pattern, not an announced product.</w:t>
      </w:r>
    </w:p>
    <w:p>
      <w:pPr>
        <w:pageBreakBefore/>
        <w:spacing w:after="40"/>
      </w:pPr>
      <w:r>
        <w:rPr>
          <w:rFonts w:ascii="IBM Plex Mono" w:hAnsi="IBM Plex Mono"/>
          <w:sz w:val="17"/>
        </w:rPr>
        <w:t>11  /  PROPOSED SYSTEM</w:t>
      </w:r>
    </w:p>
    <w:p>
      <w:pPr>
        <w:pStyle w:val="Heading1"/>
      </w:pPr>
      <w:r>
        <w:t>Voice imagery and motion</w:t>
      </w:r>
    </w:p>
    <w:p>
      <w:pPr>
        <w:pStyle w:val="Heading2"/>
      </w:pPr>
      <w:r>
        <w:t>Voice</w:t>
      </w:r>
    </w:p>
    <w:p>
      <w:r>
        <w:t>Write like an independent developer sharing useful work. Say what a project does, what works today, and what someone can do next. Use “I” for Matthew’s personal updates and “Cosmik” for neutral descriptions. Do not imply a larger team or formal company.</w:t>
      </w:r>
    </w:p>
    <w:p>
      <w:r>
        <w:rPr>
          <w:sz w:val="22"/>
        </w:rPr>
        <w:t>Published description: “Cosmik is an independent open-source gaming workshop, building games, mods, tools, and modern reimplementations of classic game technology.”</w:t>
      </w:r>
    </w:p>
    <w:p>
      <w:r>
        <w:rPr>
          <w:sz w:val="20"/>
        </w:rPr>
        <w:t>Useful update pattern: “[Feature] now works in [build or branch]. [Known limitation] is still being worked on. See [link] for the current setup instructions.” Replace each bracket with a verified fact.</w:t>
      </w:r>
    </w:p>
    <w:p>
      <w:pPr>
        <w:pStyle w:val="Heading2"/>
      </w:pPr>
      <w:r>
        <w:t>Imagery and icons</w:t>
      </w:r>
    </w:p>
    <w:p>
      <w:r>
        <w:t>Use real project screenshots, diagrams, or relevant artwork when they explain the work. Preserve proportions; crop only when essential information remains visible. Keep horror-specific imagery inside the relevant project. Avoid generic space wallpaper, decorative starfields, and artificial glow as default Cosmik styling.</w:t>
      </w:r>
    </w:p>
    <w:p>
      <w:r>
        <w:rPr>
          <w:sz w:val="20"/>
        </w:rPr>
        <w:t>For utility icons, use one consistent stroke family, a 24 px drawing grid, and a clear accessible name. Decorative icons are hidden from assistive technology. A visible icon does not replace an ambiguous action label.</w:t>
      </w:r>
    </w:p>
    <w:p>
      <w:pPr>
        <w:spacing w:after="120" w:before="40"/>
      </w:pPr>
      <w:r>
        <w:drawing>
          <wp:inline xmlns:a="http://schemas.openxmlformats.org/drawingml/2006/main" xmlns:pic="http://schemas.openxmlformats.org/drawingml/2006/picture">
            <wp:extent cx="6126480" cy="2185111"/>
            <wp:docPr id="12" name="Picture 12" descr="Intact black plate on a light page compared with incorrect stretched artwork and an incorrect retyped wordmark."/>
            <wp:cNvGraphicFramePr>
              <a:graphicFrameLocks noChangeAspect="1"/>
            </wp:cNvGraphicFramePr>
            <a:graphic>
              <a:graphicData uri="http://schemas.openxmlformats.org/drawingml/2006/picture">
                <pic:pic>
                  <pic:nvPicPr>
                    <pic:cNvPr id="0" name="usage.png"/>
                    <pic:cNvPicPr/>
                  </pic:nvPicPr>
                  <pic:blipFill>
                    <a:blip r:embed="rId22"/>
                    <a:stretch>
                      <a:fillRect/>
                    </a:stretch>
                  </pic:blipFill>
                  <pic:spPr>
                    <a:xfrm>
                      <a:off x="0" y="0"/>
                      <a:ext cx="6126480" cy="2185111"/>
                    </a:xfrm>
                    <a:prstGeom prst="rect"/>
                  </pic:spPr>
                </pic:pic>
              </a:graphicData>
            </a:graphic>
          </wp:inline>
        </w:drawing>
      </w:r>
    </w:p>
    <w:p>
      <w:pPr>
        <w:pStyle w:val="Heading2"/>
      </w:pPr>
      <w:r>
        <w:t>Motion under exploration</w:t>
      </w:r>
    </w:p>
    <w:p>
      <w:r>
        <w:rPr>
          <w:sz w:val="20"/>
        </w:rPr>
        <w:t>The current exploration starts with a centered emblem, slides it left, and reveals widely spaced O S M I K letters. The final lettering, spacing, and timing remain under review. Keep recurring interface branding static. For reduced motion, show the complete identity immediately; never delay essential content for a logo reveal.</w:t>
      </w:r>
    </w:p>
    <w:p>
      <w:pPr>
        <w:pageBreakBefore/>
        <w:spacing w:after="40"/>
      </w:pPr>
      <w:r>
        <w:rPr>
          <w:rFonts w:ascii="IBM Plex Mono" w:hAnsi="IBM Plex Mono"/>
          <w:sz w:val="17"/>
        </w:rPr>
        <w:t>12  /  ADOPTION AND SOURCE REFERENCES</w:t>
      </w:r>
    </w:p>
    <w:p>
      <w:pPr>
        <w:pStyle w:val="Heading1"/>
      </w:pPr>
      <w:r>
        <w:t>Handoff and release checks</w:t>
      </w:r>
    </w:p>
    <w:p>
      <w:r>
        <w:t>The bundle separates approved originals, accepted vector artwork, archived experiments, implementation tokens, component specimens, and document templates. It is prepared for cosmik-labs/brand; nothing is published by this guide.</w:t>
      </w:r>
    </w:p>
    <w:tbl>
      <w:tblPr>
        <w:tblW w:type="auto" w:w="0"/>
        <w:jc w:val="left"/>
        <w:tblLayout w:type="fixed"/>
        <w:tblLook w:firstColumn="1" w:firstRow="1" w:lastColumn="0" w:lastRow="0" w:noHBand="0" w:noVBand="1" w:val="04A0"/>
      </w:tblPr>
      <w:tblGrid>
        <w:gridCol w:w="3600"/>
        <w:gridCol w:w="6336"/>
      </w:tblGrid>
      <w:tr>
        <w:trPr>
          <w:tblHeader/>
          <w:cantSplit/>
        </w:trPr>
        <w:tc>
          <w:tcPr>
            <w:tcW w:type="dxa" w:w="3600"/>
            <w:vAlign w:val="center"/>
            <w:tcMar>
              <w:top w:w="100" w:type="dxa"/>
              <w:bottom w:w="100" w:type="dxa"/>
              <w:left w:w="100" w:type="dxa"/>
              <w:right w:w="100" w:type="dxa"/>
            </w:tcMar>
            <w:tcBorders>
              <w:bottom w:val="single" w:sz="4" w:color="D0D0CA"/>
            </w:tcBorders>
            <w:shd w:fill="F5F4F0"/>
          </w:tcPr>
          <w:p>
            <w:pPr>
              <w:spacing w:after="0" w:line="269" w:lineRule="auto"/>
            </w:pPr>
            <w:r>
              <w:rPr>
                <w:rFonts w:ascii="Inter SemiBold" w:hAnsi="Inter SemiBold"/>
                <w:b w:val="0"/>
                <w:sz w:val="19"/>
              </w:rPr>
              <w:t>Location</w:t>
            </w:r>
          </w:p>
        </w:tc>
        <w:tc>
          <w:tcPr>
            <w:tcW w:type="dxa" w:w="6336"/>
            <w:vAlign w:val="center"/>
            <w:tcMar>
              <w:top w:w="100" w:type="dxa"/>
              <w:bottom w:w="100" w:type="dxa"/>
              <w:left w:w="100" w:type="dxa"/>
              <w:right w:w="100" w:type="dxa"/>
            </w:tcMar>
            <w:tcBorders>
              <w:bottom w:val="single" w:sz="4" w:color="D0D0CA"/>
            </w:tcBorders>
            <w:shd w:fill="F5F4F0"/>
          </w:tcPr>
          <w:p>
            <w:pPr>
              <w:spacing w:after="0" w:line="269" w:lineRule="auto"/>
            </w:pPr>
            <w:r>
              <w:rPr>
                <w:rFonts w:ascii="Inter SemiBold" w:hAnsi="Inter SemiBold"/>
                <w:b w:val="0"/>
                <w:sz w:val="19"/>
              </w:rPr>
              <w:t>What it is</w:t>
            </w:r>
          </w:p>
        </w:tc>
      </w:tr>
      <w:tr>
        <w:trPr>
          <w:cantSplit/>
        </w:trPr>
        <w:tc>
          <w:tcPr>
            <w:tcW w:type="dxa" w:w="3600"/>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assets/approved-raster/</w:t>
            </w:r>
          </w:p>
        </w:tc>
        <w:tc>
          <w:tcPr>
            <w:tcW w:type="dxa" w:w="6336"/>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Original approved square and banner, unchanged</w:t>
            </w:r>
          </w:p>
        </w:tc>
      </w:tr>
      <w:tr>
        <w:trPr>
          <w:cantSplit/>
        </w:trPr>
        <w:tc>
          <w:tcPr>
            <w:tcW w:type="dxa" w:w="3600"/>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assets/vector/</w:t>
            </w:r>
          </w:p>
        </w:tc>
        <w:tc>
          <w:tcPr>
            <w:tcW w:type="dxa" w:w="6336"/>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Accepted traced symbol and exact color reverses</w:t>
            </w:r>
          </w:p>
        </w:tc>
      </w:tr>
      <w:tr>
        <w:trPr>
          <w:cantSplit/>
        </w:trPr>
        <w:tc>
          <w:tcPr>
            <w:tcW w:type="dxa" w:w="3600"/>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assets/archive/</w:t>
            </w:r>
          </w:p>
        </w:tc>
        <w:tc>
          <w:tcPr>
            <w:tcW w:type="dxa" w:w="6336"/>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Earlier generated light alternatives, not masters</w:t>
            </w:r>
          </w:p>
        </w:tc>
      </w:tr>
      <w:tr>
        <w:trPr>
          <w:cantSplit/>
        </w:trPr>
        <w:tc>
          <w:tcPr>
            <w:tcW w:type="dxa" w:w="3600"/>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tokens/ and specimens/</w:t>
            </w:r>
          </w:p>
        </w:tc>
        <w:tc>
          <w:tcPr>
            <w:tcW w:type="dxa" w:w="6336"/>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Synchronized semantic CSS/JSON and offline component reference</w:t>
            </w:r>
          </w:p>
        </w:tc>
      </w:tr>
      <w:tr>
        <w:trPr>
          <w:cantSplit/>
        </w:trPr>
        <w:tc>
          <w:tcPr>
            <w:tcW w:type="dxa" w:w="3600"/>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templates/ and fonts/</w:t>
            </w:r>
          </w:p>
        </w:tc>
        <w:tc>
          <w:tcPr>
            <w:tcW w:type="dxa" w:w="6336"/>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Editable document starter, proof PDF, and licensed font files</w:t>
            </w:r>
          </w:p>
        </w:tc>
      </w:tr>
      <w:tr>
        <w:trPr>
          <w:cantSplit/>
        </w:trPr>
        <w:tc>
          <w:tcPr>
            <w:tcW w:type="dxa" w:w="3600"/>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references/ and asset-manifest.json</w:t>
            </w:r>
          </w:p>
        </w:tc>
        <w:tc>
          <w:tcPr>
            <w:tcW w:type="dxa" w:w="6336"/>
            <w:vAlign w:val="center"/>
            <w:tcMar>
              <w:top w:w="100" w:type="dxa"/>
              <w:bottom w:w="100" w:type="dxa"/>
              <w:left w:w="100" w:type="dxa"/>
              <w:right w:w="100" w:type="dxa"/>
            </w:tcMar>
            <w:tcBorders>
              <w:bottom w:val="single" w:sz="4" w:color="D0D0CA"/>
            </w:tcBorders>
          </w:tcPr>
          <w:p>
            <w:pPr>
              <w:spacing w:after="0" w:line="269" w:lineRule="auto"/>
            </w:pPr>
            <w:r>
              <w:rPr>
                <w:rFonts w:ascii="Inter" w:hAnsi="Inter"/>
                <w:b w:val="0"/>
                <w:sz w:val="19"/>
              </w:rPr>
              <w:t>Validation, source records, font licenses, and checksums</w:t>
            </w:r>
          </w:p>
        </w:tc>
      </w:tr>
    </w:tbl>
    <w:p>
      <w:pPr>
        <w:spacing w:after="0"/>
      </w:pPr>
    </w:p>
    <w:p>
      <w:pPr>
        <w:pStyle w:val="Heading2"/>
      </w:pPr>
      <w:r>
        <w:t>Before adoption</w:t>
      </w:r>
    </w:p>
    <w:p>
      <w:r>
        <w:rPr>
          <w:sz w:val="20"/>
        </w:rPr>
        <w:t>1. Use the accepted traced symbol as the canonical emblem; preserve its source record.</w:t>
        <w:br/>
        <w:t>2. Approve the supporting type, semantic themes, and component behavior.</w:t>
        <w:br/>
        <w:t>3. Commission or prepare a faithful outlined wordmark and complete lockup; proof tiny icons separately.</w:t>
        <w:br/>
        <w:t>4. Set brand-asset reuse terms and confirm any external rights before public distribution.</w:t>
        <w:br/>
        <w:t>5. Re-test real product screens and print outputs; keep versioned assets and retire superseded copies.</w:t>
      </w:r>
    </w:p>
    <w:p>
      <w:r>
        <w:rPr>
          <w:sz w:val="19"/>
        </w:rPr>
        <w:t>Matthew owns identity decisions. Contributors can propose changes with a before/after proof, affected files, and validation results. A new product should reuse the system; changes to the logo or core type/palette need explicit review.</w:t>
      </w:r>
    </w:p>
    <w:p>
      <w:pPr>
        <w:pStyle w:val="Heading2"/>
      </w:pPr>
      <w:r>
        <w:t>Primary references</w:t>
      </w:r>
    </w:p>
    <w:p>
      <w:pPr>
        <w:spacing w:after="60" w:line="259" w:lineRule="auto"/>
      </w:pPr>
      <w:hyperlink r:id="rId23">
        <w:r>
          <w:rPr>
            <w:color w:val="000000"/>
            <w:sz w:val="18"/>
            <w:u w:val="single"/>
          </w:rPr>
          <w:t>Cosmik published profile and source version</w:t>
        </w:r>
      </w:hyperlink>
    </w:p>
    <w:p>
      <w:pPr>
        <w:spacing w:after="60" w:line="259" w:lineRule="auto"/>
      </w:pPr>
      <w:hyperlink r:id="rId24">
        <w:r>
          <w:rPr>
            <w:color w:val="000000"/>
            <w:sz w:val="18"/>
            <w:u w:val="single"/>
          </w:rPr>
          <w:t>Inter downloads and license</w:t>
        </w:r>
      </w:hyperlink>
    </w:p>
    <w:p>
      <w:pPr>
        <w:spacing w:after="60" w:line="259" w:lineRule="auto"/>
      </w:pPr>
      <w:hyperlink r:id="rId25">
        <w:r>
          <w:rPr>
            <w:color w:val="000000"/>
            <w:sz w:val="18"/>
            <w:u w:val="single"/>
          </w:rPr>
          <w:t>IBM Plex Mono official package and license</w:t>
        </w:r>
      </w:hyperlink>
    </w:p>
    <w:p>
      <w:pPr>
        <w:spacing w:after="60" w:line="259" w:lineRule="auto"/>
      </w:pPr>
      <w:hyperlink r:id="rId26">
        <w:r>
          <w:rPr>
            <w:color w:val="000000"/>
            <w:sz w:val="18"/>
            <w:u w:val="single"/>
          </w:rPr>
          <w:t>WCAG text contrast</w:t>
        </w:r>
      </w:hyperlink>
    </w:p>
    <w:p>
      <w:pPr>
        <w:spacing w:after="60" w:line="259" w:lineRule="auto"/>
      </w:pPr>
      <w:hyperlink r:id="rId27">
        <w:r>
          <w:rPr>
            <w:color w:val="000000"/>
            <w:sz w:val="18"/>
            <w:u w:val="single"/>
          </w:rPr>
          <w:t>WCAG non-text contrast</w:t>
        </w:r>
      </w:hyperlink>
    </w:p>
    <w:p>
      <w:pPr>
        <w:spacing w:after="60" w:line="259" w:lineRule="auto"/>
      </w:pPr>
      <w:hyperlink r:id="rId28">
        <w:r>
          <w:rPr>
            <w:color w:val="000000"/>
            <w:sz w:val="18"/>
            <w:u w:val="single"/>
          </w:rPr>
          <w:t>WCAG target size and exceptions</w:t>
        </w:r>
      </w:hyperlink>
    </w:p>
    <w:p>
      <w:pPr>
        <w:spacing w:after="60" w:line="259" w:lineRule="auto"/>
      </w:pPr>
      <w:hyperlink r:id="rId29">
        <w:r>
          <w:rPr>
            <w:color w:val="000000"/>
            <w:sz w:val="18"/>
            <w:u w:val="single"/>
          </w:rPr>
          <w:t>WCAG focus visibility</w:t>
        </w:r>
      </w:hyperlink>
    </w:p>
    <w:p>
      <w:r>
        <w:rPr>
          <w:sz w:val="18"/>
        </w:rPr>
        <w:t>The full validation report records the tested reference, results, and remaining limits. Version 0.2 is a review draft, not a declaration that all downstream products are accessible or all brand rights are cleared.</w:t>
      </w:r>
    </w:p>
    <w:sectPr w:rsidR="00FC693F" w:rsidRPr="0006063C" w:rsidSect="00034616">
      <w:headerReference w:type="default" r:id="rId9"/>
      <w:footerReference w:type="default" r:id="rId10"/>
      <w:pgSz w:w="12240" w:h="15840"/>
      <w:pgMar w:top="878" w:right="1123" w:bottom="864" w:left="1123" w:header="360"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936" w:val="right"/>
      </w:tabs>
    </w:pPr>
    <w:r>
      <w:rPr>
        <w:rFonts w:ascii="IBM Plex Mono" w:hAnsi="IBM Plex Mono"/>
        <w:sz w:val="16"/>
      </w:rPr>
      <w:t>REVIEW DRAFT v0.2  /  4 OCTOBER 2026</w:t>
    </w:r>
    <w:r>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IBM Plex Mono" w:hAnsi="IBM Plex Mono"/>
        <w:sz w:val="16"/>
      </w:rPr>
      <w:t>COSMIK  /  IDENTITY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5" w:lineRule="auto"/>
    </w:pPr>
    <w:rPr>
      <w:rFonts w:ascii="Inter" w:hAnsi="Inter"/>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71" w:lineRule="auto"/>
      <w:outlineLvl w:val="0"/>
    </w:pPr>
    <w:rPr>
      <w:rFonts w:ascii="Inter SemiBold" w:hAnsi="Inter SemiBold"/>
      <w:b w:val="0"/>
      <w:bCs/>
      <w:i w:val="0"/>
      <w:color w:val="000000"/>
      <w:sz w:val="50"/>
      <w:szCs w:val="28"/>
    </w:rPr>
  </w:style>
  <w:style w:type="paragraph" w:styleId="Heading2">
    <w:name w:val="heading 2"/>
    <w:basedOn w:val="Normal"/>
    <w:next w:val="Normal"/>
    <w:link w:val="Heading2Char"/>
    <w:uiPriority w:val="9"/>
    <w:unhideWhenUsed/>
    <w:qFormat/>
    <w:rsid w:val="00FC693F"/>
    <w:pPr>
      <w:keepNext/>
      <w:keepLines/>
      <w:spacing w:before="180" w:after="140" w:line="271" w:lineRule="auto"/>
      <w:outlineLvl w:val="1"/>
    </w:pPr>
    <w:rPr>
      <w:rFonts w:ascii="Inter SemiBold" w:hAnsi="Inter SemiBold"/>
      <w:b w:val="0"/>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40" w:line="271" w:lineRule="auto"/>
      <w:outlineLvl w:val="2"/>
    </w:pPr>
    <w:rPr>
      <w:rFonts w:ascii="Inter SemiBold" w:hAnsi="Inter SemiBold"/>
      <w:b w:val="0"/>
      <w:bCs/>
      <w:i w:val="0"/>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140" w:line="271" w:lineRule="auto" w:before="180"/>
      <w:contextualSpacing/>
    </w:pPr>
    <w:rPr>
      <w:rFonts w:ascii="Inter SemiBold" w:hAnsi="Inter SemiBold"/>
      <w:b w:val="0"/>
      <w:i w:val="0"/>
      <w:color w:val="000000"/>
      <w:spacing w:val="5"/>
      <w:kern w:val="28"/>
      <w:sz w:val="60"/>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95" w:lineRule="auto"/>
    </w:pPr>
    <w:rPr>
      <w:rFonts w:ascii="Inter" w:hAnsi="Inter"/>
      <w:b w:val="0"/>
      <w:i w:val="0"/>
      <w:iCs/>
      <w:color w:val="000000"/>
      <w:spacing w:val="15"/>
      <w:sz w:val="28"/>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120"/>
    </w:pPr>
    <w:rPr>
      <w:rFonts w:ascii="Inter" w:hAnsi="Inter"/>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hyperlink" Target="https://github.com/cosmik-labs/.github/commit/1f4f53fe46a9213ea233c853efcf327af790693c" TargetMode="External"/><Relationship Id="rId24" Type="http://schemas.openxmlformats.org/officeDocument/2006/relationships/hyperlink" Target="https://rsms.me/inter/download/" TargetMode="External"/><Relationship Id="rId25" Type="http://schemas.openxmlformats.org/officeDocument/2006/relationships/hyperlink" Target="https://github.com/IBM/plex/tree/master/packages/plex-mono" TargetMode="External"/><Relationship Id="rId26" Type="http://schemas.openxmlformats.org/officeDocument/2006/relationships/hyperlink" Target="https://www.w3.org/WAI/WCAG22/Understanding/contrast-minimum.html" TargetMode="External"/><Relationship Id="rId27" Type="http://schemas.openxmlformats.org/officeDocument/2006/relationships/hyperlink" Target="https://www.w3.org/WAI/WCAG22/Understanding/non-text-contrast.html" TargetMode="External"/><Relationship Id="rId28" Type="http://schemas.openxmlformats.org/officeDocument/2006/relationships/hyperlink" Target="https://www.w3.org/WAI/WCAG22/Understanding/target-size-minimum.html" TargetMode="External"/><Relationship Id="rId29" Type="http://schemas.openxmlformats.org/officeDocument/2006/relationships/hyperlink" Target="https://www.w3.org/WAI/WCAG22/Understanding/focus-visibl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Cosmik brand kit</dc:title>
  <dc:subject>Identity system and product foundations</dc:subject>
  <dc:creator>Cosmik</dc:creator>
  <cp:keywords>Cosmik, brand kit, v0.2, review draft</cp:keywords>
  <dc:description/>
  <cp:lastModifiedBy/>
  <cp:revision>1</cp:revision>
  <dcterms:created xsi:type="dcterms:W3CDTF">2013-12-23T23:15:00Z</dcterms:created>
  <dcterms:modified xsi:type="dcterms:W3CDTF">2013-12-23T23:15:00Z</dcterms:modified>
  <cp:category/>
</cp:coreProperties>
</file>