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CHAPTER ONE</w:t>
      </w:r>
    </w:p>
    <w:p>
      <w:pPr>
        <w:spacing w:after="120"/>
      </w:pPr>
      <w:r>
        <w:rPr>
          <w:b/>
          <w:bCs/>
        </w:rPr>
        <w:t xml:space="preserve">The Measurement Gap</w:t>
      </w:r>
    </w:p>
    <w:p>
      <w:pPr>
        <w:spacing w:after="240"/>
      </w:pPr>
      <w:r>
        <w:rPr>
          <w:i/>
          <w:iCs/>
        </w:rPr>
        <w:t xml:space="preserve">Where $62.7 Trillion Goes to Hide</w:t>
      </w:r>
    </w:p>
    <w:p>
      <w:pPr>
        <w:spacing w:after="200"/>
      </w:pPr>
      <w:r>
        <w:t xml:space="preserve">Somewhere between the Industrial Revolution and the iPhone, we lost the ability to measure what matters.</w:t>
      </w:r>
    </w:p>
    <w:p>
      <w:pPr>
        <w:spacing w:after="200"/>
      </w:pPr>
      <w:r>
        <w:t xml:space="preserve">This is not hyperbole. It is the considered assessment of accounting scholars, financial analysts, and practitioners who have watched the gap between what enterprises are worth and what our measurement systems capture widen into a chasm over the past half-century. The tools we use to understand value—balance sheets, income statements, the entire apparatus of generally accepted accounting principles—were designed for an economy of factories, inventory, and physical infrastructure. They struggle, fundamentally, with an economy increasingly composed of algorithms, relationships, and data.</w:t>
      </w:r>
    </w:p>
    <w:p>
      <w:pPr>
        <w:spacing w:after="200"/>
      </w:pPr>
      <w:r>
        <w:t xml:space="preserve">Consider a simple question: What is the world's most valuable company actually worth? Not in the abstract sense of market capitalization—that number refreshes every millisecond on trading screens around the world. I mean in the concrete sense that our grandfathers would have understood. What does the company own? What can be counted, inventoried, appraised?</w:t>
      </w:r>
    </w:p>
    <w:p>
      <w:pPr>
        <w:spacing w:after="200"/>
      </w:pPr>
      <w:r>
        <w:t xml:space="preserve">In January 2026, Nvidia Corporation became the most valuable company on Earth, commanding a market capitalization of approximately $4.58 trillion. To put this figure in perspective, it exceeds the entire annual economic output of Japan at approximately $4.19 trillion. It exceeds the United Kingdom, France, and Italy combined. Only two nations—the United States at $28.78 trillion and China at $18.27 trillion—produce more economic value in an entire year than investors collectively believe Nvidia is worth. A single semiconductor company, designing chips it does not even manufacture itself, has achieved a valuation that places it among the largest economic entities humanity has ever created.</w:t>
      </w:r>
    </w:p>
    <w:p>
      <w:pPr>
        <w:spacing w:after="200"/>
      </w:pPr>
      <w:r>
        <w:t xml:space="preserve">Yet when we examine Nvidia's balance sheet—that foundational document meant to tell us what a company owns and owes, what resources it controls and what obligations it bears—we find something peculiar. The company's net property, plant, and equipment totaled $6.28 billion in the FY2025 annual filing, rising to approximately $11 billion by Q3 FY2026. This represents the sum of all the land, buildings, machinery, computing equipment, office furniture, and physical infrastructure that Nvidia possesses anywhere in the world. It represents roughly 0.1 to 0.2 percent of the company's market value.</w:t>
      </w:r>
    </w:p>
    <w:p>
      <w:pPr>
        <w:spacing w:after="200"/>
      </w:pPr>
      <w:r>
        <w:t xml:space="preserve">Where, then, is the other $4.57 trillion?</w:t>
      </w:r>
    </w:p>
    <w:p>
      <w:pPr>
        <w:spacing w:after="200"/>
      </w:pPr>
      <w:r>
        <w:t xml:space="preserve">This question—deceptively simple, maddeningly difficult to answer with precision—lies at the heart of a measurement crisis that has been building since the 1970s. According to Ocean Tomo's Intangible Asset Market Value Study, the most rigorous longitudinal analysis of this phenomenon, the proportion of S&amp;P 500 market value attributable to intangible assets has undergone what researchers call "a literal economic inversion no less significant than the industrial revolution." In 1975, tangible assets—the factories, inventory, vehicles, equipment, and real estate that accounting systems were designed to track—comprised 83 percent of the S&amp;P 500's collective value. Intangible assets represented merely 17 percent, practically a rounding error in the grand ledger of American capitalism.</w:t>
      </w:r>
    </w:p>
    <w:p>
      <w:pPr>
        <w:spacing w:after="200"/>
      </w:pPr>
      <w:r>
        <w:t xml:space="preserve">By 2020, these proportions had exactly reversed. Intangible assets now constitute 90 percent of value while tangible assets account for just 10 percent. In dollar terms, the transformation is staggering: S&amp;P 500 intangible value has grown from $122 billion in 1975 to over $21 trillion today—a multiplication factor exceeding 170 times. Brand Finance's 2024 Global Intangible Finance Tracker expands the scope globally, placing worldwide intangible asset value at $79.4 trillion, representing a 28 percent increase from the previous year's $61.9 trillion.</w:t>
      </w:r>
    </w:p>
    <w:p>
      <w:pPr>
        <w:spacing w:after="200"/>
      </w:pPr>
      <w:r>
        <w:t xml:space="preserve">And here is the figure that should give every executive, investor, regulator, and policymaker pause: 79 percent of that $79.4 trillion—approximately $62.7 trillion—remains entirely unrecorded in company financial reports. This represents the highest level of unrecorded value since Ocean Tomo and Brand Finance began tracking the phenomenon in 1996. We have built an information economy that we cannot measure. We have created trillions of dollars in value that our accounting systems cannot see.</w:t>
      </w:r>
    </w:p>
    <w:p>
      <w:pPr>
        <w:pStyle w:val="Heading1"/>
        <w:spacing w:before="240" w:after="120"/>
      </w:pPr>
      <w:r>
        <w:rPr>
          <w:b/>
          <w:bCs/>
        </w:rPr>
        <w:t xml:space="preserve">The Nvidia Paradox</w:t>
      </w:r>
    </w:p>
    <w:p>
      <w:pPr>
        <w:spacing w:after="200"/>
      </w:pPr>
      <w:r>
        <w:t xml:space="preserve">Nvidia deserves closer examination not because it is unique, but because it represents the extreme case of a phenomenon now ubiquitous in modern capitalism. The company's trajectory illuminates both the extraordinary value creation possible in the information economy and the utter inadequacy of traditional measurement frameworks to capture it.</w:t>
      </w:r>
    </w:p>
    <w:p>
      <w:pPr>
        <w:spacing w:after="200"/>
      </w:pPr>
      <w:r>
        <w:t xml:space="preserve">Founded in 1993 by Jensen Huang, Chris Malachowsky, and Curtis Priem, Nvidia originally focused on graphics processing units for video games—a niche market that seemed destined for moderate success. The company went public in January 1999 at a market capitalization of $562.8 million, a respectable valuation for a specialized semiconductor firm but hardly the stuff of legend. Over the subsequent quarter-century, Nvidia has appreciated by more than 812,000 percent, making early investors extraordinarily wealthy and making the company itself one of the great commercial success stories in human history.</w:t>
      </w:r>
    </w:p>
    <w:p>
      <w:pPr>
        <w:spacing w:after="200"/>
      </w:pPr>
      <w:r>
        <w:t xml:space="preserve">The source of this transformation was a pivot that now seems prescient but at the time was risky: the recognition that the parallel processing architecture designed for rendering video game graphics could be repurposed for a wide range of computationally intensive applications, culminating in artificial intelligence and machine learning. Nvidia's CUDA platform, introduced in 2006, enabled programmers to harness GPU computing power for general-purpose applications. This ecosystem now encompasses 5.9 million developers and an installed base of over 100 million RTX graphics processing units—a network effect that compounds with each new use case discovered.</w:t>
      </w:r>
    </w:p>
    <w:p>
      <w:pPr>
        <w:spacing w:after="200"/>
      </w:pPr>
      <w:r>
        <w:t xml:space="preserve">With approximately 36,000 employees across more than fifty offices in thirty-eight countries, Nvidia generates roughly $127 million in market capitalization per employee—a figure likely unmatched by any major corporation in history. Apple, the previous holder of the "world's most valuable company" title, generates approximately $40 million per employee by comparison. Nvidia's financial performance justifies at least some of this premium: fiscal year 2025 revenue reached $130.5 billion, representing 114 percent year-over-year growth. Net income hit $72.88 billion, up 145 percent. On a trailing twelve-month basis through October 2025, revenue climbed to $187.14 billion. Each of Nvidia's 36,000 employees generates between $3.6 million and $5.2 million in revenue annually—productivity metrics that would have seemed impossible a generation ago.</w:t>
      </w:r>
    </w:p>
    <w:p>
      <w:pPr>
        <w:spacing w:after="200"/>
      </w:pPr>
      <w:r>
        <w:t xml:space="preserve">These numbers suggest a company that is genuinely, massively productive. The question is not whether Nvidia creates value—it clearly does—but whether our measurement systems can capture what that value consists of. Here the balance sheet tells one story, and the market tells a radically different one.</w:t>
      </w:r>
    </w:p>
    <w:p>
      <w:pPr>
        <w:spacing w:after="200"/>
      </w:pPr>
      <w:r>
        <w:t xml:space="preserve">From Nvidia's Form 10-K for fiscal year 2025, we find the tangible asset base that accounting systems can track: as of the FY2025 annual filing, property, plant, and equipment totaled $6.28 billion, with the figure rising to approximately $11 billion by Q3 FY2026 as the company expanded its infrastructure. Total shareholders' equity—the book value representing what would remain for shareholders after liquidating assets and paying debts—reached $118.9 billion by the third quarter of fiscal 2026. These are concrete, countable assets conforming to accounting definitions developed over centuries.</w:t>
      </w:r>
    </w:p>
    <w:p>
      <w:pPr>
        <w:spacing w:after="200"/>
      </w:pPr>
      <w:r>
        <w:t xml:space="preserve">Now consider the ratios that reveal the measurement gap. Market capitalization to total property, plant, and equipment: approximately 400 to 700 to 1, depending on the reporting period. For every dollar of physical assets that Nvidia's balance sheet can identify, investors are paying hundreds of dollars. Market capitalization to book value: 38.6 to 1, implying that 97.4 percent of what investors believe Nvidia is worth consists of intangible assets that do not appear on its balance sheet.</w:t>
      </w:r>
    </w:p>
    <w:p>
      <w:pPr>
        <w:spacing w:after="200"/>
      </w:pPr>
      <w:r>
        <w:t xml:space="preserve">What comprises this invisible 97.4 percent? The CUDA ecosystem represents the most obvious candidate—the software platform, developer relationships, educational materials, and accumulated expertise that have made Nvidia's GPUs the dominant hardware for artificial intelligence computation. But CUDA does not appear as an asset under current accounting standards. Nvidia's three decades of accumulated architecture expertise, the institutional knowledge embedded in thousands of engineering decisions about how to balance power consumption, heat generation, memory bandwidth, and computational throughput—this does not appear as an asset. The relationships with hyperscale cloud providers, the partnerships with academic research institutions, the brand recognition that leads customers to pay premium prices, the training data used to optimize software libraries—none of these appear as assets.</w:t>
      </w:r>
    </w:p>
    <w:p>
      <w:pPr>
        <w:spacing w:after="200"/>
      </w:pPr>
      <w:r>
        <w:t xml:space="preserve">If you wanted to replicate Nvidia's tangible assets—buy equivalent land, construct comparable buildings, purchase similar machinery—you could do so for roughly $10 billion. The market says you would still be $4.57 trillion short of recreating the company. Our accounting systems offer no guidance on where to find that difference or how to understand it.</w:t>
      </w:r>
    </w:p>
    <w:p>
      <w:pPr>
        <w:pStyle w:val="Heading1"/>
        <w:spacing w:before="240" w:after="120"/>
      </w:pPr>
      <w:r>
        <w:rPr>
          <w:b/>
          <w:bCs/>
        </w:rPr>
        <w:t xml:space="preserve">Why Balance Sheets Fail the Information Economy</w:t>
      </w:r>
    </w:p>
    <w:p>
      <w:pPr>
        <w:spacing w:after="200"/>
      </w:pPr>
      <w:r>
        <w:t xml:space="preserve">The failure to capture information value is not an oversight, an accident, or a bug in the accounting system awaiting a patch. It is a deliberate design choice embedded in accounting standards developed for fundamentally different economic conditions—standards that have remained largely unchanged even as the economy they purport to measure has transformed beyond recognition.</w:t>
      </w:r>
    </w:p>
    <w:p>
      <w:pPr>
        <w:spacing w:after="200"/>
      </w:pPr>
      <w:r>
        <w:t xml:space="preserve">Under United States Generally Accepted Accounting Principles, Accounting Standards Codification Topic 730 establishes the treatment of research and development costs. The rule is unambiguous, leaving no room for professional judgment or discretionary treatment: "All R&amp;D costs shall be recognized as an expense as incurred." The explicit rationale, found in ASC 730-10-05-2, explains that "future economic benefits are uncertain for most research and development costs." Because future benefits cannot be reliably measured at the time costs are incurred, the standard-setters reasoned, it is better to expense everything immediately than to allow companies to capitalize expenditures that may never produce value.</w:t>
      </w:r>
    </w:p>
    <w:p>
      <w:pPr>
        <w:spacing w:after="200"/>
      </w:pPr>
      <w:r>
        <w:t xml:space="preserve">This logic made sense for industrial-era R&amp;D, where a company might spend millions on a new product line that ultimately failed. Capitalizing those costs as assets, only to write them down later, could mislead investors about the company's true financial position. But applied universally across all industries and all time periods, the rule produces absurdities. A pharmaceutical company can spend a decade and billions of dollars developing a drug, and on the day that drug receives FDA approval—when future benefits become about as certain as anything in business gets—all that spending has already been expensed, absent from the balance sheet. The intellectual property that might generate revenue for twenty years appears nowhere as an asset.</w:t>
      </w:r>
    </w:p>
    <w:p>
      <w:pPr>
        <w:spacing w:after="200"/>
      </w:pPr>
      <w:r>
        <w:t xml:space="preserve">ASC Topic 350, governing intangibles generally, extends this logic across the full range of internally generated assets. The costs of "internally developing, maintaining, or restoring intangible assets that are not specifically identifiable" must be expensed as incurred rather than capitalized. Internally generated data, algorithms, customer relationships, brand value, workforce expertise—all expensed. The knowledge a company accumulates over decades of operations, the relationships it builds with suppliers and customers, the organizational capabilities it develops through trial and error—expensed and invisible.</w:t>
      </w:r>
    </w:p>
    <w:p>
      <w:pPr>
        <w:spacing w:after="200"/>
      </w:pPr>
      <w:r>
        <w:t xml:space="preserve">International Financial Reporting Standard IAS 38 takes a marginally more nuanced approach, though the practical differences are modest. It permits capitalization of development costs—as distinguished from research costs—if six criteria are simultaneously met: technical feasibility must be established, the entity must intend to complete the asset, the entity must have the ability to use or sell it, probable future economic benefits must be demonstrable, adequate resources must be available to complete development, and costs must be reliably measurable. The criteria create a higher bar than U.S. GAAP but still permit some capitalization.</w:t>
      </w:r>
    </w:p>
    <w:p>
      <w:pPr>
        <w:spacing w:after="200"/>
      </w:pPr>
      <w:r>
        <w:t xml:space="preserve">Yet even under IFRS, the standard explicitly prohibits recognition of internally generated brands, mastheads, publishing titles, customer lists, and "items similar in substance." These categories—precisely where information economy value concentrates—remain invisible regardless of how certain their future benefits become. The standard has remained essentially unchanged since 1998, making it, as the International Accounting Standards Board itself acknowledges, "one of the IASB's older Standards."</w:t>
      </w:r>
    </w:p>
    <w:p>
      <w:pPr>
        <w:spacing w:after="200"/>
      </w:pPr>
      <w:r>
        <w:t xml:space="preserve">The practical consequences for major technology companies are extraordinary. In the twelve months ending March 2024, the five largest U.S. technology companies—Amazon, Alphabet, Microsoft, Apple, and Meta—collectively spent $229.1 billion on research and development. Every dollar was expensed. None appears as an asset.</w:t>
      </w:r>
    </w:p>
    <w:p>
      <w:pPr>
        <w:spacing w:after="200"/>
      </w:pPr>
      <w:r>
        <w:t xml:space="preserve">Consider the individual figures. Apple's R&amp;D spending reached $34.55 billion in fiscal 2025, representing 10.14 percent of revenue—its highest R&amp;D intensity in twenty years, comparable to the pre-iPhone development era when the company was rebuilding itself. Alphabet led global R&amp;D spending at $45.4 billion in 2023, a position it has held since 2019. Meta allocated 34 percent of gross profit to R&amp;D as it invested in reality labs, AI infrastructure, and the metaverse vision its founder believes will define the next computing platform. None of this investment—representing some of the most consequential technological development in human history—appears as an asset on any balance sheet.</w:t>
      </w:r>
    </w:p>
    <w:p>
      <w:pPr>
        <w:spacing w:after="200"/>
      </w:pPr>
      <w:r>
        <w:t xml:space="preserve">The asymmetry between acquired and internally developed assets creates additional distortions. Under both GAAP (ASC Topic 805) and IFRS (IFRS 3), intangible assets acquired through business combinations can be recognized at fair value. When one company acquires another, the acquiring company must allocate the purchase price across identifiable assets, including intangibles like customer relationships, technology, and brand value. This means identical data assets might appear on one company's balance sheet if acquired through merger or acquisition while remaining entirely invisible if developed organically by a competitor. The economic substance is identical; the accounting treatment is opposite. A company that buys innovation can record it; a company that creates innovation cannot.</w:t>
      </w:r>
    </w:p>
    <w:p>
      <w:pPr>
        <w:spacing w:after="200"/>
      </w:pPr>
      <w:r>
        <w:t xml:space="preserve">Regulators have begun to acknowledge the problem, if not yet to solve it. In December 2024, the Financial Accounting Standards Board issued an Invitation to Comment (File Reference No. 2024-ITC200) exploring whether development-phase costs should be eligible for capitalization, potentially aligning U.S. GAAP with IFRS treatment. Comments were due in May 2025. The International Accounting Standards Board formally added an Intangible Assets project to its work plan in April 2024, assigning it "high priority" status after stakeholder feedback indicated the standard "does not result in enough information about internally generated intangible assets, which are key value drivers of businesses." Scoping decisions were expected in the first half of 2025. Neither body has signaled imminent fundamental change. The pace of standard-setting, measured in years, lags an economy that transforms in months.</w:t>
      </w:r>
    </w:p>
    <w:p>
      <w:pPr>
        <w:pStyle w:val="Heading1"/>
        <w:spacing w:before="240" w:after="120"/>
      </w:pPr>
      <w:r>
        <w:rPr>
          <w:b/>
          <w:bCs/>
        </w:rPr>
        <w:t xml:space="preserve">The Historical Precedent: Accounting Always Lags</w:t>
      </w:r>
    </w:p>
    <w:p>
      <w:pPr>
        <w:spacing w:after="200"/>
      </w:pPr>
      <w:r>
        <w:t xml:space="preserve">If accounting standards seem slow to recognize the information economy, history suggests this is less aberration than pattern. The gap between economic reality and measurement frameworks has always been measured in generations, not years. We are living through a transition that our great-grandchildren may complete.</w:t>
      </w:r>
    </w:p>
    <w:p>
      <w:pPr>
        <w:spacing w:after="200"/>
      </w:pPr>
      <w:r>
        <w:t xml:space="preserve">Double-entry bookkeeping, the foundation of modern accounting, illustrates the typical lag. Luca Pacioli codified the system in his 1494 work Summa de Arithmetica, Geometria, Proportioni et Proportionalita—a comprehensive mathematical treatise that included a section describing the accounting methods used by Venetian merchants. Yet Pacioli was documenting existing practice, not inventing a new system. The earliest balanced books discovered by historians date to 1340 among Genoese Massari (treasury officials), though earlier partial examples exist from Florence (1296) and the Farolfi ledger (1299). The Medici bank employed double-entry from its 1397 founding through its primary operations in the fifteenth century to track its far-flung operations across multiple currencies and partners. The technique spread through Italian merchant networks for over 150 years before Pacioli's codification brought it to broader attention. Practice preceded theory by more than a century.</w:t>
      </w:r>
    </w:p>
    <w:p>
      <w:pPr>
        <w:spacing w:after="200"/>
      </w:pPr>
      <w:r>
        <w:t xml:space="preserve">Industrial capital followed a similar trajectory. The Industrial Revolution began transforming the British economy in the 1760s, replacing cottage industries with factories that required unprecedented fixed capital investment. Josiah Wedgwood, the pottery manufacturer, developed cost accounting in 1772, calculating unit costs under fourteen categories for thirty-one different pottery products—the earliest known industrial cost accounting. By 1810, Charlton Mills in Manchester operated integrated cost accounts with depreciation provisions at approximately five percent per annum, recognizing that machinery wore out and needed replacement.</w:t>
      </w:r>
    </w:p>
    <w:p>
      <w:pPr>
        <w:spacing w:after="200"/>
      </w:pPr>
      <w:r>
        <w:t xml:space="preserve">Yet systematic depreciation standards emerged only with E. Matheson's 1884 publication The Depreciation of Factories, Mines and Industrial Undertakings—more than a century after the Industrial Revolution began. Formal regulatory requirements arrived with U.S. tax depreciation regulation beginning in 1909, accelerating after the Sixteenth Amendment enabled federal income taxation in 1913. The British Companies Act of 1844 had mandated annual financial statements, and the Institute of Chartered Accountants in England and Wales received its royal charter in 1880. From the dawn of industrial machinery to formalized depreciation standards: approximately 150 years.</w:t>
      </w:r>
    </w:p>
    <w:p>
      <w:pPr>
        <w:spacing w:after="200"/>
      </w:pPr>
      <w:r>
        <w:t xml:space="preserve">Goodwill accounting demonstrates that even well-established intangible concepts remain contested decades after initial standardization. APB Opinion 17 in August 1970 first required goodwill amortization over a maximum forty-year period—a reasonable if arbitrary approach to recognizing that acquired intangibles gradually lose value. SFAS 141 and 142 in 2001 eliminated amortization in favor of impairment testing only—a fundamental reversal based on the argument that many intangibles do not depreciate in the linear fashion amortization assumes. ASU 2014-02 allowed private companies to elect ten-year amortization, recognizing that the impairment testing required by public company standards imposed excessive costs on smaller enterprises. As recently as December 2020, FASB considered reintroducing amortization with a ten-year default, potentially up to twenty-five years—essentially returning to the 1970 approach with different parameters. Half a century after formal standards emerged, the accounting profession remains uncertain how to treat this most basic of intangibles.</w:t>
      </w:r>
    </w:p>
    <w:p>
      <w:pPr>
        <w:spacing w:after="200"/>
      </w:pPr>
      <w:r>
        <w:t xml:space="preserve">The pattern extends beyond accounting to economic theory itself. Markets have existed since prehistoric times—archaeological evidence documents trade networks spanning continents millennia before written history. Mesopotamian merchants managed complex credit systems and commodity exchanges around 3000 BCE. Greek philosophers discussed market dynamics. Yet systematic economic theory emerged only with Adam Smith's Wealth of Nations in 1776, with formal mathematical economics arriving a century later with figures like Léon Walras, Alfred Marshall, and the marginalist revolution. Merchants had been successfully arbitraging price differences across markets for thousands of years without benefit of supply and demand curves or marginal utility theory. The theory followed the practice by millennia.</w:t>
      </w:r>
    </w:p>
    <w:p>
      <w:pPr>
        <w:spacing w:after="200"/>
      </w:pPr>
      <w:r>
        <w:t xml:space="preserve">We find ourselves, then, in the "pre-economics" phase of the information economy. The practice exists—companies create, manage, and derive enormous value from information assets every day. The theory remains primitive. And if history is any guide, closing this gap will require decades of sustained intellectual effort, not a software update to existing frameworks.</w:t>
      </w:r>
    </w:p>
    <w:p>
      <w:pPr>
        <w:pStyle w:val="Heading1"/>
        <w:spacing w:before="240" w:after="120"/>
      </w:pPr>
      <w:r>
        <w:rPr>
          <w:b/>
          <w:bCs/>
        </w:rPr>
        <w:t xml:space="preserve">The Academic Case for Accounting's Failure</w:t>
      </w:r>
    </w:p>
    <w:p>
      <w:pPr>
        <w:spacing w:after="200"/>
      </w:pPr>
      <w:r>
        <w:t xml:space="preserve">No scholar has documented the disconnect between accounting information and economic reality more rigorously than Baruch Lev. The Philip Bardes Professor Emeritus of Accounting and Finance at NYU's Stern School of Business, Lev has accumulated approximately 65,000 Google Scholar citations across a career spanning seven books and more than 125 research studies. Accounting Today named him among the "Top 100 Most Influential People in Accounting." When Lev speaks about the failure of financial reporting, the profession listens—even if it has, for decades, failed to act on what it hears.</w:t>
      </w:r>
    </w:p>
    <w:p>
      <w:pPr>
        <w:spacing w:after="200"/>
      </w:pPr>
      <w:r>
        <w:t xml:space="preserve">Lev's empirical findings, assembled through sixty years of financial data, tell a story of accelerating irrelevance. Time series analysis spanning 1950 to 2013 demonstrates a steadily decreasing correlation between GAAP information—primarily book value and net income—and stock prices. The measures that accounting provides have become progressively less useful in explaining what investors actually value. In the 1950s, book value and earnings explained a substantial majority of stock price variation. By the 2010s, this explanatory power had collapsed to a fraction of its earlier level.</w:t>
      </w:r>
    </w:p>
    <w:p>
      <w:pPr>
        <w:spacing w:after="200"/>
      </w:pPr>
      <w:r>
        <w:t xml:space="preserve">The investment patterns underlying this shift explain the mechanism. The rate of corporate investment in physical capital—the factories, equipment, and inventory that accounting can measure—fell by 35 percent between 1977 and 2012. Over the same period, investment in intangibles—R&amp;D, software, brand building, organizational development—increased by 60 percent. Companies shifted their resources from the tangible assets that accounting can track to the intangible assets that it cannot. Financial statements continued measuring the declining portion of value while becoming blind to the growing portion.</w:t>
      </w:r>
    </w:p>
    <w:p>
      <w:pPr>
        <w:spacing w:after="200"/>
      </w:pPr>
      <w:r>
        <w:t xml:space="preserve">One of Lev's most striking findings concerns the information content of earnings announcements. In the 1980s, when a company reported quarterly earnings, the announcement typically explained a meaningful portion of subsequent stock price movement. Investors reacted to earnings surprises, bid up stocks that beat estimates, sold shares of companies that missed. By the 2010s, this explanatory power had collapsed. His "perfect foresight test"—which examines how much stock return predictability you would gain from knowing earnings in advance—reveals declining value year by year. If perfectly predicting next quarter's earnings helped you predict stock returns by X percent in the 1980s, it helps you predict by a fraction of X today.</w:t>
      </w:r>
    </w:p>
    <w:p>
      <w:pPr>
        <w:spacing w:after="200"/>
      </w:pPr>
      <w:r>
        <w:t xml:space="preserve">Financial reports, Lev estimates, now supply only approximately five percent of the information investors use in making decisions, down from roughly ten percent two decades earlier. The remaining 95 percent comes from alternative data sources—industry analysis, competitive intelligence, management interviews, technical indicators, and increasingly, proprietary datasets scraped from the digital exhaust of economic activity. Accounting has become a minor input into investment decisions, not the primary source of financial intelligence.</w:t>
      </w:r>
    </w:p>
    <w:p>
      <w:pPr>
        <w:spacing w:after="200"/>
      </w:pPr>
      <w:r>
        <w:t xml:space="preserve">His major books document the consequences and propose alternatives. Intangibles: Management, Measurement, and Reporting, published by Brookings Institution Press in 2001, established the intellectual framework for understanding why accounting fails the knowledge economy, documenting the shift in corporate investment patterns and demonstrating the declining usefulness of traditional financial metrics. The End of Accounting and the Path Forward for Investors and Managers, co-authored with Feng Gu and published by Wiley in 2016, made the case more provocatively: accounting as currently practiced is approaching obsolescence for many enterprises, and piecemeal reforms cannot save it.</w:t>
      </w:r>
    </w:p>
    <w:p>
      <w:pPr>
        <w:spacing w:after="200"/>
      </w:pPr>
      <w:r>
        <w:t xml:space="preserve">Lev has not merely criticized; he has proposed alternatives. His Strategic Resources and Consequences Report would supplement traditional financial statements with standardized information about a company's strategic assets—its intellectual property, human capital, customer relationships, and organizational capabilities—and their performance over time. The report would create comparable metrics across companies and industries, enabling investors to assess intangible value with something approaching the rigor they can apply to tangible assets today. Yet twenty years after his initial proposals, adoption remains minimal. Standard-setters have considered and rejected or deferred similar approaches repeatedly.</w:t>
      </w:r>
    </w:p>
    <w:p>
      <w:pPr>
        <w:spacing w:after="200"/>
      </w:pPr>
      <w:r>
        <w:t xml:space="preserve">In an interview, Lev offered a characteristically blunt assessment: "I cannot explain why the accounting standards setters have disregarded reality for 30 or 40 years. This is not for me to explain. This is for experts in other fields, perhaps psychology, to explain why a group of people disregard reality." The comment reflects frustration but also genuine puzzlement. The evidence is overwhelming. The solutions exist. The implementation remains absent.</w:t>
      </w:r>
    </w:p>
    <w:p>
      <w:pPr>
        <w:spacing w:after="200"/>
      </w:pPr>
      <w:r>
        <w:t xml:space="preserve">Meanwhile, S&amp;P 500 financial reports have grown more complex without becoming more informative—containing an average of thirty estimates in 1995, rising to 150 estimates by 2013. Many of these, Lev suggests, are better characterized as "guesstimates"—management projections and assumptions dressed up in the language of precision. Complexity has increased without corresponding improvement in informativeness.</w:t>
      </w:r>
    </w:p>
    <w:p>
      <w:pPr>
        <w:pStyle w:val="Heading1"/>
        <w:spacing w:before="240" w:after="120"/>
      </w:pPr>
      <w:r>
        <w:rPr>
          <w:b/>
          <w:bCs/>
        </w:rPr>
        <w:t xml:space="preserve">The AI Valuation Question: Are We in a Bubble?</w:t>
      </w:r>
    </w:p>
    <w:p>
      <w:pPr>
        <w:spacing w:after="200"/>
      </w:pPr>
      <w:r>
        <w:t xml:space="preserve">The measurement gap becomes most acute—and most consequential—when we examine the current wave of artificial intelligence investment. Here, the absence of robust valuation frameworks creates not merely academic puzzles but potential systemic dangers that could ripple through global financial markets.</w:t>
      </w:r>
    </w:p>
    <w:p>
      <w:pPr>
        <w:spacing w:after="200"/>
      </w:pPr>
      <w:r>
        <w:t xml:space="preserve">Consider the valuations of leading AI companies as of late 2025. OpenAI, the company behind ChatGPT, was valued at $300 billion in its March 2025 SoftBank round and has reportedly sought valuations between $750 billion and $830 billion in subsequent discussions. Anthropic, developer of Claude, reached valuations between $183 billion and $350 billion depending on the funding structure and timing. Elon Musk's xAI achieved a $230 billion valuation in December 2025 based largely on the potential of its Grok chatbot and associated infrastructure. Smaller players command proportionally extraordinary multiples: Mistral AI, the French AI laboratory, reached €11.7 billion (approximately $13.5 billion) at revenue multiples approaching 233 times. Cohere, another enterprise AI provider, has seen similar multiples.</w:t>
      </w:r>
    </w:p>
    <w:p>
      <w:pPr>
        <w:spacing w:after="200"/>
      </w:pPr>
      <w:r>
        <w:t xml:space="preserve">These valuations imply revenue multiples of 40 to 250 times—compared to 6 to 8 times for established software-as-a-service companies with proven business models and predictable revenue streams. Either these AI companies will generate historically unprecedented revenue growth, rapidly becoming among the largest businesses in human history, or their valuations embed assumptions about future value creation that current accounting frameworks cannot verify and that market mechanisms may be poorly equipped to assess.</w:t>
      </w:r>
    </w:p>
    <w:p>
      <w:pPr>
        <w:spacing w:after="200"/>
      </w:pPr>
      <w:r>
        <w:t xml:space="preserve">The financing structures underlying these valuations warrant particular scrutiny, as they reveal patterns that have historically preceded market corrections. Microsoft has invested over $13 billion in OpenAI, but approximately half was provided as Azure cloud credits rather than cash—essentially a commitment to purchase Microsoft services. OpenAI then contracted for an additional $250 billion in Azure services in October 2025, creating a circular flow where Microsoft's investment returns to Microsoft as revenue. Nvidia announced a $100 billion data center deal with OpenAI in September 2025—a structure where Nvidia finances facilities that will purchase Nvidia GPUs. CoreWeave, a cloud computing company, receives both equity backing from Nvidia and a $6.3 billion guarantee to purchase unused GPU capacity; CoreWeave has signed more than $22 billion in cumulative contracts with OpenAI (including an initial $11.9 billion, plus additional agreements in May and September 2025). Amazon invested $8 billion in Anthropic; Anthropic purchases cloud services from Amazon and its partners, including a commitment for $30 billion in Azure credits from a $5 billion Microsoft investment.</w:t>
      </w:r>
    </w:p>
    <w:p>
      <w:pPr>
        <w:spacing w:after="200"/>
      </w:pPr>
      <w:r>
        <w:t xml:space="preserve">These circular arrangements—where investors fund companies that then become customers of the investors—create a troubling question: How much of the revenue supporting AI valuations represents genuine end-user demand versus investment capital cycling through the system? The semiconductor industry has historically faced this challenge: chip companies invest in customers who purchase chips, creating temporary demand that evaporates when investment capital runs out. Michael Burry, the investor whose bet against the housing market was chronicled in The Big Short, offered a characteristically pointed assessment of current AI dynamics: "True end demand is ridiculously small. Almost all customers are funded by their dealers."</w:t>
      </w:r>
    </w:p>
    <w:p>
      <w:pPr>
        <w:spacing w:after="200"/>
      </w:pPr>
      <w:r>
        <w:t xml:space="preserve">Institutional analysts have flagged warning signs while remaining cautious about calling a bubble. Goldman Sachs' June 2024 report asked, "Gen AI: Too much spend, too little benefit?"—documenting the extraordinary capital expenditure flowing into AI infrastructure with limited evidence of corresponding enterprise adoption or revenue generation. Sequoia Capital partner David Cahn identified a "$500 to $600 billion annual gap" between infrastructure investment and realized revenue—a gap that tripled from approximately $200 billion in just twelve months. MIT's NANDA project in August 2025 surveyed enterprise AI adoption and found that 95 percent of organizations achieved zero measurable return on their AI investments despite $30 to $40 billion in cumulative enterprise generative AI spending.</w:t>
      </w:r>
    </w:p>
    <w:p>
      <w:pPr>
        <w:spacing w:after="200"/>
      </w:pPr>
      <w:r>
        <w:t xml:space="preserve">Counter-arguments exist, and reasonable analysts disagree about whether current valuations represent rational expectations or irrational exuberance. BlackRock's October 2025 assessment characterized valuations as "elevated but far from bubble territory," noting that current price-to-earnings ratios for top technology stocks (around 28 times) remain well below dot-com peaks (50 times and higher). Current cash flows for the top 500 U.S. companies run roughly triple 1999 levels in real terms, suggesting that unlike the dot-com era, today's technology valuations are supported by actual profits, not merely projected revenues. AI capital expenditure represents approximately 0.8 percent of GDP versus over 1.5 percent during previous technology investment booms—suggesting the overall macroeconomic exposure may be more limited than headline figures imply.</w:t>
      </w:r>
    </w:p>
    <w:p>
      <w:pPr>
        <w:spacing w:after="200"/>
      </w:pPr>
      <w:r>
        <w:t xml:space="preserve">Perhaps the most telling comment came from Sam Altman, OpenAI's CEO, in August 2025: "Are we in a phase where investors as a whole are overexcited about AI? My opinion is yes." When the entrepreneur at the center of the investment boom acknowledges that expectations may have outrun reality, it is worth pausing to consider what we actually know and what we are guessing.</w:t>
      </w:r>
    </w:p>
    <w:p>
      <w:pPr>
        <w:spacing w:after="200"/>
      </w:pPr>
      <w:r>
        <w:t xml:space="preserve">I am not arguing that AI is necessarily in a bubble. The technology may prove transformative in ways that justify or exceed current valuations. I am arguing something more fundamental: without robust measurement frameworks for information assets, without reliable ways to assess the value of algorithms, training data, and organizational AI capabilities, we lack the tools to determine whether current valuations are rational or irrational. We are making trillion-dollar bets on companies whose primary assets we cannot measure, using financial statements that capture perhaps five percent of the information investors need, governed by accounting standards designed for an economy of smokestacks and inventory. The measurement gap is not an academic concern. It is, potentially, a systemic risk that could trigger market disruptions affecting pension funds, retirement savings, and the financial system as a whole.</w:t>
      </w:r>
    </w:p>
    <w:p>
      <w:pPr>
        <w:pStyle w:val="Heading1"/>
        <w:spacing w:before="240" w:after="120"/>
      </w:pPr>
      <w:r>
        <w:rPr>
          <w:b/>
          <w:bCs/>
        </w:rPr>
        <w:t xml:space="preserve">The Enterprise Data Reality</w:t>
      </w:r>
    </w:p>
    <w:p>
      <w:pPr>
        <w:spacing w:after="200"/>
      </w:pPr>
      <w:r>
        <w:t xml:space="preserve">The measurement gap operates not only at the level of public market valuations but within the everyday operations of enterprises. Having spent years working in enterprise data as a Solutions Architect at Snowflake and similar environments, I can testify that the gap between data's theoretical value and its practical management is even wider than the gap between market capitalization and book value. The abstract discussions about trillions in unrecorded intangible assets translate into concrete, daily struggles that practitioners understand intimately.</w:t>
      </w:r>
    </w:p>
    <w:p>
      <w:pPr>
        <w:spacing w:after="200"/>
      </w:pPr>
      <w:r>
        <w:t xml:space="preserve">Start with dark data—the information that organizations collect but never use. The terminology itself suggests the problem: data accumulated in systems nobody examines, insights waiting in databases nobody queries, patterns present in logs nobody analyzes. Estimates of dark data prevalence vary, but the consensus is alarming. Gartner estimates that 80 to 90 percent of enterprise data is unstructured, with studies suggesting that more than half of all organizational data qualifies as "dark" — collected but never analyzed. IBM found that 90 percent of sensor-generated data—the Internet of Things telemetry that companies invest billions to collect—is never analyzed. A Splunk survey of 1,300 respondents across multiple industries found that 60 percent reported half or more of their data qualifies as "dark," with one-third reporting 75 percent or higher. Organizations are collecting unprecedented volumes of information and doing nothing with most of it—incurring storage costs, compliance obligations, and security risks without extracting corresponding value.</w:t>
      </w:r>
    </w:p>
    <w:p>
      <w:pPr>
        <w:spacing w:after="200"/>
      </w:pPr>
      <w:r>
        <w:t xml:space="preserve">Poor data quality imposes substantial costs on top of unused data. Gartner's 2021 research placed the average cost of poor data quality at $12.9 million per organization per year—a figure that encompasses incorrect decisions, repeated work, failed initiatives, and missed opportunities. Extrapolated across the economy, IBM researcher Thomas Redman estimated in the Harvard Business Review that poor data quality costs the U.S. economy $3.1 trillion annually. Yet only 33 percent of executives report trusting their data sufficiently to derive value from it, according to Accenture's 2019 survey. The data exists. The quality does not. And without quality, value remains unrealized.</w:t>
      </w:r>
    </w:p>
    <w:p>
      <w:pPr>
        <w:spacing w:after="200"/>
      </w:pPr>
      <w:r>
        <w:t xml:space="preserve">The organizational structures meant to address these challenges remain surprisingly immature for their age. The first Chief Data Officer was Cathryne Clay Doss at Capital One in 2002—more than two decades ago. The role has proliferated rapidly since: from 12 percent of Fortune 1000 companies in 2012 to approximately 83 percent by 2023. Yet CDO tenure averages just 2.0 to 2.5 years, compared to approximately seven years for CEOs and 4.5 years for CFOs and CIOs. The role remains unsettled, with unclear mandates, contested authority, and limited organizational support. NewVantage Partners' 2024 survey found that 72.1 percent of firms characterize the CDO role as "unsettled," with 29.3 percent of CDOs themselves believing their role is transitional and will eventually disappear or be absorbed into other functions.</w:t>
      </w:r>
    </w:p>
    <w:p>
      <w:pPr>
        <w:spacing w:after="200"/>
      </w:pPr>
      <w:r>
        <w:t xml:space="preserve">Data governance initiatives—the policies, procedures, and organizational structures meant to ensure data quality, security, and usability—struggle to gain traction despite apparent adoption. Precisely's 2024 Data Integrity Survey found 71 percent of global respondents report having a data governance program, up from 60 percent in 2023. The numbers suggest rapid progress. Yet Dresner Advisory Services found only 32 percent have a formal data governance organization—meaning the other 40 percent who report "having" data governance may have informal processes, stated intentions, or governance in name only. Gartner predicts that 80 percent of data governance initiatives will fail by 2027 without proper crisis management capabilities. Data silos remain the top concern for 68 percent of organizations according to DATAVERSITY's 2024 survey, costing up to 30 percent of annual revenue according to IDC estimates.</w:t>
      </w:r>
    </w:p>
    <w:p>
      <w:pPr>
        <w:spacing w:after="200"/>
      </w:pPr>
      <w:r>
        <w:t xml:space="preserve">The statistics on data project failure are sobering for anyone who has lived through them. Gartner analyst Nick Heudecker estimated that 85 percent of big data projects fail—a figure that generated controversy when first published but has held up across subsequent research. VentureBeat's 2019 analysis found that 87 percent of data science projects never make it to production—remaining in perpetual pilot, killed by organizational resistance, or abandoned when initial enthusiasm fades. NewVantage Partners' twelve-year longitudinal survey, tracking Fortune 1000 companies from 2012 to 2024, found that only 24 to 26.5 percent have successfully created a "data-driven organization"—despite 97 percent investing in data initiatives. The intent is nearly universal; the execution is not.</w:t>
      </w:r>
    </w:p>
    <w:p>
      <w:pPr>
        <w:spacing w:after="200"/>
      </w:pPr>
      <w:r>
        <w:t xml:space="preserve">Cultural barriers dominate technical challenges. Over 90 percent of organizations cite cultural challenges as the primary impediment to becoming data-driven—not technology, not talent, not budget, but culture. Data exists in political silos, fragmented across business units with competing incentives and mutual suspicion. Technical debt accumulates silently as systems age without maintenance. Quality degrades gradually as oversight lapses. And because no balance sheet tracks data as an asset, no executive truly owns its stewardship in the way a CFO owns financial assets or a CIO owns technology infrastructure.</w:t>
      </w:r>
    </w:p>
    <w:p>
      <w:pPr>
        <w:spacing w:after="200"/>
      </w:pPr>
      <w:r>
        <w:t xml:space="preserve">Here is the paradox that practitioners understand but frameworks have not captured: the same data can be either an asset or a liability depending on how it is managed. Poorly governed data creates regulatory exposure, operational risk, and decision-making errors. Well-governed data enables competitive advantage, operational efficiency, and strategic insight. The transition from liability to asset is not automatic—it requires investment, governance, and sustained organizational commitment. Yet accounting standards treat all internally generated data identically: as an expense, invisible on the balance sheet, conferring neither asset recognition for value nor liability recognition for risk.</w:t>
      </w:r>
    </w:p>
    <w:p>
      <w:pPr>
        <w:spacing w:after="200"/>
      </w:pPr>
      <w:r>
        <w:t xml:space="preserve">The liability side of data management has become increasingly material. Total GDPR fines from 2018 through 2025 reached €5.88 billion according to DLA Piper's annual survey, with the largest single fine—€1.2 billion against Meta in 2023—exceeding the entire penalty total from earlier years of enforcement. IBM and Ponemon's 2024 survey placed the global average cost of a data breach at $4.88 million, up 10 percent year over year. U.S. organizations face higher costs at $9.36 million on average, reflecting both larger enterprise sizes and more aggressive plaintiff attorneys. Healthcare organizations average $9.77 million per breach, the highest of any industry for the fourteenth consecutive year. Seventy percent of breached organizations report significant business disruption beyond direct financial costs—lost customers, damaged reputation, diversion of management attention. Data has become a substantial liability even as it remains unrecognized as an asset.</w:t>
      </w:r>
    </w:p>
    <w:p>
      <w:pPr>
        <w:pStyle w:val="Heading1"/>
        <w:spacing w:before="240" w:after="120"/>
      </w:pPr>
      <w:r>
        <w:rPr>
          <w:b/>
          <w:bCs/>
        </w:rPr>
        <w:t xml:space="preserve">The Best Framework We Have</w:t>
      </w:r>
    </w:p>
    <w:p>
      <w:pPr>
        <w:spacing w:after="200"/>
      </w:pPr>
      <w:r>
        <w:t xml:space="preserve">If anyone has made progress in closing the measurement gap, it is Doug Laney. Currently Data &amp; Analytics Strategy Innovation Fellow at West Monroe Partners and formerly Vice President and Distinguished Analyst at Gartner for more than eleven years, Laney coined the "3 Vs of Big Data"—Volume, Velocity, Variety—in a 2001 META Group paper that became foundational to how the industry conceptualizes data challenges. His 2017 book Infonomics: How to Monetize, Manage, and Measure Information as an Asset for Competitive Advantage was selected by CIO Magazine as "Must-Read Book of the Year" and remains the most comprehensive attempt to create a practical framework for information valuation.</w:t>
      </w:r>
    </w:p>
    <w:p>
      <w:pPr>
        <w:spacing w:after="200"/>
      </w:pPr>
      <w:r>
        <w:t xml:space="preserve">Laney's core argument is both simple and subversive: information meets every accounting criterion for an asset. Under generally accepted accounting definitions, an asset is something owned or controlled by the entity, exchangeable for cash, and generating probable future economic value. Data satisfies all three criteria. Organizations control their data through technical and legal mechanisms. Data can be sold, licensed, or exchanged for value. Data generates economic benefits through analytics, automation, and decision support. The three-part test that determines whether something qualifies as an asset under accounting theory is satisfied. Yet accounting standards explicitly prohibit recognition.</w:t>
      </w:r>
    </w:p>
    <w:p>
      <w:pPr>
        <w:spacing w:after="200"/>
      </w:pPr>
      <w:r>
        <w:t xml:space="preserve">Laney traces this prohibition partly to the post-September 11 period, when the insurance industry updated commercial general liability templates to explicitly exclude "intangible electronic assets" from coverage. After the attacks, insurers reassessed their exposure to intangible losses and systematically excluded data from coverage definitions. Accounting standards, he argues, followed insurance practice rather than economic reality—if data could not be insured, perhaps it should not be recorded as an asset. The tail wagged the dog.</w:t>
      </w:r>
    </w:p>
    <w:p>
      <w:pPr>
        <w:spacing w:after="200"/>
      </w:pPr>
      <w:r>
        <w:t xml:space="preserve">His framework provides six models for valuing information, organized in two categories reflecting different valuation objectives. The foundational models capture potential value—what information could be worth under ideal conditions. The Intrinsic Value of Information model calculates value as a function of data validity, completeness, scarcity (inverted—rare data is more valuable), coverage, and useful life. The Business Value of Information model incorporates business relevance and timeliness—recognizing that identical data may have different value in different contexts. The Performance Value of Information model measures actual impact on key performance indicators through empirical analysis—the gold standard but also the most demanding approach.</w:t>
      </w:r>
    </w:p>
    <w:p>
      <w:pPr>
        <w:spacing w:after="200"/>
      </w:pPr>
      <w:r>
        <w:t xml:space="preserve">The financial models capture realized value—what information actually produces in economic terms. The Cost Value of Information model uses historical or replacement cost—what was spent or would need to be spent to acquire or recreate the data. The Market Value of Information model applies comparable transaction analysis—what similar data has sold for in market transactions. The Economic Value of Information model employs controlled trials measuring revenue impact minus lifecycle costs—isolating the contribution of specific data assets through rigorous experimentation.</w:t>
      </w:r>
    </w:p>
    <w:p>
      <w:pPr>
        <w:spacing w:after="200"/>
      </w:pPr>
      <w:r>
        <w:t xml:space="preserve">Laney makes one definitional point that deserves emphasis and has implications far beyond semantics: information is not "the new oil." The analogy, while rhetorically effective, fundamentally mischaracterizes how data behaves. Oil is rivalrous—if I burn a barrel, you cannot burn the same barrel. Data is non-rivalrous—multiple parties can use identical data simultaneously without diminishing its value to any of them. Oil is depleting—each barrel consumed is gone forever. Data is non-depleting—it is not consumed through use and can be analyzed indefinitely. Oil extraction reduces future supply. Data use often generates new data, making it regenerative. Oil substitutes exist—natural gas, solar, nuclear. Data has no true substitute—you cannot replace one dataset's insights with an entirely different dataset the way you can substitute energy sources.</w:t>
      </w:r>
    </w:p>
    <w:p>
      <w:pPr>
        <w:spacing w:after="200"/>
      </w:pPr>
      <w:r>
        <w:t xml:space="preserve">These properties—non-rivalrous, non-depleting, regenerative—fundamentally differentiate information from traditional asset categories and suggest why existing accounting frameworks, developed for physical assets consumed through use and owned by single parties, struggle to accommodate data. The economics are different. The legal frameworks are different. The measurement approaches must be different as well.</w:t>
      </w:r>
    </w:p>
    <w:p>
      <w:pPr>
        <w:spacing w:after="200"/>
      </w:pPr>
      <w:r>
        <w:t xml:space="preserve">Laney's work is the most developed framework available, but it faces significant critiques. Critics note the subjectivity problem inherent in Laney's models. As a 2023 Harvard Data Science Review analysis observed, "no single approach to data valuation exists today," and methodological choices can produce widely divergent valuations for identical datasets — creating challenges for standardization. The multiple-sale paradox creates additional confusion when non-rivalrous data is sold to multiple parties—does the marginal value decrease with each sale, as scarcity diminishes, or do network effects increase it as the data becomes more widely used? A 2025 Springer taxonomy study found the field remains "in its infancy" with significant gaps between academic approaches and practical requirements.</w:t>
      </w:r>
    </w:p>
    <w:p>
      <w:pPr>
        <w:spacing w:after="200"/>
      </w:pPr>
      <w:r>
        <w:t xml:space="preserve">Adoption has been encouraging if not yet transformative. Gartner predicted 30 percent of leading enterprises would adopt infonomics approaches by 2025. Case studies include GE, which quantified its IoT analytics value at over $500 million annually—providing justification for continued investment. Pirelli monetized tire sensor data, transforming a physical product company into a data business. A U.S. security firm reportedly increased its market value by $300 million through systematic infonomics application. Laney currently teaches the Infonomics course at the University of Illinois Gies College of Business (also available on Coursera), co-chairs the annual MIT CDO/IQ Symposium, and leads the data valuation workstream for the World Economic Forum's Data for Common Purpose Initiative. The infrastructure for broader adoption is building. Standardized practices remain absent.</w:t>
      </w:r>
    </w:p>
    <w:p>
      <w:pPr>
        <w:pStyle w:val="Heading1"/>
        <w:spacing w:before="240" w:after="120"/>
      </w:pPr>
      <w:r>
        <w:rPr>
          <w:b/>
          <w:bCs/>
        </w:rPr>
        <w:t xml:space="preserve">What We Are Actually Trying to Solve</w:t>
      </w:r>
    </w:p>
    <w:p>
      <w:pPr>
        <w:spacing w:after="200"/>
      </w:pPr>
      <w:r>
        <w:t xml:space="preserve">The measurement gap is not merely a technical accounting problem awaiting the right formula. It is a symptom of a deeper conceptual void—an absence of the theoretical frameworks needed to understand information as capital with the same rigor we understand physical capital.</w:t>
      </w:r>
    </w:p>
    <w:p>
      <w:pPr>
        <w:spacing w:after="200"/>
      </w:pPr>
      <w:r>
        <w:t xml:space="preserve">Consider what we take for granted when we discuss physical capital. We understand depreciation—that machinery wears out, buildings age, equipment becomes obsolete at predictable rates. We understand that capital requires maintenance, that different assets have different useful lives, that the value of a factory depends on both its physical condition and the markets it serves. We understand the relationship between capital investment and productive capacity, between maintenance spending and asset longevity, between technological change and obsolescence. We understand that location matters, that timing matters, that combinations of assets create value greater than their sum. These understandings did not emerge automatically. They developed over two centuries of industrial practice, refined through experience, formalized through economic theory, embedded in accounting standards that—whatever their limitations—at least attempt to capture industrial reality.</w:t>
      </w:r>
    </w:p>
    <w:p>
      <w:pPr>
        <w:spacing w:after="200"/>
      </w:pPr>
      <w:r>
        <w:t xml:space="preserve">We lack equivalent frameworks for information capital. We do not have consensus on how data depreciates—if it depreciates at all, or whether some data appreciates with age as historical context becomes more valuable. We do not understand the relationship between data investment and productive capacity with the precision we understand factory investment and output. We do not have systematic frameworks for data maintenance, data obsolescence, or the interaction between data assets and market conditions. We have observations and intuitions accumulated over perhaps two decades of serious data practice. We do not yet have theory.</w:t>
      </w:r>
    </w:p>
    <w:p>
      <w:pPr>
        <w:spacing w:after="200"/>
      </w:pPr>
      <w:r>
        <w:t xml:space="preserve">The challenge, moreover, is not merely to apply existing valuation techniques to a new asset class. Information has properties that existing frameworks cannot accommodate. It is non-rivalrous in a way that physical capital never is—a machine cannot be used by two factories simultaneously, but the same dataset can power analyses across an entire organization, or be licensed to hundreds of customers, without any of them diminishing the others' access. It exhibits network effects—a social media platform's data becomes more valuable as more users contribute to it, a pattern opposite to the diminishing returns that characterize most physical assets. It can be infinitely replicated at near-zero marginal cost, meaning traditional scarcity-based valuation approaches may fundamentally mislead. It does not deplete through use but may depreciate through obsolescence or appreciate through combination with other data. It creates externalities both positive and negative—generating value for some parties while creating privacy risks for others whose information it contains.</w:t>
      </w:r>
    </w:p>
    <w:p>
      <w:pPr>
        <w:spacing w:after="200"/>
      </w:pPr>
      <w:r>
        <w:t xml:space="preserve">These properties are not edge cases or special circumstances. They are fundamental to how information behaves. And they suggest that what we need is not merely better formulas applied to existing concepts but genuinely new concepts developed for a genuinely new asset class.</w:t>
      </w:r>
    </w:p>
    <w:p>
      <w:pPr>
        <w:spacing w:after="200"/>
      </w:pPr>
      <w:r>
        <w:t xml:space="preserve">Financial economics, as we know it, developed over centuries after markets emerged. The Dutch East India Company traded shares in 1602; the Chicago Board Options Exchange opened in 1973, enabling options pricing theory to be tested against actual markets. Adam Smith observed markets in 1776; Kenneth Arrow and Gerard Debreu formalized general equilibrium theory in the 1950s. The Black-Scholes option pricing model appeared in 1973—nearly four centuries after derivatives began trading in Amsterdam. The gap between practice and theory, between market innovation and economic understanding, was measured in generations.</w:t>
      </w:r>
    </w:p>
    <w:p>
      <w:pPr>
        <w:spacing w:after="200"/>
      </w:pPr>
      <w:r>
        <w:t xml:space="preserve">Information economics is in its infancy. We have practitioners creating value from data every day, across every industry and geography. We lack the theoretical apparatus to understand, measure, and govern what they are doing. We have something approximating markets for data—though whether they function as markets in the economic sense remains debatable—but we lack equivalents to arbitrage pricing theory or efficient market hypothesis for understanding how those markets should function. We have massive information-intensive enterprises valued at trillions of dollars, but financial statements that explain only fractions of what investors believe those enterprises are worth.</w:t>
      </w:r>
    </w:p>
    <w:p>
      <w:pPr>
        <w:spacing w:after="200"/>
      </w:pPr>
      <w:r>
        <w:t xml:space="preserve">What we need, then, is not just new formulas but new frameworks. Not just better accounting but deeper understanding. Not just techniques for valuing data but robust concepts for thinking about information as capital.</w:t>
      </w:r>
    </w:p>
    <w:p>
      <w:pPr>
        <w:pStyle w:val="Heading1"/>
        <w:spacing w:before="240" w:after="120"/>
      </w:pPr>
      <w:r>
        <w:rPr>
          <w:b/>
          <w:bCs/>
        </w:rPr>
        <w:t xml:space="preserve">Why History Might Help</w:t>
      </w:r>
    </w:p>
    <w:p>
      <w:pPr>
        <w:spacing w:after="200"/>
      </w:pPr>
      <w:r>
        <w:t xml:space="preserve">If the measurement gap is ultimately a conceptual problem—a deficiency in how we think about information value rather than merely how we account for it—where might we find resources for developing new frameworks?</w:t>
      </w:r>
    </w:p>
    <w:p>
      <w:pPr>
        <w:spacing w:after="200"/>
      </w:pPr>
      <w:r>
        <w:t xml:space="preserve">History offers one possibility. Not history as antiquarian exercise, but history as empirical data. Patterns of institutional transformation operate across time scales that dwarf the lifespan of any individual enterprise. Empires rise and fall over centuries, providing datasets of institutional change that no modern economy can replicate through direct observation. The Bank of England was founded in 1694; by studying what preceded it—the Dutch financial innovations of the seventeenth century, the institutional transformations that enabled those innovations, the relationship between financial development and broader societal change—we can observe how financial systems emerge as culminations of broader institutional development rather than as isolated technical achievements.</w:t>
      </w:r>
    </w:p>
    <w:p>
      <w:pPr>
        <w:spacing w:after="200"/>
      </w:pPr>
      <w:r>
        <w:t xml:space="preserve">This matters for information capital because the infrastructure required to create and trade information assets may follow similar patterns. Markets do not emerge from nothing. They require legal frameworks for property rights—something that remains contested for data. They require institutional mechanisms for price discovery—something that barely exists for data. They require trust architectures enabling transactions between strangers—something that data exchanges are only beginning to develop. The data marketplaces emerging today face challenges similar to those early capital markets faced centuries ago. Studying how those challenges were solved—and how the solutions failed or succeeded—may illuminate the path forward.</w:t>
      </w:r>
    </w:p>
    <w:p>
      <w:pPr>
        <w:spacing w:after="200"/>
      </w:pPr>
      <w:r>
        <w:t xml:space="preserve">History also offers a corrective to the presentism that distorts much discussion of the information economy. Every generation believes its challenges are unprecedented. Every technological transition produces commentary about how "this time is different." Often, it is not. The patterns of institutional transformation that characterized the transition from agrarian to industrial economies may illuminate the transition from industrial to information economies. The specific technologies differ; the dynamics of institutional change may not.</w:t>
      </w:r>
    </w:p>
    <w:p>
      <w:pPr>
        <w:spacing w:after="200"/>
      </w:pPr>
      <w:r>
        <w:t xml:space="preserve">What did the Bank of England's founding tell us about the prerequisites for capital markets? What institutional transformations preceded the emergence of tradeable financial instruments? What made Dutch financial innovation possible—and what made it transferable to England after 1688? These are not merely historical questions. They are questions about how institutions develop, how value gets measured and traded, how infrastructure emerges to support new forms of economic organization. The answers may apply, with appropriate translation, to information capital markets.</w:t>
      </w:r>
    </w:p>
    <w:p>
      <w:pPr>
        <w:spacing w:after="200"/>
      </w:pPr>
      <w:r>
        <w:t xml:space="preserve">The chapters that follow will pursue these questions—not to offer a complete theory of information capital, which remains beyond anyone's current capacity, but to assemble the conceptual resources from which such a theory might eventually emerge. We will examine how institutions transform, how measurement frameworks develop, how infrastructure for new asset classes gets built. We will look at empires and corporations, at financial innovations and institutional failures, at patterns recurring across centuries and contexts.</w:t>
      </w:r>
    </w:p>
    <w:p>
      <w:pPr>
        <w:spacing w:after="200"/>
      </w:pPr>
      <w:r>
        <w:t xml:space="preserve">The measurement gap will not close quickly. If the historical precedents are any guide, we are at the beginning of a process that will take decades. But understanding the gap—its origins, its dimensions, its consequences—is the first step toward closing it.</w:t>
      </w:r>
    </w:p>
    <w:p>
      <w:pPr>
        <w:spacing w:after="200"/>
      </w:pPr>
      <w:r>
        <w:t xml:space="preserve">Somewhere in the space between $9.78 billion in property, plant, and equipment and $4.58 trillion in market value, between accounting frameworks designed for factories and economies driven by algorithms, between the five percent of investor information that financial statements provide and the ninety-five percent they do not, lies the frontier of our understanding. It is time to explore it.</w:t>
      </w:r>
    </w:p>
    <w:p>
      <w:pPr>
        <w:pStyle w:val="Heading1"/>
        <w:spacing w:before="240" w:after="120"/>
      </w:pPr>
      <w:r>
        <w:rPr>
          <w:b/>
          <w:bCs/>
        </w:rPr>
        <w:t xml:space="preserve">Questions for Reflection</w:t>
      </w:r>
    </w:p>
    <w:p>
      <w:pPr>
        <w:spacing w:after="200"/>
      </w:pPr>
      <w:r>
        <w:t xml:space="preserve">Before proceeding, consider these diagnostic questions about your own organization:</w:t>
      </w:r>
    </w:p>
    <w:p>
      <w:pPr>
        <w:spacing w:after="200"/>
      </w:pPr>
      <w:r>
        <w:t xml:space="preserve">1. What percentage of your organization's market value or total worth would you estimate is captured on its balance sheet? Where do you believe the remainder resides—and how would you demonstrate that to a skeptical investor or regulator?</w:t>
      </w:r>
    </w:p>
    <w:p>
      <w:pPr>
        <w:spacing w:after="200"/>
      </w:pPr>
      <w:r>
        <w:t xml:space="preserve">2. If you had to explain where 90 percent of your company's value comes from to someone unfamiliar with your industry, what would you point to? How confident are you in that explanation?</w:t>
      </w:r>
    </w:p>
    <w:p>
      <w:pPr>
        <w:spacing w:after="200"/>
      </w:pPr>
      <w:r>
        <w:t xml:space="preserve">3. What percentage of your organization's data would you estimate is actively used to generate business value? How do you know, and what prevents the unused portion from being leveraged?</w:t>
      </w:r>
    </w:p>
    <w:p>
      <w:pPr>
        <w:spacing w:after="200"/>
      </w:pPr>
      <w:r>
        <w:t xml:space="preserve">4. Has your organization ever attempted to value its data assets systematically? If so, what methodology was used, and what limitations did you encounter? If not, what would prevent such an exercise from being meaningful?</w:t>
      </w:r>
    </w:p>
    <w:p>
      <w:pPr>
        <w:spacing w:after="200"/>
      </w:pPr>
      <w:r>
        <w:t xml:space="preserve">5. If your industry underwent a valuation correction tomorrow, would your organization have the measurement frameworks necessary to distinguish between justified and unjustified assessments of your company's worth?</w:t>
      </w:r>
    </w:p>
    <w:p>
      <w:pPr>
        <w:spacing w:after="200"/>
      </w:pPr>
      <w:r>
        <w:t xml:space="preserve">These questions are not rhetorical exercises. They are diagnostic instruments for understanding your organization's exposure to the measurement gap. The answers—or more revealingly, the difficulty of answering—may indicate how prepared your enterprise is for an economic environment where intangible assets dominate and traditional measurement frameworks fail. Most executives, when confronted with these questions for the first time, discover that they lack the conceptual vocabulary to address them systematically. This is not a personal failing but a structural one—a consequence of working within institutions built on measurement frameworks designed for a different economic era.</w:t>
      </w:r>
    </w:p>
    <w:p>
      <w:pPr>
        <w:spacing w:after="200"/>
      </w:pPr>
      <w:r>
        <w:t xml:space="preserve">The chapters that follow will build the conceptual tools needed to approach these questions systematically. We will develop frameworks for understanding how institutions transform across multiple domains simultaneously. We will examine how value gets created, captured, and measured in complex adaptive systems. We will trace the patterns that connect the transformation of ancient empires to the challenges facing modern enterprises. And we will explore what historical precedent suggests about how measurement frameworks develop—and how long that development typically takes.</w:t>
      </w:r>
    </w:p>
    <w:p>
      <w:pPr>
        <w:spacing w:after="200"/>
      </w:pPr>
      <w:r>
        <w:t xml:space="preserve">History offers one crucial lesson above all others: the gap between economic reality and measurement capability is not new. Every major economic transformation has produced a similar lag. Markets preceded market theory by millennia. Factories preceded depreciation accounting by over a century. We should not expect information capital to be different. What we can do is understand the gap, measure its dimensions, and begin the intellectual work that will eventually close it.</w:t>
      </w:r>
    </w:p>
    <w:p>
      <w:pPr>
        <w:spacing w:after="200"/>
      </w:pPr>
      <w:r>
        <w:t xml:space="preserve">The measurement gap is real. It is widening. And it demands new ways of thinking about what institutions are, how they create value, and how that value might be captured in frameworks adequate to the information economy. Let us begin.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2026-01-07T06:16:21.939Z</dcterms:created>
  <dcterms:modified xsi:type="dcterms:W3CDTF">2026-01-07T06:16:21.940Z</dcterms:modified>
</cp:coreProperties>
</file>

<file path=docProps/custom.xml><?xml version="1.0" encoding="utf-8"?>
<Properties xmlns="http://schemas.openxmlformats.org/officeDocument/2006/custom-properties" xmlns:vt="http://schemas.openxmlformats.org/officeDocument/2006/docPropsVTypes"/>
</file>