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hapter-three"/>
    <w:p>
      <w:pPr>
        <w:pStyle w:val="Heading1"/>
      </w:pPr>
      <w:r>
        <w:t xml:space="preserve">CHAPTER THREE</w:t>
      </w:r>
    </w:p>
    <w:bookmarkStart w:id="28" w:name="what-is-information-capital"/>
    <w:p>
      <w:pPr>
        <w:pStyle w:val="Heading2"/>
      </w:pPr>
      <w:r>
        <w:t xml:space="preserve">What Is Information Capital?</w:t>
      </w:r>
    </w:p>
    <w:p>
      <w:pPr>
        <w:pStyle w:val="FirstParagraph"/>
      </w:pPr>
      <w:r>
        <w:rPr>
          <w:iCs/>
          <w:i/>
        </w:rPr>
        <w:t xml:space="preserve">Defining the Invisible Engine of Modern Wealth</w:t>
      </w:r>
    </w:p>
    <w:p>
      <w:pPr>
        <w:pStyle w:val="BodyText"/>
      </w:pPr>
      <w:r>
        <w:t xml:space="preserve">The question seems deceptively simple. After two chapters establishing why measurement matters and why history illuminates what theory alone cannot, we arrive at the definitional challenge every serious inquiry must eventually confront: what exactly are we studying? The answer shapes everything that follows. Define the object of study too loosely, and we lose analytical purchase. Define it too narrowly, and we miss the phenomenon’s true scope. In the pages ahead, I construct a framework for understanding information capital with the precision that serious scholarship demands, drawing on a century of economic theory, three decades of information economics, and the emerging discipline of Infonomics to build something both rigorous and useful.</w:t>
      </w:r>
    </w:p>
    <w:p>
      <w:pPr>
        <w:pStyle w:val="BodyText"/>
      </w:pPr>
      <w:r>
        <w:t xml:space="preserve">This definitional work is not merely academic housekeeping. The $62.7 trillion gap between market capitalizations and book values that opened Chapter 1 exists precisely because we lack agreed-upon frameworks for recognizing, measuring, and accounting for information assets. When I introduced the Tower Bridge metaphor—institutions as foundations, markets as superstructure—I was pointing toward a deeper truth: the invisible infrastructure of information capital supports much of what we see in modern economies, yet remains largely unmeasured and unacknowledged. The historical methodology outlined in Chapter 2, culminating in the 1694 thesis connecting the Bank of England’s founding on July 27 of that year to the prior Dutch financial revolution, provides our investigative approach. Now we must specify what that investigation examines.</w:t>
      </w:r>
    </w:p>
    <w:p>
      <w:pPr>
        <w:pStyle w:val="BodyText"/>
      </w:pPr>
      <w:r>
        <w:t xml:space="preserve">Consider Alphabet, parent company of Google. As of January 2026, Alphabet commands a market capitalization of approximately $3.88 trillion against book value—stockholders’ equity as reported in SEC filings—of $325 billion. The gap exceeds $3.55 trillion. This means over 91 percent of what investors believe the company is worth consists of assets that appear nowhere on its balance sheet. Not the 15,000 servers humming in data centers from Oregon to Singapore. Not the fiber optic cables threading beneath oceans. Not the gleaming headquarters in Mountain View. Those tangible assets—everything that can be counted, inventoried, appraised in the traditional sense—represent less than a tenth of the company’s value. The other nine-tenths is invisible to accounting systems designed for an economy of factories and inventory.</w:t>
      </w:r>
    </w:p>
    <w:p>
      <w:pPr>
        <w:pStyle w:val="BodyText"/>
      </w:pPr>
      <w:r>
        <w:t xml:space="preserve">Where is that $3.55 trillion? It resides in 400 billion indexed web documents accumulated over 25 years of continuous crawling—a figure confirmed by Google Vice President Pandu Nayak during testimony in the United States v. Google antitrust proceedings in 2023. It resides in 5 trillion annual search queries that reveal what humanity wants to know, buy, do, and become. In the Knowledge Graph’s 54 billion entities connected by 1.6 trillion facts—a structured representation of human knowledge that grows by hundreds of millions of connections daily. In YouTube’s 5.1 billion videos and the recommendation algorithms trained on a billion hours of daily viewing behavior. In Waymo’s 127 million miles of autonomous driving data that cannot be replicated at any price. In DeepMind’s AlphaFold database containing predicted structures for 214 million proteins—work that earned Demis Hassabis and John Jumper the 2024 Nobel Prize in Chemistry.</w:t>
      </w:r>
    </w:p>
    <w:p>
      <w:pPr>
        <w:pStyle w:val="BodyText"/>
      </w:pPr>
      <w:r>
        <w:t xml:space="preserve">This is information capital: the accumulated stock of data, curated knowledge, algorithmic intelligence, and institutional expertise that generates economic value over time. Like physical capital—the factories, machinery, and infrastructure that powered industrial economies—information capital requires investment to create, depreciates without maintenance, and produces flows of income that can be valued. Unlike physical capital, it can be used by multiple parties simultaneously without diminishing, copied at near-zero marginal cost, and combined with other information assets to create value greater than the sum of parts. These distinctive properties demand new frameworks for understanding how information capital is created, transformed, and valued.</w:t>
      </w:r>
    </w:p>
    <w:bookmarkStart w:id="20" w:name="X5638dbe0204c20bf960324c7a0172870619a9a4"/>
    <w:p>
      <w:pPr>
        <w:pStyle w:val="Heading3"/>
      </w:pPr>
      <w:r>
        <w:t xml:space="preserve">The hierarchy of data, information, and knowledge</w:t>
      </w:r>
    </w:p>
    <w:p>
      <w:pPr>
        <w:pStyle w:val="FirstParagraph"/>
      </w:pPr>
      <w:r>
        <w:t xml:space="preserve">Any serious attempt to define information capital must first grapple with the distinctions between data, information, knowledge, and wisdom—the DIKW hierarchy that has organized thinking in information science for decades. The framework traces its conceptual roots to T.S. Eliot’s 1934 poem</w:t>
      </w:r>
      <w:r>
        <w:t xml:space="preserve"> </w:t>
      </w:r>
      <w:r>
        <w:t xml:space="preserve">“</w:t>
      </w:r>
      <w:r>
        <w:t xml:space="preserve">The Rock,</w:t>
      </w:r>
      <w:r>
        <w:t xml:space="preserve">”</w:t>
      </w:r>
      <w:r>
        <w:t xml:space="preserve"> </w:t>
      </w:r>
      <w:r>
        <w:t xml:space="preserve">which posed evocative questions:</w:t>
      </w:r>
      <w:r>
        <w:t xml:space="preserve"> </w:t>
      </w:r>
      <w:r>
        <w:t xml:space="preserve">“</w:t>
      </w:r>
      <w:r>
        <w:t xml:space="preserve">Where is the wisdom we have lost in knowledge? Where is the knowledge we have lost in information?</w:t>
      </w:r>
      <w:r>
        <w:t xml:space="preserve">”</w:t>
      </w:r>
      <w:r>
        <w:t xml:space="preserve"> </w:t>
      </w:r>
      <w:r>
        <w:t xml:space="preserve">But the formal hierarchy emerged much later. Milan Zeleny, a Czech-born professor at Fordham University, articulated the structure in his 1987 paper</w:t>
      </w:r>
      <w:r>
        <w:t xml:space="preserve"> </w:t>
      </w:r>
      <w:r>
        <w:t xml:space="preserve">“</w:t>
      </w:r>
      <w:r>
        <w:t xml:space="preserve">Management Support Systems: Towards Integrated Knowledge Management</w:t>
      </w:r>
      <w:r>
        <w:t xml:space="preserve">”</w:t>
      </w:r>
      <w:r>
        <w:t xml:space="preserve"> </w:t>
      </w:r>
      <w:r>
        <w:t xml:space="preserve">in Human Systems Management, mapping each level to knowledge forms: data as</w:t>
      </w:r>
      <w:r>
        <w:t xml:space="preserve"> </w:t>
      </w:r>
      <w:r>
        <w:t xml:space="preserve">“</w:t>
      </w:r>
      <w:r>
        <w:t xml:space="preserve">know-nothing,</w:t>
      </w:r>
      <w:r>
        <w:t xml:space="preserve">”</w:t>
      </w:r>
      <w:r>
        <w:t xml:space="preserve"> </w:t>
      </w:r>
      <w:r>
        <w:t xml:space="preserve">information as</w:t>
      </w:r>
      <w:r>
        <w:t xml:space="preserve"> </w:t>
      </w:r>
      <w:r>
        <w:t xml:space="preserve">“</w:t>
      </w:r>
      <w:r>
        <w:t xml:space="preserve">know-what,</w:t>
      </w:r>
      <w:r>
        <w:t xml:space="preserve">”</w:t>
      </w:r>
      <w:r>
        <w:t xml:space="preserve"> </w:t>
      </w:r>
      <w:r>
        <w:t xml:space="preserve">knowledge as</w:t>
      </w:r>
      <w:r>
        <w:t xml:space="preserve"> </w:t>
      </w:r>
      <w:r>
        <w:t xml:space="preserve">“</w:t>
      </w:r>
      <w:r>
        <w:t xml:space="preserve">know-how,</w:t>
      </w:r>
      <w:r>
        <w:t xml:space="preserve">”</w:t>
      </w:r>
      <w:r>
        <w:t xml:space="preserve"> </w:t>
      </w:r>
      <w:r>
        <w:t xml:space="preserve">and wisdom as</w:t>
      </w:r>
      <w:r>
        <w:t xml:space="preserve"> </w:t>
      </w:r>
      <w:r>
        <w:t xml:space="preserve">“</w:t>
      </w:r>
      <w:r>
        <w:t xml:space="preserve">know-why</w:t>
      </w:r>
      <w:r>
        <w:t xml:space="preserve">”</w:t>
      </w:r>
      <w:r>
        <w:t xml:space="preserve">—a formulation that emphasized the bread-baking metaphor of progressive refinement from raw ingredients to finished product.</w:t>
      </w:r>
    </w:p>
    <w:p>
      <w:pPr>
        <w:pStyle w:val="BodyText"/>
      </w:pPr>
      <w:r>
        <w:t xml:space="preserve">Russell Ackoff’s 1989 Presidential Address to the International Society for General Systems Research, published as</w:t>
      </w:r>
      <w:r>
        <w:t xml:space="preserve"> </w:t>
      </w:r>
      <w:r>
        <w:t xml:space="preserve">“</w:t>
      </w:r>
      <w:r>
        <w:t xml:space="preserve">From Data to Wisdom</w:t>
      </w:r>
      <w:r>
        <w:t xml:space="preserve">”</w:t>
      </w:r>
      <w:r>
        <w:t xml:space="preserve"> </w:t>
      </w:r>
      <w:r>
        <w:t xml:space="preserve">in the Journal of Applied Systems Analysis and cited approximately 1,900 times, became the canonical reference that most subsequent scholars cite. Ackoff, the Anheuser-Busch Professor Emeritus of Management Science at the Wharton School who spent over thirty years consulting with more than 250 corporations including General Electric, AT&amp;T, and Anheuser-Busch, introduced his hierarchy with characteristic elegance:</w:t>
      </w:r>
      <w:r>
        <w:t xml:space="preserve"> </w:t>
      </w:r>
      <w:r>
        <w:t xml:space="preserve">“</w:t>
      </w:r>
      <w:r>
        <w:t xml:space="preserve">An ounce of information is worth a pound of data. An ounce of knowledge is worth a pound of information. An ounce of understanding is worth a pound of knowledge.</w:t>
      </w:r>
      <w:r>
        <w:t xml:space="preserve">”</w:t>
      </w:r>
      <w:r>
        <w:t xml:space="preserve"> </w:t>
      </w:r>
      <w:r>
        <w:t xml:space="preserve">He defined data as</w:t>
      </w:r>
      <w:r>
        <w:t xml:space="preserve"> </w:t>
      </w:r>
      <w:r>
        <w:t xml:space="preserve">“</w:t>
      </w:r>
      <w:r>
        <w:t xml:space="preserve">symbols that represent the properties of objects and events,</w:t>
      </w:r>
      <w:r>
        <w:t xml:space="preserve">”</w:t>
      </w:r>
      <w:r>
        <w:t xml:space="preserve"> </w:t>
      </w:r>
      <w:r>
        <w:t xml:space="preserve">information as</w:t>
      </w:r>
      <w:r>
        <w:t xml:space="preserve"> </w:t>
      </w:r>
      <w:r>
        <w:t xml:space="preserve">“</w:t>
      </w:r>
      <w:r>
        <w:t xml:space="preserve">processed data, the processing directed at increasing its usefulness,</w:t>
      </w:r>
      <w:r>
        <w:t xml:space="preserve">”</w:t>
      </w:r>
      <w:r>
        <w:t xml:space="preserve"> </w:t>
      </w:r>
      <w:r>
        <w:t xml:space="preserve">and knowledge as</w:t>
      </w:r>
      <w:r>
        <w:t xml:space="preserve"> </w:t>
      </w:r>
      <w:r>
        <w:t xml:space="preserve">“</w:t>
      </w:r>
      <w:r>
        <w:t xml:space="preserve">conveyed by instructions, answers to how-to questions.</w:t>
      </w:r>
      <w:r>
        <w:t xml:space="preserve">”</w:t>
      </w:r>
      <w:r>
        <w:t xml:space="preserve"> </w:t>
      </w:r>
      <w:r>
        <w:t xml:space="preserve">Wisdom, Ackoff argued,</w:t>
      </w:r>
      <w:r>
        <w:t xml:space="preserve"> </w:t>
      </w:r>
      <w:r>
        <w:t xml:space="preserve">“</w:t>
      </w:r>
      <w:r>
        <w:t xml:space="preserve">deals with values</w:t>
      </w:r>
      <w:r>
        <w:t xml:space="preserve">”</w:t>
      </w:r>
      <w:r>
        <w:t xml:space="preserve"> </w:t>
      </w:r>
      <w:r>
        <w:t xml:space="preserve">and</w:t>
      </w:r>
      <w:r>
        <w:t xml:space="preserve"> </w:t>
      </w:r>
      <w:r>
        <w:t xml:space="preserve">“</w:t>
      </w:r>
      <w:r>
        <w:t xml:space="preserve">involves the exercise of judgment</w:t>
      </w:r>
      <w:r>
        <w:t xml:space="preserve">”</w:t>
      </w:r>
      <w:r>
        <w:t xml:space="preserve">—something he believed computers could never replicate.</w:t>
      </w:r>
    </w:p>
    <w:p>
      <w:pPr>
        <w:pStyle w:val="BodyText"/>
      </w:pPr>
      <w:r>
        <w:t xml:space="preserve">The hierarchy has intuitive appeal. It suggests a pyramid where data is most abundant and wisdom scarce, with each level representing increasing value through processing and contextualization. Ackoff estimated that roughly forty percent of the human mind consists of data, thirty percent information, twenty percent knowledge, ten percent understanding, and virtually no wisdom. The framework implies that transformation processes connect levels: data becomes information through contextualization and calculation; information becomes knowledge through integration with experience and expertise; knowledge becomes wisdom through ethical judgment and long-term perspective.</w:t>
      </w:r>
    </w:p>
    <w:p>
      <w:pPr>
        <w:pStyle w:val="BodyText"/>
      </w:pPr>
      <w:r>
        <w:t xml:space="preserve">Yet the DIKW hierarchy faces devastating scholarly critique that anyone building a theory of information capital must confront. Martin Frické’s 2009 analysis in the Journal of Information Science, cited 383 times, argued unambiguously that</w:t>
      </w:r>
      <w:r>
        <w:t xml:space="preserve"> </w:t>
      </w:r>
      <w:r>
        <w:t xml:space="preserve">“</w:t>
      </w:r>
      <w:r>
        <w:t xml:space="preserve">the DIKW pyramid should be abandoned</w:t>
      </w:r>
      <w:r>
        <w:t xml:space="preserve">”</w:t>
      </w:r>
      <w:r>
        <w:t xml:space="preserve"> </w:t>
      </w:r>
      <w:r>
        <w:t xml:space="preserve">and</w:t>
      </w:r>
      <w:r>
        <w:t xml:space="preserve"> </w:t>
      </w:r>
      <w:r>
        <w:t xml:space="preserve">“</w:t>
      </w:r>
      <w:r>
        <w:t xml:space="preserve">should no longer be part of the canon of information science.</w:t>
      </w:r>
      <w:r>
        <w:t xml:space="preserve">”</w:t>
      </w:r>
      <w:r>
        <w:t xml:space="preserve"> </w:t>
      </w:r>
      <w:r>
        <w:t xml:space="preserve">Frické, a professor at the University of Arizona’s School of Information, traced the hierarchy’s philosophical lineage to</w:t>
      </w:r>
      <w:r>
        <w:t xml:space="preserve"> </w:t>
      </w:r>
      <w:r>
        <w:t xml:space="preserve">“</w:t>
      </w:r>
      <w:r>
        <w:t xml:space="preserve">positivism or operationalism, the (now thoroughly discredited) cosmological and methodological viewpoint of the 1930s.</w:t>
      </w:r>
      <w:r>
        <w:t xml:space="preserve">”</w:t>
      </w:r>
      <w:r>
        <w:t xml:space="preserve"> </w:t>
      </w:r>
      <w:r>
        <w:t xml:space="preserve">His objections strike at foundations. Information cannot be validly reduced to data. Data expressed in existential-conjunctive logic cannot generate the universal statements that constitute much scientific information through valid inference. The proposition</w:t>
      </w:r>
      <w:r>
        <w:t xml:space="preserve"> </w:t>
      </w:r>
      <w:r>
        <w:t xml:space="preserve">“</w:t>
      </w:r>
      <w:r>
        <w:t xml:space="preserve">the earth goes around the sun</w:t>
      </w:r>
      <w:r>
        <w:t xml:space="preserve">”</w:t>
      </w:r>
      <w:r>
        <w:t xml:space="preserve"> </w:t>
      </w:r>
      <w:r>
        <w:t xml:space="preserve">is information that cannot be derived from observational data alone—it requires theoretical frameworks that precede observation. DIKW implicitly relies on inductivism—the discredited notion that pure observations can be generalized to theories—yet inductive inferences are deductively invalid and can lead from true premises to false conclusions.</w:t>
      </w:r>
    </w:p>
    <w:p>
      <w:pPr>
        <w:pStyle w:val="BodyText"/>
      </w:pPr>
      <w:r>
        <w:t xml:space="preserve">Even more radical was Ilkka Tuomi’s 1999 inversion argument. Writing in the Journal of Management Information Systems while serving as Principal Scientist at Nokia Research Center, Tuomi proposed that the hierarchy runs exactly backwards:</w:t>
      </w:r>
      <w:r>
        <w:t xml:space="preserve"> </w:t>
      </w:r>
      <w:r>
        <w:t xml:space="preserve">“</w:t>
      </w:r>
      <w:r>
        <w:t xml:space="preserve">I explore the conceptual hierarchy of data, information and knowledge, showing that data emerges only after we have information, and that information emerges only after we already have knowledge.</w:t>
      </w:r>
      <w:r>
        <w:t xml:space="preserve">”</w:t>
      </w:r>
      <w:r>
        <w:t xml:space="preserve"> </w:t>
      </w:r>
      <w:r>
        <w:t xml:space="preserve">His reasoning: because observation is theory-laden—a point emphasized by philosophers N.R. Hanson and Thomas Kuhn—</w:t>
      </w:r>
      <w:r>
        <w:t xml:space="preserve">“</w:t>
      </w:r>
      <w:r>
        <w:t xml:space="preserve">there is no such thing as</w:t>
      </w:r>
      <w:r>
        <w:t xml:space="preserve"> </w:t>
      </w:r>
      <w:r>
        <w:t xml:space="preserve">‘</w:t>
      </w:r>
      <w:r>
        <w:t xml:space="preserve">raw data.</w:t>
      </w:r>
      <w:r>
        <w:t xml:space="preserve">’</w:t>
      </w:r>
      <w:r>
        <w:t xml:space="preserve">”</w:t>
      </w:r>
      <w:r>
        <w:t xml:space="preserve"> </w:t>
      </w:r>
      <w:r>
        <w:t xml:space="preserve">All data presupposes theoretical knowledge. A temperature reading is meaningless without the knowledge framework of thermometry; a stock price is meaningless without the knowledge framework of financial markets.</w:t>
      </w:r>
    </w:p>
    <w:p>
      <w:pPr>
        <w:pStyle w:val="BodyText"/>
      </w:pPr>
      <w:r>
        <w:t xml:space="preserve">Jennifer Rowley’s 2007 analysis in the Journal of Information Science—the most cited paper in this literature at 1,662 citations—confirmed the hierarchy’s troubled status. After examining how DIKW appears across widely-read textbooks in library and information science, she found it</w:t>
      </w:r>
      <w:r>
        <w:t xml:space="preserve"> </w:t>
      </w:r>
      <w:r>
        <w:t xml:space="preserve">“</w:t>
      </w:r>
      <w:r>
        <w:t xml:space="preserve">one of the fundamental, widely recognized and</w:t>
      </w:r>
      <w:r>
        <w:t xml:space="preserve"> </w:t>
      </w:r>
      <w:r>
        <w:t xml:space="preserve">‘</w:t>
      </w:r>
      <w:r>
        <w:t xml:space="preserve">taken-for-granted</w:t>
      </w:r>
      <w:r>
        <w:t xml:space="preserve">’</w:t>
      </w:r>
      <w:r>
        <w:t xml:space="preserve"> </w:t>
      </w:r>
      <w:r>
        <w:t xml:space="preserve">models</w:t>
      </w:r>
      <w:r>
        <w:t xml:space="preserve">”</w:t>
      </w:r>
      <w:r>
        <w:t xml:space="preserve"> </w:t>
      </w:r>
      <w:r>
        <w:t xml:space="preserve">yet noted</w:t>
      </w:r>
      <w:r>
        <w:t xml:space="preserve"> </w:t>
      </w:r>
      <w:r>
        <w:t xml:space="preserve">“</w:t>
      </w:r>
      <w:r>
        <w:t xml:space="preserve">limited direct discussion</w:t>
      </w:r>
      <w:r>
        <w:t xml:space="preserve">”</w:t>
      </w:r>
      <w:r>
        <w:t xml:space="preserve"> </w:t>
      </w:r>
      <w:r>
        <w:t xml:space="preserve">of its theoretical foundations and significant definitional inconsistency across sources. Her observation that definitions typically proceed in circular fashion—</w:t>
      </w:r>
      <w:r>
        <w:t xml:space="preserve">“</w:t>
      </w:r>
      <w:r>
        <w:t xml:space="preserve">information is defined in terms of data, knowledge in terms of information</w:t>
      </w:r>
      <w:r>
        <w:t xml:space="preserve">”</w:t>
      </w:r>
      <w:r>
        <w:t xml:space="preserve">—exposed the framework’s explanatory emptiness. David Weinberger captured the practical implications in a 2010 Harvard Business Review article:</w:t>
      </w:r>
      <w:r>
        <w:t xml:space="preserve"> </w:t>
      </w:r>
      <w:r>
        <w:t xml:space="preserve">“</w:t>
      </w:r>
      <w:r>
        <w:t xml:space="preserve">The data-information-knowledge-wisdom hierarchy seemed like a really great idea when it was first proposed. But its rapid acceptance was in fact a sign of how worried we were about the real value of the information systems we had built at such great expense. What looks like a logical progression is actually a desperate cry for help.</w:t>
      </w:r>
      <w:r>
        <w:t xml:space="preserve">”</w:t>
      </w:r>
    </w:p>
    <w:p>
      <w:pPr>
        <w:pStyle w:val="BodyText"/>
      </w:pPr>
      <w:r>
        <w:t xml:space="preserve">For our purposes, these critiques suggest caution rather than abandonment. The DIKW framework provides useful vocabulary even if its implied epistemology is flawed. What matters for understanding information capital is recognizing that we deal with phenomena across a spectrum—from raw sensor readings to deeply contextual expertise—and that different points on this spectrum have different economic properties, different depreciation rates, and different requirements for institutional support. The system dynamics framework I develop below addresses these limitations by treating information stocks as continuously interacting rather than sequentially transforming.</w:t>
      </w:r>
    </w:p>
    <w:bookmarkEnd w:id="20"/>
    <w:bookmarkStart w:id="21" w:name="X3261957d68e5e85d0e26fb485f3c7c108fc5187"/>
    <w:p>
      <w:pPr>
        <w:pStyle w:val="Heading3"/>
      </w:pPr>
      <w:r>
        <w:t xml:space="preserve">The intellectual architecture of information economics</w:t>
      </w:r>
    </w:p>
    <w:p>
      <w:pPr>
        <w:pStyle w:val="FirstParagraph"/>
      </w:pPr>
      <w:r>
        <w:t xml:space="preserve">Understanding information as capital requires grounding in the foundational insights of information economics—a field that emerged in the 1960s and fundamentally transformed how economists think about markets, uncertainty, and value creation. Four scholars deserve particular attention, not merely for historical completeness but because their insights remain essential to any theory of information capital.</w:t>
      </w:r>
    </w:p>
    <w:p>
      <w:pPr>
        <w:pStyle w:val="BodyText"/>
      </w:pPr>
      <w:r>
        <w:t xml:space="preserve">Kenneth Joseph Arrow (1921-2017) established the conceptual foundation for treating information as a distinct economic category. Born in New York City to Romanian-Jewish immigrant parents and shaped by the Great Depression’s impact on his family—his father lost a successful business and the family moved repeatedly, at one point unable to afford heat—Arrow pursued mathematics at City College before switching to economics at Columbia under Harold Hotelling’s influence. His career spanned the RAND Corporation, where he worked on operations research during World War II, the Cowles Commission at the University of Chicago, Stanford University, and Harvard University. At age 51, sharing the prize with John Hicks, he became the youngest-ever Nobel laureate in Economics—a record he still holds more than fifty years later.</w:t>
      </w:r>
    </w:p>
    <w:p>
      <w:pPr>
        <w:pStyle w:val="BodyText"/>
      </w:pPr>
      <w:r>
        <w:t xml:space="preserve">Arrow’s 1962 paper</w:t>
      </w:r>
      <w:r>
        <w:t xml:space="preserve"> </w:t>
      </w:r>
      <w:r>
        <w:t xml:space="preserve">“</w:t>
      </w:r>
      <w:r>
        <w:t xml:space="preserve">Economic Welfare and the Allocation of Resources for Invention,</w:t>
      </w:r>
      <w:r>
        <w:t xml:space="preserve">”</w:t>
      </w:r>
      <w:r>
        <w:t xml:space="preserve"> </w:t>
      </w:r>
      <w:r>
        <w:t xml:space="preserve">published by the National Bureau of Economic Research, identified the fundamental properties that distinguish information from physical goods. Information, Arrow argued, constitutes a public good because it is non-rivalrous—use by one party does not diminish availability to others—and non-excludable—</w:t>
      </w:r>
      <w:r>
        <w:t xml:space="preserve">“</w:t>
      </w:r>
      <w:r>
        <w:t xml:space="preserve">the benefits of knowledge cannot be fully captured by the developer of an idea.</w:t>
      </w:r>
      <w:r>
        <w:t xml:space="preserve">”</w:t>
      </w:r>
      <w:r>
        <w:t xml:space="preserve"> </w:t>
      </w:r>
      <w:r>
        <w:t xml:space="preserve">This creates systematic market failure: private actors invest less in idea creation than society would prefer because ideas can be copied. The insight justified both intellectual property protection (to create artificial excludability) and government research funding (to compensate for private underinvestment).</w:t>
      </w:r>
    </w:p>
    <w:p>
      <w:pPr>
        <w:pStyle w:val="BodyText"/>
      </w:pPr>
      <w:r>
        <w:t xml:space="preserve">The Arrow Information Paradox, derived from this work, expresses a fundamental dilemma that remains unresolved and directly relevant to data markets:</w:t>
      </w:r>
      <w:r>
        <w:t xml:space="preserve"> </w:t>
      </w:r>
      <w:r>
        <w:t xml:space="preserve">“</w:t>
      </w:r>
      <w:r>
        <w:t xml:space="preserve">The value for the purchaser is not known</w:t>
      </w:r>
      <w:r>
        <w:t xml:space="preserve">”</w:t>
      </w:r>
      <w:r>
        <w:t xml:space="preserve"> </w:t>
      </w:r>
      <w:r>
        <w:t xml:space="preserve">until the information is revealed, but once disclosed, the buyer has essentially acquired it without compensation. Consider a company offering to sell you a dataset that could transform your business. You want sufficient details to assess whether the data is worth the asking price. But to assess its value, you need to see enough of the data that you have effectively received it. The seller faces an impossible choice: reveal enough to demonstrate value and lose bargaining power, or withhold information and fail to convince buyers. This paradox explains why patent protection exists—the patent document reveals the invention in exchange for legal protection—and why data markets face such severe coordination problems. Arrow’s influence extended through at least four Nobel Prize-winning doctoral students, including Roger Myerson (2007), Eric Maskin (2007), John Harsanyi (1994), and Michael Spence (2001). His 1962 paper remains among the most cited works in innovation economics.</w:t>
      </w:r>
    </w:p>
    <w:p>
      <w:pPr>
        <w:pStyle w:val="BodyText"/>
      </w:pPr>
      <w:r>
        <w:t xml:space="preserve">While Arrow established information’s special properties, George Joseph Stigler (1911-1991) founded information economics as a distinct field. Born in Seattle to Hungarian-Bavarian immigrants, Stigler studied under Frank Knight at the University of Chicago, earning his PhD in 1938. After positions at Iowa State, Minnesota, and Columbia, he returned to Chicago in 1958 as the Charles R. Walgreen Distinguished Service Professor, a position he held until his death. His 1961 paper</w:t>
      </w:r>
      <w:r>
        <w:t xml:space="preserve"> </w:t>
      </w:r>
      <w:r>
        <w:t xml:space="preserve">“</w:t>
      </w:r>
      <w:r>
        <w:t xml:space="preserve">The Economics of Information</w:t>
      </w:r>
      <w:r>
        <w:t xml:space="preserve">”</w:t>
      </w:r>
      <w:r>
        <w:t xml:space="preserve"> </w:t>
      </w:r>
      <w:r>
        <w:t xml:space="preserve">in the Journal of Political Economy has been cited over 4,200 times—a remarkable impact for a twelve-page article. Stigler himself called it his</w:t>
      </w:r>
      <w:r>
        <w:t xml:space="preserve"> </w:t>
      </w:r>
      <w:r>
        <w:t xml:space="preserve">“</w:t>
      </w:r>
      <w:r>
        <w:t xml:space="preserve">most important contribution to economic theory,</w:t>
      </w:r>
      <w:r>
        <w:t xml:space="preserve">”</w:t>
      </w:r>
      <w:r>
        <w:t xml:space="preserve"> </w:t>
      </w:r>
      <w:r>
        <w:t xml:space="preserve">and Milton Friedman, his close friend and colleague, stated that Stigler</w:t>
      </w:r>
      <w:r>
        <w:t xml:space="preserve"> </w:t>
      </w:r>
      <w:r>
        <w:t xml:space="preserve">“</w:t>
      </w:r>
      <w:r>
        <w:t xml:space="preserve">essentially created a new area of study for economists.</w:t>
      </w:r>
      <w:r>
        <w:t xml:space="preserve">”</w:t>
      </w:r>
    </w:p>
    <w:p>
      <w:pPr>
        <w:pStyle w:val="BodyText"/>
      </w:pPr>
      <w:r>
        <w:t xml:space="preserve">The paper’s opening passage captures its revolutionary insight:</w:t>
      </w:r>
      <w:r>
        <w:t xml:space="preserve"> </w:t>
      </w:r>
      <w:r>
        <w:t xml:space="preserve">“</w:t>
      </w:r>
      <w:r>
        <w:t xml:space="preserve">One should hardly have to tell academicians that information is a valuable resource: Knowledge is power. And yet, it occupies a slum dwelling in the town of economics. Mostly it is ignored.</w:t>
      </w:r>
      <w:r>
        <w:t xml:space="preserve">”</w:t>
      </w:r>
      <w:r>
        <w:t xml:space="preserve"> </w:t>
      </w:r>
      <w:r>
        <w:t xml:space="preserve">Before Stigler, economic models assumed perfect information—prices were known, quality was observable, and markets cleared efficiently. This assumption, while mathematically convenient, produced models that systematically missed real-world phenomena. Why do prices for identical goods vary across sellers? Why do buyers comparison shop rather than purchasing immediately? Why do wages differ for equally productive workers? Perfect information models could not answer these questions.</w:t>
      </w:r>
    </w:p>
    <w:p>
      <w:pPr>
        <w:pStyle w:val="BodyText"/>
      </w:pPr>
      <w:r>
        <w:t xml:space="preserve">Stigler demonstrated that information acquisition has costs—time, effort, money—and these costs fundamentally alter market outcomes. His analysis of search behavior showed that rational buyers should continue searching until the expected benefit of one more search equals its cost. Price dispersion, rather than indicating market failure, becomes an equilibrium phenomenon when information is costly to obtain. The 1982 Nobel Prize citation specifically recognized Stigler as</w:t>
      </w:r>
      <w:r>
        <w:t xml:space="preserve"> </w:t>
      </w:r>
      <w:r>
        <w:t xml:space="preserve">“</w:t>
      </w:r>
      <w:r>
        <w:t xml:space="preserve">the founder of</w:t>
      </w:r>
      <w:r>
        <w:t xml:space="preserve"> </w:t>
      </w:r>
      <w:r>
        <w:t xml:space="preserve">‘</w:t>
      </w:r>
      <w:r>
        <w:t xml:space="preserve">economics of information</w:t>
      </w:r>
      <w:r>
        <w:t xml:space="preserve">’</w:t>
      </w:r>
      <w:r>
        <w:t xml:space="preserve">”</w:t>
      </w:r>
      <w:r>
        <w:t xml:space="preserve"> </w:t>
      </w:r>
      <w:r>
        <w:t xml:space="preserve">and acknowledged that his research had</w:t>
      </w:r>
      <w:r>
        <w:t xml:space="preserve"> </w:t>
      </w:r>
      <w:r>
        <w:t xml:space="preserve">“</w:t>
      </w:r>
      <w:r>
        <w:t xml:space="preserve">a great effect on how economists today think of markets and how market prices are determined.</w:t>
      </w:r>
      <w:r>
        <w:t xml:space="preserve">”</w:t>
      </w:r>
      <w:r>
        <w:t xml:space="preserve"> </w:t>
      </w:r>
      <w:r>
        <w:t xml:space="preserve">His work established that information is an economic good with production costs and consumption benefits—the conceptual prerequisite for treating accumulated information as capital.</w:t>
      </w:r>
    </w:p>
    <w:p>
      <w:pPr>
        <w:pStyle w:val="BodyText"/>
      </w:pPr>
      <w:r>
        <w:t xml:space="preserve">Joseph Eugene Stiglitz (born 1943), currently University Professor at Columbia—one of only 25 such appointments at the university—extended information economics to asymmetric information markets. His 2001 Nobel Prize, shared with George Akerlof and Michael Spence, recognized their collective work demonstrating that markets with unequal information distribution behave fundamentally differently than textbook models predict. Akerlof’s famous</w:t>
      </w:r>
      <w:r>
        <w:t xml:space="preserve"> </w:t>
      </w:r>
      <w:r>
        <w:t xml:space="preserve">“</w:t>
      </w:r>
      <w:r>
        <w:t xml:space="preserve">lemons</w:t>
      </w:r>
      <w:r>
        <w:t xml:space="preserve">”</w:t>
      </w:r>
      <w:r>
        <w:t xml:space="preserve"> </w:t>
      </w:r>
      <w:r>
        <w:t xml:space="preserve">paper showed how asymmetric information could cause markets to collapse entirely; Spence’s signaling theory showed how better-informed parties could credibly communicate their type through costly signals like education.</w:t>
      </w:r>
    </w:p>
    <w:p>
      <w:pPr>
        <w:pStyle w:val="BodyText"/>
      </w:pPr>
      <w:r>
        <w:t xml:space="preserve">Stiglitz’s signature contribution is screening theory—the mechanism by which uninformed agents extract private information from better-informed parties. His landmark 1976 paper with Michael Rothschild,</w:t>
      </w:r>
      <w:r>
        <w:t xml:space="preserve"> </w:t>
      </w:r>
      <w:r>
        <w:t xml:space="preserve">“</w:t>
      </w:r>
      <w:r>
        <w:t xml:space="preserve">Equilibrium in Competitive Insurance Markets: An Essay on the Economics of Imperfect Information</w:t>
      </w:r>
      <w:r>
        <w:t xml:space="preserve">”</w:t>
      </w:r>
      <w:r>
        <w:t xml:space="preserve"> </w:t>
      </w:r>
      <w:r>
        <w:t xml:space="preserve">in the Quarterly Journal of Economics, demonstrated how insurance companies (who cannot directly observe individual risk levels) can design menus of contracts that induce self-selection. High-risk individuals, knowing they are likely to file claims, choose high-premium/low-deductible policies; low-risk individuals prefer low-premium/high-deductible options because they expect rarely to need coverage. The menu design extracts information that cannot be directly observed.</w:t>
      </w:r>
    </w:p>
    <w:p>
      <w:pPr>
        <w:pStyle w:val="BodyText"/>
      </w:pPr>
      <w:r>
        <w:t xml:space="preserve">The critical finding—that competitive equilibrium may not exist, and when it does, may have</w:t>
      </w:r>
      <w:r>
        <w:t xml:space="preserve"> </w:t>
      </w:r>
      <w:r>
        <w:t xml:space="preserve">“</w:t>
      </w:r>
      <w:r>
        <w:t xml:space="preserve">strange properties</w:t>
      </w:r>
      <w:r>
        <w:t xml:space="preserve">”</w:t>
      </w:r>
      <w:r>
        <w:t xml:space="preserve">—undermined the fundamental welfare theorems of economics. Classical theory proved that competitive markets produce efficient outcomes; Rothschild and Stiglitz showed that informational asymmetries could prevent markets from reaching any stable equilibrium at all. As they wrote:</w:t>
      </w:r>
      <w:r>
        <w:t xml:space="preserve"> </w:t>
      </w:r>
      <w:r>
        <w:t xml:space="preserve">“</w:t>
      </w:r>
      <w:r>
        <w:t xml:space="preserve">the comforting myth that serious consideration of costs of communication, imperfect knowledge, and the like complicate without informing is false.</w:t>
      </w:r>
      <w:r>
        <w:t xml:space="preserve">”</w:t>
      </w:r>
      <w:r>
        <w:t xml:space="preserve"> </w:t>
      </w:r>
      <w:r>
        <w:t xml:space="preserve">Stiglitz’s work with Sanford Grossman produced another foundational result: if markets were informationally efficient—all information reflected in prices—no one would have incentive to acquire information, which is logically impossible. This Grossman-Stiglitz Paradox explains why markets cannot be perfectly efficient and why information acquisition creates private value.</w:t>
      </w:r>
    </w:p>
    <w:p>
      <w:pPr>
        <w:pStyle w:val="BodyText"/>
      </w:pPr>
      <w:r>
        <w:t xml:space="preserve">The conceptual framework for treating information as capital derives from Irving Fisher (1867-1947), whose 1891 Yale PhD was the first economics doctorate the university ever awarded. Fisher studied under both physicist Josiah Willard Gibbs and economist William Graham Sumner, bringing mathematical rigor to capital theory in ways that remain foundational. His framework, developed in The Nature of Capital and Income (1906) and refined in The Theory of Interest (1930), established the modern definition: capital is any asset that produces a flow of income over time, and the value of capital equals the present value of expected future income flows. This definition makes no distinction between physical and intangible assets—a data repository that generates advertising revenue is as much capital as a factory that produces automobiles. The Fisher framework provides the conceptual architecture for information capital valuation: data assets should be valued by their expected future income streams, discounted to present value. Like physical capital, information capital may depreciate—become obsolete—and requires investment to maintain. The stock-flow distinction between accumulated information (stock) and the productive output it enables (flow) maps directly onto Fisher’s capital-income dichotomy.</w:t>
      </w:r>
    </w:p>
    <w:bookmarkEnd w:id="21"/>
    <w:bookmarkStart w:id="22" w:name="Xcbf82a6794ef4b6c1bc039069fef33dc9989d3a"/>
    <w:p>
      <w:pPr>
        <w:pStyle w:val="Heading3"/>
      </w:pPr>
      <w:r>
        <w:t xml:space="preserve">Information Rules: the economics of the digital economy</w:t>
      </w:r>
    </w:p>
    <w:p>
      <w:pPr>
        <w:pStyle w:val="FirstParagraph"/>
      </w:pPr>
      <w:r>
        <w:t xml:space="preserve">Carl Shapiro and Hal Varian’s Information Rules: A Strategic Guide to the Network Economy, published by Harvard Business School Press in 1999 and cited over 5,100 times, translated academic information economics into a practical framework for the digital age. Shapiro, now Distinguished Professor of the Graduate School at UC Berkeley’s Haas School of Business, served as Deputy Assistant Attorney General for Economics in the Antitrust Division under both President Clinton (1995-1996) and President Obama (2009-2011), and testified as an expert witness in the Microsoft antitrust case. Varian’s career trajectory—from Berkeley professor to founding dean of UC Berkeley’s School of Information to Google’s Chief Economist from 2002 to 2025—exemplifies the practical relevance of information economics theory.</w:t>
      </w:r>
    </w:p>
    <w:p>
      <w:pPr>
        <w:pStyle w:val="BodyText"/>
      </w:pPr>
      <w:r>
        <w:t xml:space="preserve">Their central thesis bears repeating:</w:t>
      </w:r>
      <w:r>
        <w:t xml:space="preserve"> </w:t>
      </w:r>
      <w:r>
        <w:t xml:space="preserve">“</w:t>
      </w:r>
      <w:r>
        <w:t xml:space="preserve">Technology changes. Economic laws do not.</w:t>
      </w:r>
      <w:r>
        <w:t xml:space="preserve">”</w:t>
      </w:r>
      <w:r>
        <w:t xml:space="preserve"> </w:t>
      </w:r>
      <w:r>
        <w:t xml:space="preserve">Information goods—anything that can be digitized—share fundamental economic properties regardless of technological implementation. What was true for newspapers and encyclopedias remains true for software, databases, and AI models. The first property is the high fixed cost, near-zero marginal cost structure. Creating the first copy of software, a database, or a trained AI model requires substantial investment; reproducing it costs essentially nothing. Microsoft spent hundreds of millions developing Windows; each additional copy costs pennies. This cost structure creates natural economies of scale that favor large producers and enables versioning strategies where different customer segments receive differentiated products at different price points—think software editions from</w:t>
      </w:r>
      <w:r>
        <w:t xml:space="preserve"> </w:t>
      </w:r>
      <w:r>
        <w:t xml:space="preserve">“</w:t>
      </w:r>
      <w:r>
        <w:t xml:space="preserve">Home</w:t>
      </w:r>
      <w:r>
        <w:t xml:space="preserve">”</w:t>
      </w:r>
      <w:r>
        <w:t xml:space="preserve"> </w:t>
      </w:r>
      <w:r>
        <w:t xml:space="preserve">to</w:t>
      </w:r>
      <w:r>
        <w:t xml:space="preserve"> </w:t>
      </w:r>
      <w:r>
        <w:t xml:space="preserve">“</w:t>
      </w:r>
      <w:r>
        <w:t xml:space="preserve">Professional</w:t>
      </w:r>
      <w:r>
        <w:t xml:space="preserve">”</w:t>
      </w:r>
      <w:r>
        <w:t xml:space="preserve"> </w:t>
      </w:r>
      <w:r>
        <w:t xml:space="preserve">to</w:t>
      </w:r>
      <w:r>
        <w:t xml:space="preserve"> </w:t>
      </w:r>
      <w:r>
        <w:t xml:space="preserve">“</w:t>
      </w:r>
      <w:r>
        <w:t xml:space="preserve">Enterprise.</w:t>
      </w:r>
      <w:r>
        <w:t xml:space="preserve">”</w:t>
      </w:r>
    </w:p>
    <w:p>
      <w:pPr>
        <w:pStyle w:val="BodyText"/>
      </w:pPr>
      <w:r>
        <w:t xml:space="preserve">The second property involves network effects:</w:t>
      </w:r>
      <w:r>
        <w:t xml:space="preserve"> </w:t>
      </w:r>
      <w:r>
        <w:t xml:space="preserve">“</w:t>
      </w:r>
      <w:r>
        <w:t xml:space="preserve">When the value of a product to one user depends on how many other users there are.</w:t>
      </w:r>
      <w:r>
        <w:t xml:space="preserve">”</w:t>
      </w:r>
      <w:r>
        <w:t xml:space="preserve"> </w:t>
      </w:r>
      <w:r>
        <w:t xml:space="preserve">Communication technologies—telephones, email, social networks—exhibit direct network effects because each additional user makes the network more valuable to all existing users. Platforms like operating systems exhibit indirect network effects through complementary applications: more Windows users attract more software developers, which attracts more users, creating self-reinforcing cycles. Network effects create winner-take-all dynamics where early leaders can establish insurmountable advantages.</w:t>
      </w:r>
    </w:p>
    <w:p>
      <w:pPr>
        <w:pStyle w:val="BodyText"/>
      </w:pPr>
      <w:r>
        <w:t xml:space="preserve">The third property concerns lock-in and switching costs:</w:t>
      </w:r>
      <w:r>
        <w:t xml:space="preserve"> </w:t>
      </w:r>
      <w:r>
        <w:t xml:space="preserve">“</w:t>
      </w:r>
      <w:r>
        <w:t xml:space="preserve">Switching costs are the norm, not the exception, in the information economy.</w:t>
      </w:r>
      <w:r>
        <w:t xml:space="preserve">”</w:t>
      </w:r>
      <w:r>
        <w:t xml:space="preserve"> </w:t>
      </w:r>
      <w:r>
        <w:t xml:space="preserve">Users invest in learning proprietary interfaces, data accumulates in proprietary formats, and complementary assets—trained staff, integrated systems, developed workflows—become tied to specific platforms. These switching costs create customer captivity that information producers can exploit—or that wise buyers can negotiate against at the outset.</w:t>
      </w:r>
    </w:p>
    <w:p>
      <w:pPr>
        <w:pStyle w:val="BodyText"/>
      </w:pPr>
      <w:r>
        <w:t xml:space="preserve">An ironic coda: in September 2023, Varian testified in United States v. Google, the Department of Justice’s antitrust case against his longtime employer. DOJ attorneys revealed internal Google memos instructing employees to avoid terms like</w:t>
      </w:r>
      <w:r>
        <w:t xml:space="preserve"> </w:t>
      </w:r>
      <w:r>
        <w:t xml:space="preserve">“</w:t>
      </w:r>
      <w:r>
        <w:t xml:space="preserve">market share,</w:t>
      </w:r>
      <w:r>
        <w:t xml:space="preserve">”</w:t>
      </w:r>
      <w:r>
        <w:t xml:space="preserve"> </w:t>
      </w:r>
      <w:r>
        <w:t xml:space="preserve">“</w:t>
      </w:r>
      <w:r>
        <w:t xml:space="preserve">network effects,</w:t>
      </w:r>
      <w:r>
        <w:t xml:space="preserve">”</w:t>
      </w:r>
      <w:r>
        <w:t xml:space="preserve"> </w:t>
      </w:r>
      <w:r>
        <w:t xml:space="preserve">“</w:t>
      </w:r>
      <w:r>
        <w:t xml:space="preserve">lock-in,</w:t>
      </w:r>
      <w:r>
        <w:t xml:space="preserve">”</w:t>
      </w:r>
      <w:r>
        <w:t xml:space="preserve"> </w:t>
      </w:r>
      <w:r>
        <w:t xml:space="preserve">and</w:t>
      </w:r>
      <w:r>
        <w:t xml:space="preserve"> </w:t>
      </w:r>
      <w:r>
        <w:t xml:space="preserve">“</w:t>
      </w:r>
      <w:r>
        <w:t xml:space="preserve">bundle</w:t>
      </w:r>
      <w:r>
        <w:t xml:space="preserve">”</w:t>
      </w:r>
      <w:r>
        <w:t xml:space="preserve">—precisely the concepts Information Rules systematically explained. The very vocabulary Varian helped establish to understand information economics became legally sensitive for the company he served. Google lost the case; Judge Amit Mehta ruled in August 2024 that Google had maintained an illegal monopoly in search.</w:t>
      </w:r>
    </w:p>
    <w:bookmarkEnd w:id="22"/>
    <w:bookmarkStart w:id="23" w:name="X74204860746360dae7a31031b5ef6a0424d7639"/>
    <w:p>
      <w:pPr>
        <w:pStyle w:val="Heading3"/>
      </w:pPr>
      <w:r>
        <w:t xml:space="preserve">System dynamics: the mathematical framework for information capital</w:t>
      </w:r>
    </w:p>
    <w:p>
      <w:pPr>
        <w:pStyle w:val="FirstParagraph"/>
      </w:pPr>
      <w:r>
        <w:t xml:space="preserve">The conceptual insights of information economics require mathematical formalization to become operationally useful. System dynamics, developed by Jay Wright Forrester at MIT beginning in the 1950s, provides the stock-flow framework essential for modeling information capital accumulation, transformation, and depreciation.</w:t>
      </w:r>
    </w:p>
    <w:p>
      <w:pPr>
        <w:pStyle w:val="BodyText"/>
      </w:pPr>
      <w:r>
        <w:t xml:space="preserve">Forrester (1918-2016) spent his entire career at MIT, transitioning from electrical engineering—where he developed the magnetic core memory that became standard in computers through the 1970s—to management science in 1956 as Germeshausen Professor at the Sloan School of Management. His 1961 book Industrial Dynamics (MIT Press, 479 pages) established system dynamics as a field and demonstrated how feedback loops, time delays, and stock-flow structures explain organizational behavior that linear thinking misses entirely. The mathematical foundation is elegantly simple. A stock represents an accumulation—of inventory, capital, knowledge, or data—at any point in time. A flow represents the rate of change that increases or decreases stock levels. The fundamental equation: the rate of change in any stock equals inflows minus outflows.</w:t>
      </w:r>
    </w:p>
    <w:p>
      <w:pPr>
        <w:pStyle w:val="BodyText"/>
      </w:pPr>
      <w:r>
        <w:t xml:space="preserve">For information capital, I define three interconnected stocks representing the transformation from raw data to economically productive knowledge:</w:t>
      </w:r>
    </w:p>
    <w:p>
      <w:pPr>
        <w:pStyle w:val="BodyText"/>
      </w:pPr>
      <w:r>
        <w:rPr>
          <w:bCs/>
          <w:b/>
        </w:rPr>
        <w:t xml:space="preserve">Raw Information Stock (I):</w:t>
      </w:r>
      <w:r>
        <w:t xml:space="preserve"> </w:t>
      </w:r>
      <w:r>
        <w:t xml:space="preserve">Unprocessed data flowing in from sensors, transactions, user interactions, and external sources. It accumulates through data acquisition at rate λ, drains through curation at rate α and depreciation at rate δI. The governing equation: dI/dt = λ - (α + δI)·I.</w:t>
      </w:r>
    </w:p>
    <w:p>
      <w:pPr>
        <w:pStyle w:val="BodyText"/>
      </w:pPr>
      <w:r>
        <w:rPr>
          <w:bCs/>
          <w:b/>
        </w:rPr>
        <w:t xml:space="preserve">Curated Knowledge Stock (K):</w:t>
      </w:r>
      <w:r>
        <w:t xml:space="preserve"> </w:t>
      </w:r>
      <w:r>
        <w:t xml:space="preserve">Processed, validated, structured information ready for analysis. It receives inflow from curation of raw information, drains through productization at rate β and depreciation at rate δK. The governing equation: dK/dt = α·I - (β + δK)·K.</w:t>
      </w:r>
    </w:p>
    <w:p>
      <w:pPr>
        <w:pStyle w:val="BodyText"/>
      </w:pPr>
      <w:r>
        <w:rPr>
          <w:bCs/>
          <w:b/>
        </w:rPr>
        <w:t xml:space="preserve">Data Products Stock (P):</w:t>
      </w:r>
      <w:r>
        <w:t xml:space="preserve"> </w:t>
      </w:r>
      <w:r>
        <w:t xml:space="preserve">Economically deployable assets—models, reports, dashboards, recommendations—that directly generate value. It receives inflow from productization of curated knowledge, drains through depreciation at rate δP. The governing equation: dP/dt = β·K - δP·P.</w:t>
      </w:r>
    </w:p>
    <w:p>
      <w:pPr>
        <w:pStyle w:val="BodyText"/>
      </w:pPr>
      <w:r>
        <w:t xml:space="preserve">This three-layer model captures the transformation process while avoiding the DIKW hierarchy’s linear assumptions. The layers interact continuously, with feedback effects possible between them. Raw data depreciates rapidly without curation; curated knowledge loses value as context changes; data products require continuous updating to remain economically relevant. The key insight: each layer has different depreciation dynamics, and the ratios between transformation rates and depreciation rates determine whether information capital accumulates or erodes.</w:t>
      </w:r>
    </w:p>
    <w:p>
      <w:pPr>
        <w:pStyle w:val="BodyText"/>
      </w:pPr>
      <w:r>
        <w:t xml:space="preserve">Calibrating the depreciation parameters (δ) requires empirical evidence on knowledge decay rates. The concept of</w:t>
      </w:r>
      <w:r>
        <w:t xml:space="preserve"> </w:t>
      </w:r>
      <w:r>
        <w:t xml:space="preserve">“</w:t>
      </w:r>
      <w:r>
        <w:t xml:space="preserve">half-life of knowledge</w:t>
      </w:r>
      <w:r>
        <w:t xml:space="preserve">”</w:t>
      </w:r>
      <w:r>
        <w:t xml:space="preserve">—the time for half of domain knowledge to become obsolete—was coined by economist Fritz Machlup in 1962 and has been measured across multiple fields with surprising consistency.</w:t>
      </w:r>
    </w:p>
    <w:p>
      <w:pPr>
        <w:pStyle w:val="BodyText"/>
      </w:pPr>
      <w:r>
        <w:t xml:space="preserve">Medical and scientific knowledge exhibits varying decay rates depending on knowledge type. Hall and Platell’s 1997 study in The Lancet analyzed abstracts from Surgical Gynecology and Obstetrics spanning 1935-1994 and estimated a half-life of 45 years for foundational surgical knowledge, implying annual depreciation around 1.5 percent. Shojania and colleagues’ 2007 analysis of 100 systematic reviews in Annals of Internal Medicine found a much shorter half-life of 5.5 years before clinically important changes occurred—reflecting faster evolution of clinical practice compared to foundational principles. Medical knowledge doubling time has compressed dramatically: from approximately 50 years in 1950 to 7 years by 1980 to 3.5 years by 2010, according to analyses by Densen published in Transactions of the American Clinical and Climatological Association.</w:t>
      </w:r>
    </w:p>
    <w:p>
      <w:pPr>
        <w:pStyle w:val="BodyText"/>
      </w:pPr>
      <w:r>
        <w:t xml:space="preserve">Engineering and technical knowledge depreciates more rapidly. Thomas Jones’s 1966 IEEE paper</w:t>
      </w:r>
      <w:r>
        <w:t xml:space="preserve"> </w:t>
      </w:r>
      <w:r>
        <w:t xml:space="preserve">“</w:t>
      </w:r>
      <w:r>
        <w:t xml:space="preserve">The Dollars and Cents of Continuing Education</w:t>
      </w:r>
      <w:r>
        <w:t xml:space="preserve">”</w:t>
      </w:r>
      <w:r>
        <w:t xml:space="preserve"> </w:t>
      </w:r>
      <w:r>
        <w:t xml:space="preserve">found engineering degrees from the 1920s had a half-life of approximately 35 years, while 1960 engineering degrees had a half-life of only 10 years. By 1991, IEEE estimated general engineering skills at less than 5 years and software engineering at less than 3 years. William Wulf, president of the National Academy of Engineering, stated in 2002 that</w:t>
      </w:r>
      <w:r>
        <w:t xml:space="preserve"> </w:t>
      </w:r>
      <w:r>
        <w:t xml:space="preserve">“</w:t>
      </w:r>
      <w:r>
        <w:t xml:space="preserve">the half-life of engineering knowledge… is from seven to 2½ years.</w:t>
      </w:r>
      <w:r>
        <w:t xml:space="preserve">”</w:t>
      </w:r>
      <w:r>
        <w:t xml:space="preserve"> </w:t>
      </w:r>
      <w:r>
        <w:t xml:space="preserve">Philippe Kruchten’s 2008 analysis in IEEE Software estimated software engineering ideas have a half-life of approximately 5 years based on systematic review of journal content from 20 years earlier.</w:t>
      </w:r>
    </w:p>
    <w:p>
      <w:pPr>
        <w:pStyle w:val="BodyText"/>
      </w:pPr>
      <w:r>
        <w:t xml:space="preserve">Business and marketing data decays fastest of all. Marketing Sherpa and HubSpot research indicates B2B contact data depreciate at 2.1 percent per month—approximately 22.5 percent annually. Physical and mailing addresses become outdated at rates exceeding 40 percent within 12 months. Email addresses decay at 28-37 percent annually. A study of 1,000 business cards found 70.8 percent had one or more changes within 12 months.</w:t>
      </w:r>
    </w:p>
    <w:p>
      <w:pPr>
        <w:pStyle w:val="BodyText"/>
      </w:pPr>
      <w:r>
        <w:rPr>
          <w:bCs/>
          <w:b/>
        </w:rPr>
        <w:t xml:space="preserve">Worked numerical example:</w:t>
      </w:r>
      <w:r>
        <w:t xml:space="preserve"> </w:t>
      </w:r>
      <w:r>
        <w:t xml:space="preserve">Consider an enterprise data operation with the following parameters:</w:t>
      </w:r>
    </w:p>
    <w:p>
      <w:pPr>
        <w:pStyle w:val="BodyText"/>
      </w:pPr>
      <w:r>
        <w:t xml:space="preserve">Initial conditions: Raw information stock 100 TB, Curated knowledge stock 20 TB, Data products stock 5 TB.</w:t>
      </w:r>
    </w:p>
    <w:p>
      <w:pPr>
        <w:pStyle w:val="BodyText"/>
      </w:pPr>
      <w:r>
        <w:t xml:space="preserve">Flow rates: Data acquisition 10 TB/month, Curation rate 15% monthly, Productization rate 25% monthly.</w:t>
      </w:r>
    </w:p>
    <w:p>
      <w:pPr>
        <w:pStyle w:val="BodyText"/>
      </w:pPr>
      <w:r>
        <w:t xml:space="preserve">Depreciation rates: Raw data 5% monthly (B2B contact-like decay), Curated knowledge 2% monthly (slower due to processing investment), Data products 3% monthly (moderate obsolescence).</w:t>
      </w:r>
    </w:p>
    <w:p>
      <w:pPr>
        <w:pStyle w:val="BodyText"/>
      </w:pPr>
      <w:r>
        <w:t xml:space="preserve">At steady state—when inflows equal outflows in each stock—the system stabilizes. Raw information: I* = λ/(α + δI) = 10/(0.15 + 0.05) = 50 TB. Curated knowledge: K* = (α·I</w:t>
      </w:r>
      <w:r>
        <w:rPr>
          <w:iCs/>
          <w:i/>
        </w:rPr>
        <w:t xml:space="preserve">)/(β + δK) = (0.15 × 50)/(0.25 + 0.02) = 27.8 TB. Data products: P</w:t>
      </w:r>
      <w:r>
        <w:t xml:space="preserve"> </w:t>
      </w:r>
      <w:r>
        <w:t xml:space="preserve">= (β·K*)/δP = (0.25 × 27.8)/0.03 = 231.5 TB.</w:t>
      </w:r>
    </w:p>
    <w:p>
      <w:pPr>
        <w:pStyle w:val="BodyText"/>
      </w:pPr>
      <w:r>
        <w:t xml:space="preserve">The key insight: even with rapid data depreciation, consistent acquisition and processing can build substantial data product stocks. The productization layer accumulates more than four times the curated knowledge stock because its depreciation rate (3%) is much lower than the inflow from productization (25% of 27.8 TB = 6.95 TB monthly). This leverage effect—where processed assets accumulate faster than raw inputs—explains why companies with mature data operations possess information capital far exceeding their annual data investment.</w:t>
      </w:r>
    </w:p>
    <w:bookmarkEnd w:id="23"/>
    <w:bookmarkStart w:id="24" w:name="ai-models-as-capital-assets"/>
    <w:p>
      <w:pPr>
        <w:pStyle w:val="Heading3"/>
      </w:pPr>
      <w:r>
        <w:t xml:space="preserve">AI models as capital assets</w:t>
      </w:r>
    </w:p>
    <w:p>
      <w:pPr>
        <w:pStyle w:val="FirstParagraph"/>
      </w:pPr>
      <w:r>
        <w:t xml:space="preserve">The emergence of large-scale AI models requires extending the information capital framework. Trained models represent a distinct category of information capital—neither raw data nor curated knowledge, but algorithmic intelligence that transforms inputs into valuable outputs. I designate this as Layer A.5 to reflect its intermediate position between data assets and fully productized applications.</w:t>
      </w:r>
    </w:p>
    <w:p>
      <w:pPr>
        <w:pStyle w:val="BodyText"/>
      </w:pPr>
      <w:r>
        <w:t xml:space="preserve">The capital investment required to train frontier AI models has grown exponentially. The original Transformer architecture described in</w:t>
      </w:r>
      <w:r>
        <w:t xml:space="preserve"> </w:t>
      </w:r>
      <w:r>
        <w:t xml:space="preserve">“</w:t>
      </w:r>
      <w:r>
        <w:t xml:space="preserve">Attention Is All You Need</w:t>
      </w:r>
      <w:r>
        <w:t xml:space="preserve">”</w:t>
      </w:r>
      <w:r>
        <w:t xml:space="preserve"> </w:t>
      </w:r>
      <w:r>
        <w:t xml:space="preserve">(2017) cost approximately $900 to train. GPT-3, with 175 billion parameters launched in 2020, cost between $500,000 and $4.6 million depending on compute pricing assumptions. GPT-4 in 2023 cost</w:t>
      </w:r>
      <w:r>
        <w:t xml:space="preserve"> </w:t>
      </w:r>
      <w:r>
        <w:t xml:space="preserve">“</w:t>
      </w:r>
      <w:r>
        <w:t xml:space="preserve">more than $100 million</w:t>
      </w:r>
      <w:r>
        <w:t xml:space="preserve">”</w:t>
      </w:r>
      <w:r>
        <w:t xml:space="preserve"> </w:t>
      </w:r>
      <w:r>
        <w:t xml:space="preserve">according to Sam Altman’s public statements. Meta’s Llama 3.1 with 405 billion parameters reportedly cost between $500 million and $1 billion in 2024. Projections for GPT-5 exceed $1 billion, with training runs extending six months or longer. The trajectory suggests roughly tenfold cost increase per model generation.</w:t>
      </w:r>
    </w:p>
    <w:p>
      <w:pPr>
        <w:pStyle w:val="BodyText"/>
      </w:pPr>
      <w:r>
        <w:t xml:space="preserve">Under current accounting standards (US GAAP), these investments are largely expensed immediately rather than capitalized, creating systematic understatement of AI companies’ asset bases. IFRS (IAS 38) permits capitalization of development costs when six criteria are simultaneously met—technical feasibility, intention to complete, ability to use or sell, demonstration of future economic benefits, adequate resources, reliable measurement—but the extended</w:t>
      </w:r>
      <w:r>
        <w:t xml:space="preserve"> </w:t>
      </w:r>
      <w:r>
        <w:t xml:space="preserve">“</w:t>
      </w:r>
      <w:r>
        <w:t xml:space="preserve">research phase</w:t>
      </w:r>
      <w:r>
        <w:t xml:space="preserve">”</w:t>
      </w:r>
      <w:r>
        <w:t xml:space="preserve"> </w:t>
      </w:r>
      <w:r>
        <w:t xml:space="preserve">uncertainty in AI development makes capitalization timing difficult to determine.</w:t>
      </w:r>
    </w:p>
    <w:p>
      <w:pPr>
        <w:pStyle w:val="BodyText"/>
      </w:pPr>
      <w:r>
        <w:t xml:space="preserve">Yet market valuations implicitly recognize model assets as capital. OpenAI’s valuation trajectory illustrates the pattern: $157 billion in October 2024 (Thrive Capital-led round), $300 billion in March 2025 ($40 billion SoftBank-led round—the largest private funding round in history), with secondary market transactions suggesting $500 billion by late 2025. Anthropic has followed a similar trajectory: $18.4 billion in March 2024, $61.5 billion in March 2025, $183 billion by September 2025. These valuations—multiples of reported revenues—cannot be explained without recognizing trained models, accumulated training data, and research capabilities as capital assets.</w:t>
      </w:r>
    </w:p>
    <w:p>
      <w:pPr>
        <w:pStyle w:val="BodyText"/>
      </w:pPr>
      <w:r>
        <w:t xml:space="preserve">AI models depreciate far more rapidly than traditional software assets. OpenAI’s model retirement timeline reveals accelerating obsolescence. GPT-3 variants (text-davinci-003) launched in 2020 were deprecated by January 2024—approximately 3.5 years. GPT-3.5-turbo variants were deprecated within 12 months of release. GPT-4 variants have seen deprecation within 6-12 months of launch. The pattern reveals compressing lifespans: from years to months for major model versions.</w:t>
      </w:r>
    </w:p>
    <w:p>
      <w:pPr>
        <w:pStyle w:val="BodyText"/>
      </w:pPr>
      <w:r>
        <w:t xml:space="preserve">Beyond planned deprecation, models exhibit performance drift. A 2023 Stanford and UC Berkeley study by Chen, Zaharia, and Zou documented significant drift in GPT-3.5 and GPT-4 across multiple tasks over just four months. ChatGPT’s accuracy on prime number identification dropped from 98 percent in March 2023 to under 3 percent by June 2023—a collapse that researchers attributed to optimization changes in the underlying model. A comprehensive Nature study found 91 percent of machine learning models degrade over time due to data drift (training data becoming unrepresentative of current inputs) and concept drift (relationships between inputs and outputs changing in the world).</w:t>
      </w:r>
    </w:p>
    <w:p>
      <w:pPr>
        <w:pStyle w:val="BodyText"/>
      </w:pPr>
      <w:r>
        <w:t xml:space="preserve">Proposed depreciation schedules for AI assets: Frontier large language models, 18-24 month useful life, 50-67% annual depreciation. Production models deployed in specific applications, 2-3 year useful life, 33-50% annual depreciation. Fine-tuned models for specific domains, 1-2 year useful life, 50-100% annual depreciation. Training data, 3-5 year useful life, 20-33% annual depreciation.</w:t>
      </w:r>
    </w:p>
    <w:p>
      <w:pPr>
        <w:pStyle w:val="BodyText"/>
      </w:pPr>
      <w:r>
        <w:t xml:space="preserve">While training costs escalate, inference costs are collapsing at unprecedented rates. The Stanford AI Index 2025 found that inference cost for a system performing at GPT-3.5 level dropped over 280-fold between November 2022 and October 2024. Epoch AI’s March 2025 analysis documented price decline rates of 50-200 times per year depending on task complexity. Andreessen Horowitz termed this phenomenon</w:t>
      </w:r>
      <w:r>
        <w:t xml:space="preserve"> </w:t>
      </w:r>
      <w:r>
        <w:t xml:space="preserve">“</w:t>
      </w:r>
      <w:r>
        <w:t xml:space="preserve">LLMflation</w:t>
      </w:r>
      <w:r>
        <w:t xml:space="preserve">”</w:t>
      </w:r>
      <w:r>
        <w:t xml:space="preserve">—systematic deflation in the cost of AI inference.</w:t>
      </w:r>
    </w:p>
    <w:p>
      <w:pPr>
        <w:pStyle w:val="BodyText"/>
      </w:pPr>
      <w:r>
        <w:t xml:space="preserve">This creates a valuation paradox: models require massive upfront investment but generate diminishing per-query revenue as competition drives inference prices toward marginal cost. OpenAI’s pricing evolution illustrates the trajectory: GPT-3.5 equivalent performance cost approximately $60 per million tokens at launch versus $0.06 per million tokens by late 2024—a 1,000-fold reduction in three years. The capital-intensive nature of model training combined with commodity-like pricing of inference creates a business model more resembling infrastructure investment than traditional software.</w:t>
      </w:r>
    </w:p>
    <w:bookmarkEnd w:id="24"/>
    <w:bookmarkStart w:id="25" w:name="Xf76d2385e782bc17f030659efda8e55a852a879"/>
    <w:p>
      <w:pPr>
        <w:pStyle w:val="Heading3"/>
      </w:pPr>
      <w:r>
        <w:t xml:space="preserve">Alphabet’s invisible empire: a case study in information capital</w:t>
      </w:r>
    </w:p>
    <w:p>
      <w:pPr>
        <w:pStyle w:val="FirstParagraph"/>
      </w:pPr>
      <w:r>
        <w:t xml:space="preserve">Alphabet Inc. provides the definitive illustration of information capital’s scale and invisibility. This case study follows the structure established in Chapter 1’s Nvidia analysis, examining how traditional accounting frameworks systematically understate the company’s asset base.</w:t>
      </w:r>
    </w:p>
    <w:p>
      <w:pPr>
        <w:pStyle w:val="BodyText"/>
      </w:pPr>
      <w:r>
        <w:t xml:space="preserve">Alphabet’s fiscal year 2024 Form 10-K reveals the accounting limitation clearly. Total assets: $450.3 billion. Total liabilities: $125.2 billion. Stockholders’ equity (book value): $325.1 billion. Goodwill from acquisitions: approximately $29-32 billion. Net tangible assets: $293.2 billion. Against a market capitalization of approximately $3.88 trillion as of January 2026, this creates an information capital gap exceeding $3.55 trillion—91.6 percent of the company’s market value consists of unrecorded information capital.</w:t>
      </w:r>
    </w:p>
    <w:p>
      <w:pPr>
        <w:pStyle w:val="BodyText"/>
      </w:pPr>
      <w:r>
        <w:t xml:space="preserve">This 91.6 percent gap—where over nine-tenths of the company’s market value consists of assets that appear nowhere on the balance sheet—results from accounting standards requiring that internally developed intangibles be expensed rather than capitalized. Alphabet’s $49.3 billion in 2024 R&amp;D spending (up from $45.4 billion in 2023 and $39.5 billion in 2022) creates algorithms, models, and knowledge that generate the company’s competitive advantages—yet all of it appears nowhere as assets. The cumulative R&amp;D over five years exceeds $150 billion. Add projected 2025 capital expenditure of $75 billion (up from $52.5 billion in 2024), much of it for AI infrastructure, and the scale of investment in invisible assets becomes staggering.</w:t>
      </w:r>
    </w:p>
    <w:p>
      <w:pPr>
        <w:pStyle w:val="BodyText"/>
      </w:pPr>
      <w:r>
        <w:rPr>
          <w:bCs/>
          <w:b/>
        </w:rPr>
        <w:t xml:space="preserve">Google Search: the crown jewel of information capital.</w:t>
      </w:r>
      <w:r>
        <w:t xml:space="preserve"> </w:t>
      </w:r>
      <w:r>
        <w:t xml:space="preserve">The Google Search index represents one of the largest structured information repositories ever created. During the United States v. Google antitrust trial in 2023, testimony revealed specific figures that illuminate the scale. Google Vice President Pandu Nayak confirmed the index contains approximately 400 billion documents—though some estimates based on earlier Google blog posts suggested the index may be even larger, potentially exceeding 100 petabytes of storage. Google monitors more than 4 billion hostnames daily, checking for new and updated content. The system processes over 5 trillion searches per year—translating to 8.5-16.4 billion queries daily depending on the calculation methodology. Fifteen percent of daily searches are completely new, never-before-seen queries—meaning the system handles hundreds of millions of novel information needs daily.</w:t>
      </w:r>
    </w:p>
    <w:p>
      <w:pPr>
        <w:pStyle w:val="BodyText"/>
      </w:pPr>
      <w:r>
        <w:t xml:space="preserve">The 25-plus years of accumulated search behavior data creates compound competitive advantages through a self-reinforcing data flywheel: more queries generate more behavioral data, which improves ranking algorithms, which attracts more users, which generates more queries. This flywheel represents perhaps the most valuable self-reinforcing information asset in existence—yet its value cannot be estimated from any disclosed financial metric. Unlike Nvidia’s CUDA ecosystem (discussed in Chapter 1), which creates switching costs through developer investment, Google’s search moat derives from the accumulated intelligence embedded in user behavior data that cannot be replicated at any price.</w:t>
      </w:r>
    </w:p>
    <w:p>
      <w:pPr>
        <w:pStyle w:val="BodyText"/>
      </w:pPr>
      <w:r>
        <w:rPr>
          <w:bCs/>
          <w:b/>
        </w:rPr>
        <w:t xml:space="preserve">The Knowledge Graph: structured human knowledge at scale.</w:t>
      </w:r>
      <w:r>
        <w:t xml:space="preserve"> </w:t>
      </w:r>
      <w:r>
        <w:t xml:space="preserve">Google’s Knowledge Graph, launched on May 16, 2012, has grown from 500 million entities and 3.5 billion facts to 54 billion entities and 1.6 trillion facts by May 2024. This represents 220 percent growth in facts and 980 percent growth in entities since 2020—compound annual growth rates that would be remarkable for any asset class. The Knowledge Graph receives approximately 700 million hits per day, powers the knowledge panels that appear in search results, provides instant answers to factual queries, and increasingly serves as the structured grounding layer that reduces AI hallucinations by connecting language model outputs to verified facts.</w:t>
      </w:r>
    </w:p>
    <w:p>
      <w:pPr>
        <w:pStyle w:val="BodyText"/>
      </w:pPr>
      <w:r>
        <w:rPr>
          <w:bCs/>
          <w:b/>
        </w:rPr>
        <w:t xml:space="preserve">YouTube: the world’s video repository.</w:t>
      </w:r>
      <w:r>
        <w:t xml:space="preserve"> </w:t>
      </w:r>
      <w:r>
        <w:t xml:space="preserve">YouTube hosts 5.1 billion videos as of 2024—up from 2.7 billion in 2021 and 800 million in 2016—with more than 500 hours uploaded every minute. Its 2.7 billion monthly active users watch over 1 billion hours of video daily, generating behavioral data that trains recommendation algorithms responsible for driving more than 70 percent of total watch time. YouTube’s 2024 advertising revenue of $36.1 billion (14.6 percent year-over-year growth) represents partial monetization of this data asset, but the platform’s strategic value extends far beyond advertising to include AI training data, cultural influence, and creator ecosystem lock-in.</w:t>
      </w:r>
    </w:p>
    <w:p>
      <w:pPr>
        <w:pStyle w:val="BodyText"/>
      </w:pPr>
      <w:r>
        <w:rPr>
          <w:bCs/>
          <w:b/>
        </w:rPr>
        <w:t xml:space="preserve">Waymo: data as autonomous vehicle capital.</w:t>
      </w:r>
      <w:r>
        <w:t xml:space="preserve"> </w:t>
      </w:r>
      <w:r>
        <w:t xml:space="preserve">Waymo has accumulated more than 127 million rider-only autonomous miles through September 2025—real-world driving data that cannot be replicated through simulation alone. This dataset enables safety performance that Waymo claims is 81-90 percent better than human drivers across various metrics including crashes with injuries and police-reported crashes. The implied valuation from Alphabet’s $5.6 billion funding round in 2024 suggests enterprise value exceeding $45 billion, with the training data representing the primary strategic asset—a classic example of information capital that appears nowhere on the balance sheet.</w:t>
      </w:r>
    </w:p>
    <w:p>
      <w:pPr>
        <w:pStyle w:val="BodyText"/>
      </w:pPr>
      <w:r>
        <w:rPr>
          <w:bCs/>
          <w:b/>
        </w:rPr>
        <w:t xml:space="preserve">DeepMind: from research to Nobel Prize.</w:t>
      </w:r>
      <w:r>
        <w:t xml:space="preserve"> </w:t>
      </w:r>
      <w:r>
        <w:t xml:space="preserve">DeepMind’s AlphaFold database contains 214 million predicted protein structures—a 500-fold expansion from the approximately 380,000 structures in the Protein Data Bank when AlphaFold 2 was released in 2020. The database now covers nearly all catalogued proteins known to science. The 2024 Nobel Prize in Chemistry awarded to Demis Hassabis and John Jumper recognized this contribution, which researchers estimate has potentially saved</w:t>
      </w:r>
      <w:r>
        <w:t xml:space="preserve"> </w:t>
      </w:r>
      <w:r>
        <w:t xml:space="preserve">“</w:t>
      </w:r>
      <w:r>
        <w:t xml:space="preserve">hundreds of millions of years in research time</w:t>
      </w:r>
      <w:r>
        <w:t xml:space="preserve">”</w:t>
      </w:r>
      <w:r>
        <w:t xml:space="preserve"> </w:t>
      </w:r>
      <w:r>
        <w:t xml:space="preserve">by providing structure predictions that would previously have required laborious experimental determination.</w:t>
      </w:r>
    </w:p>
    <w:p>
      <w:pPr>
        <w:pStyle w:val="BodyText"/>
      </w:pPr>
      <w:r>
        <w:t xml:space="preserve">These assets share a common characteristic: they generate enormous economic value, required billions of dollars to create, depreciate without continuous investment—and appear nowhere on any balance sheet. If someone wanted to replicate Alphabet’s tangible assets—buy equivalent land, construct comparable buildings, purchase similar equipment and infrastructure—they could do so for perhaps $100-150 billion. The market says they would still be $3.7 trillion short of recreating the company. That $3.7 trillion gap is information capital.</w:t>
      </w:r>
    </w:p>
    <w:bookmarkEnd w:id="25"/>
    <w:bookmarkStart w:id="26" w:name="Xb6c6c6cdb2bd35d9ef2d68b84f0f6b2b84e037c"/>
    <w:p>
      <w:pPr>
        <w:pStyle w:val="Heading3"/>
      </w:pPr>
      <w:r>
        <w:t xml:space="preserve">Data sovereignty and the institutional deficit</w:t>
      </w:r>
    </w:p>
    <w:p>
      <w:pPr>
        <w:pStyle w:val="FirstParagraph"/>
      </w:pPr>
      <w:r>
        <w:t xml:space="preserve">Chapter 2 established that modern capital markets trace their institutional origins to the 1694 founding of the Bank of England and the prior Dutch financial revolution, where innovations in property rights, governance, and credible commitment made previously untradeable assets liquid and valuable. Data markets today lack comparable institutional infrastructure—explaining why the global data broker market (estimated at $278-323 billion in 2024 by various research firms) remains fragmented and opaque while the data itself comprises trillions in enterprise value.</w:t>
      </w:r>
    </w:p>
    <w:p>
      <w:pPr>
        <w:pStyle w:val="BodyText"/>
      </w:pPr>
      <w:r>
        <w:t xml:space="preserve">The General Data Protection Regulation creates what legal scholars describe as</w:t>
      </w:r>
      <w:r>
        <w:t xml:space="preserve"> </w:t>
      </w:r>
      <w:r>
        <w:t xml:space="preserve">“</w:t>
      </w:r>
      <w:r>
        <w:t xml:space="preserve">proto-property rights</w:t>
      </w:r>
      <w:r>
        <w:t xml:space="preserve">”</w:t>
      </w:r>
      <w:r>
        <w:t xml:space="preserve"> </w:t>
      </w:r>
      <w:r>
        <w:t xml:space="preserve">rather than full property rights in data. Article 20’s data portability rights allow data subjects to receive their personal data</w:t>
      </w:r>
      <w:r>
        <w:t xml:space="preserve"> </w:t>
      </w:r>
      <w:r>
        <w:t xml:space="preserve">“</w:t>
      </w:r>
      <w:r>
        <w:t xml:space="preserve">in a structured, commonly used and machine-readable format</w:t>
      </w:r>
      <w:r>
        <w:t xml:space="preserve">”</w:t>
      </w:r>
      <w:r>
        <w:t xml:space="preserve"> </w:t>
      </w:r>
      <w:r>
        <w:t xml:space="preserve">and transmit it to other controllers—but this represents ownership as control (informational self-determination), not property rights in the traditional civil law sense. True property rights could be transferred, potentially allowing businesses to purchase data rights from individuals. GDPR’s protective intent is precisely the opposite: to prevent such transfers by making data rights inalienable.</w:t>
      </w:r>
    </w:p>
    <w:p>
      <w:pPr>
        <w:pStyle w:val="BodyText"/>
      </w:pPr>
      <w:r>
        <w:t xml:space="preserve">The distinction matters for market development. Property rights that cannot be transferred cannot be traded, and assets that cannot be traded cannot be priced efficiently. GDPR enforcement demonstrates regulatory seriousness without solving the market infrastructure problem: total fines since 2018 have reached €5.88 billion according to DLA Piper’s annual enforcement tracker, including Meta’s €1.2 billion penalty in May 2023—the largest GDPR fine ever imposed. Yet these enforcement actions address privacy violations, not the institutional requirements for functioning data markets.</w:t>
      </w:r>
    </w:p>
    <w:p>
      <w:pPr>
        <w:pStyle w:val="BodyText"/>
      </w:pPr>
      <w:r>
        <w:t xml:space="preserve">China’s</w:t>
      </w:r>
      <w:r>
        <w:t xml:space="preserve"> </w:t>
      </w:r>
      <w:r>
        <w:t xml:space="preserve">“</w:t>
      </w:r>
      <w:r>
        <w:t xml:space="preserve">Interim Regulations on the Accounting Treatment of Enterprise Data Resources,</w:t>
      </w:r>
      <w:r>
        <w:t xml:space="preserve">”</w:t>
      </w:r>
      <w:r>
        <w:t xml:space="preserve"> </w:t>
      </w:r>
      <w:r>
        <w:t xml:space="preserve">effective January 1, 2024, represents the world’s first regulations explicitly allowing data to be recorded as financial assets. Data can be recorded as inventory (current assets) when held for sale in the ordinary course of business, or as intangible assets when used for production or administrative purposes and meeting recognition criteria under Chinese Accounting Standards (substantially similar to IFRS).</w:t>
      </w:r>
    </w:p>
    <w:p>
      <w:pPr>
        <w:pStyle w:val="BodyText"/>
      </w:pPr>
      <w:r>
        <w:t xml:space="preserve">Adoption remains limited: by late 2024, only 55 listed companies and 228 non-listed companies had recorded data assets on balance sheets—a tiny fraction of China’s approximately 60 million registered companies. China Unicom, the first major technology company to adopt the regulations, recorded 204 million yuan (approximately $28 million) in data assets derived from 345 million mobile subscriber records. The experiment enables data financing: Article 440 of China’s Civil Code allows data to be pledged as collateral through</w:t>
      </w:r>
      <w:r>
        <w:t xml:space="preserve"> </w:t>
      </w:r>
      <w:r>
        <w:t xml:space="preserve">“</w:t>
      </w:r>
      <w:r>
        <w:t xml:space="preserve">Data Intellectual Property Registration Certificates.</w:t>
      </w:r>
      <w:r>
        <w:t xml:space="preserve">”</w:t>
      </w:r>
      <w:r>
        <w:t xml:space="preserve"> </w:t>
      </w:r>
      <w:r>
        <w:t xml:space="preserve">Fourteen enterprises in Zhejiang Province obtained RMB 97 million ($13.6 million) through such financing. Yet the small scale suggests China is learning what our historical analysis predicts: accounting recognition alone does not create market liquidity.</w:t>
      </w:r>
    </w:p>
    <w:p>
      <w:pPr>
        <w:pStyle w:val="BodyText"/>
      </w:pPr>
      <w:r>
        <w:t xml:space="preserve">Data markets face the same fundamental problem that pre-modern capital markets faced: no credible commitment mechanism. The North-Weingast thesis, introduced in Chapter 2, argued that seventeenth-century sovereigns could not credibly commit to honoring agreements because they could always renege with impunity—Charles II’s Stop of the Exchequer in 1672 being the paradigmatic example. The 1688 Glorious Revolution and 1694 Bank of England charter created institutional constraints with multiple veto points—Parliamentary control over taxation, independent courts, charter protections—that made commitment credible because reneging became prohibitively costly.</w:t>
      </w:r>
    </w:p>
    <w:p>
      <w:pPr>
        <w:pStyle w:val="BodyText"/>
      </w:pPr>
      <w:r>
        <w:t xml:space="preserve">The parallel to data markets is exact. Historical problem: sovereigns could confiscate wealth without recourse. Data market equivalent: sellers can misrepresent quality without verification. Historical problem: creditors could not verify sovereign commitment to repay. Data equivalent: buyers cannot verify data accuracy before purchase without acquiring the data. Historical problem: no third-party enforcement of sovereign promises. Data equivalent: no data quality intermediary with enforcement power. Historical problem: information asymmetry about sovereign intentions. Data equivalent: information asymmetry about data provenance and consent.</w:t>
      </w:r>
    </w:p>
    <w:p>
      <w:pPr>
        <w:pStyle w:val="BodyText"/>
      </w:pPr>
      <w:r>
        <w:t xml:space="preserve">Why is it so hard to build trust in data markets? Data quality is unverifiable before purchase—you cannot evaluate a dataset without seeing it, but seeing it transfers the value. Once shared, data can be resold or leaked, unlike physical goods that can only be sold once. There is no</w:t>
      </w:r>
      <w:r>
        <w:t xml:space="preserve"> </w:t>
      </w:r>
      <w:r>
        <w:t xml:space="preserve">“</w:t>
      </w:r>
      <w:r>
        <w:t xml:space="preserve">return</w:t>
      </w:r>
      <w:r>
        <w:t xml:space="preserve">”</w:t>
      </w:r>
      <w:r>
        <w:t xml:space="preserve"> </w:t>
      </w:r>
      <w:r>
        <w:t xml:space="preserve">mechanism—you cannot unsee data that turns out to be worthless or worse. Provenance is opaque: buyers cannot verify legal collection, appropriate consent, or absence of synthetic contamination. Derivative works further obscure data lineage through transformations.</w:t>
      </w:r>
    </w:p>
    <w:p>
      <w:pPr>
        <w:pStyle w:val="BodyText"/>
      </w:pPr>
      <w:r>
        <w:t xml:space="preserve">The Dutch East India Company (VOC) created the world’s first functioning equity market through specific institutional innovations that have direct data market parallels—a point that connects our theoretical framework to the historical analysis of Chapter 2.</w:t>
      </w:r>
    </w:p>
    <w:p>
      <w:pPr>
        <w:pStyle w:val="BodyText"/>
      </w:pPr>
      <w:r>
        <w:rPr>
          <w:bCs/>
          <w:b/>
        </w:rPr>
        <w:t xml:space="preserve">Permanent capital structure:</w:t>
      </w:r>
      <w:r>
        <w:t xml:space="preserve"> </w:t>
      </w:r>
      <w:r>
        <w:t xml:space="preserve">Previous trading companies liquidated after each voyage, distributing proceeds and dissolving. The VOC charter of March 20, 1602, established perpetual capital—investors could not withdraw their capital but could sell their shares. This created transferable ownership claims distinct from operating control. The data equivalent: continuous data products with persistent value rather than one-time reports that become obsolete.</w:t>
      </w:r>
    </w:p>
    <w:p>
      <w:pPr>
        <w:pStyle w:val="BodyText"/>
      </w:pPr>
      <w:r>
        <w:rPr>
          <w:bCs/>
          <w:b/>
        </w:rPr>
        <w:t xml:space="preserve">Share registry system:</w:t>
      </w:r>
      <w:r>
        <w:t xml:space="preserve"> </w:t>
      </w:r>
      <w:r>
        <w:t xml:space="preserve">The official register maintained at the Amsterdam East India House recorded all 1,143 original subscribers with their contribution amounts. Ownership transfers required registration with company officials who verified both parties and recorded the transaction. This created verifiable ownership chains eliminating forgery risk. The data equivalent: data provenance registries that establish verifiable ownership chains from collection through every transformation and transfer.</w:t>
      </w:r>
    </w:p>
    <w:p>
      <w:pPr>
        <w:pStyle w:val="BodyText"/>
      </w:pPr>
      <w:r>
        <w:rPr>
          <w:bCs/>
          <w:b/>
        </w:rPr>
        <w:t xml:space="preserve">Secondary market infrastructure:</w:t>
      </w:r>
      <w:r>
        <w:t xml:space="preserve"> </w:t>
      </w:r>
      <w:r>
        <w:t xml:space="preserve">The Hendrick de Keyser Exchange, completed in 1611, provided a purpose-built venue for securities trading with concentrated trading hours—11 AM to noon on weekdays, with some Saturday sessions. Concentration of activity created liquidity and price discovery. The data equivalent: data exchange platforms that concentrate buyers and sellers, enabling price discovery and liquidity.</w:t>
      </w:r>
    </w:p>
    <w:p>
      <w:pPr>
        <w:pStyle w:val="BodyText"/>
      </w:pPr>
      <w:r>
        <w:rPr>
          <w:bCs/>
          <w:b/>
        </w:rPr>
        <w:t xml:space="preserve">Standardization:</w:t>
      </w:r>
      <w:r>
        <w:t xml:space="preserve"> </w:t>
      </w:r>
      <w:r>
        <w:t xml:space="preserve">VOC shares traded at standardized nominal values—500 Flemish pounds or 3,000 florins per share. Standardization enabled comparison and trading across chambers. The data equivalent: common data formats, metadata schemas, and quality metrics that enable comparison across datasets.</w:t>
      </w:r>
    </w:p>
    <w:p>
      <w:pPr>
        <w:pStyle w:val="BodyText"/>
      </w:pPr>
      <w:r>
        <w:rPr>
          <w:bCs/>
          <w:b/>
        </w:rPr>
        <w:t xml:space="preserve">Trusted intermediaries:</w:t>
      </w:r>
      <w:r>
        <w:t xml:space="preserve"> </w:t>
      </w:r>
      <w:r>
        <w:t xml:space="preserve">Brokers emerged to facilitate transactions, verify counterparty reputation, and guarantee settlement. The data equivalent: data quality certifiers providing independent verification that buyers can trust.</w:t>
      </w:r>
    </w:p>
    <w:p>
      <w:pPr>
        <w:pStyle w:val="BodyText"/>
      </w:pPr>
      <w:r>
        <w:t xml:space="preserve">The VOC innovations took more than fifty years to mature—from the 1602 charter through the full development of options, futures, and sophisticated secondary markets by the 1650s and 1660s. Data markets may require similar institutional development time—but the conceptual template exists. The question is not whether information capital can be made tradeable, but when and through what institutional mechanisms. The 1694 thesis suggests that data markets await their own</w:t>
      </w:r>
      <w:r>
        <w:t xml:space="preserve"> </w:t>
      </w:r>
      <w:r>
        <w:t xml:space="preserve">“</w:t>
      </w:r>
      <w:r>
        <w:t xml:space="preserve">Bank of England moment</w:t>
      </w:r>
      <w:r>
        <w:t xml:space="preserve">”</w:t>
      </w:r>
      <w:r>
        <w:t xml:space="preserve">—an institutional innovation that creates credible commitment through multi-stakeholder governance, verified quality standards, and enforced property rights.</w:t>
      </w:r>
    </w:p>
    <w:bookmarkEnd w:id="26"/>
    <w:bookmarkStart w:id="27" w:name="X05d73aeaea24429c4bad6b52513e31a17a19361"/>
    <w:p>
      <w:pPr>
        <w:pStyle w:val="Heading3"/>
      </w:pPr>
      <w:r>
        <w:t xml:space="preserve">Synthesis: toward a theory of information capital</w:t>
      </w:r>
    </w:p>
    <w:p>
      <w:pPr>
        <w:pStyle w:val="FirstParagraph"/>
      </w:pPr>
      <w:r>
        <w:t xml:space="preserve">Information capital—the accumulated stock of data, curated knowledge, algorithmic intelligence, and institutional expertise that generates economic value over time—exhibits distinctive properties that distinguish it from both physical capital and traditional intangible assets like patents and trademarks. Let me summarize what this chapter has established.</w:t>
      </w:r>
    </w:p>
    <w:p>
      <w:pPr>
        <w:pStyle w:val="BodyText"/>
      </w:pPr>
      <w:r>
        <w:t xml:space="preserve">First, information capital is non-rivalrous but depreciates. Unlike physical capital, use by one party does not diminish availability to others—the same dataset can power analyses across thousands of users simultaneously. Yet unlike classical public goods, information capital loses value through obsolescence at rates ranging from 1.5 percent annually for foundational medical knowledge to more than 40 percent for business contact data. This combination creates asset management challenges that current accounting frameworks cannot capture.</w:t>
      </w:r>
    </w:p>
    <w:p>
      <w:pPr>
        <w:pStyle w:val="BodyText"/>
      </w:pPr>
      <w:r>
        <w:t xml:space="preserve">Second, information capital exhibits compound accumulation dynamics through data flywheels. Alphabet’s 25-plus years of search behavior data creates advantages that cannot be replicated even with equivalent investment—each query improves algorithms, attracting more users, generating more queries in a self-reinforcing cycle. This differs fundamentally from physical capital, where diminishing returns eventually constrain growth. The data flywheel creates increasing returns to scale that favor established players.</w:t>
      </w:r>
    </w:p>
    <w:p>
      <w:pPr>
        <w:pStyle w:val="BodyText"/>
      </w:pPr>
      <w:r>
        <w:t xml:space="preserve">Third, information capital requires institutional infrastructure to become tradeable. The Arrow Information Paradox explains why data markets remain institutionally underdeveloped: quality cannot be verified before purchase, creating classic</w:t>
      </w:r>
      <w:r>
        <w:t xml:space="preserve"> </w:t>
      </w:r>
      <w:r>
        <w:t xml:space="preserve">“</w:t>
      </w:r>
      <w:r>
        <w:t xml:space="preserve">lemon market</w:t>
      </w:r>
      <w:r>
        <w:t xml:space="preserve">”</w:t>
      </w:r>
      <w:r>
        <w:t xml:space="preserve"> </w:t>
      </w:r>
      <w:r>
        <w:t xml:space="preserve">dynamics where low-quality data drives out high-quality data. The VOC analogy developed above suggests that data registries, quality certification, standardization, and trusted intermediaries must emerge before liquid data markets become possible—and that this development may take decades rather than years.</w:t>
      </w:r>
    </w:p>
    <w:p>
      <w:pPr>
        <w:pStyle w:val="BodyText"/>
      </w:pPr>
      <w:r>
        <w:t xml:space="preserve">Fourth, current accounting systematically undervalues information-intensive firms. Alphabet’s $3.55 trillion information capital gap—91.6 percent of market value—illustrates the scale of accounting failure. China’s data accounting experiment and IFRS capitalization rules for development costs offer partial solutions, but the fundamental challenge of valuing internally developed information assets remains unresolved. The gap between economic reality and accounting measurement continues to widen.</w:t>
      </w:r>
    </w:p>
    <w:p>
      <w:pPr>
        <w:pStyle w:val="BodyText"/>
      </w:pPr>
      <w:r>
        <w:t xml:space="preserve">Fifth, AI models represent a new category of information capital with distinctive dynamics unlike any traditional asset class. Training costs have grown roughly tenfold per generation—from tens of millions to hundreds of millions to projections exceeding $1 billion—while inference costs collapse 50-200 times annually through competition and optimization. Model useful lives have compressed from years to months. These dynamics require depreciation schedules, investment frameworks, and valuation approaches that accounting and finance have not yet developed.</w:t>
      </w:r>
    </w:p>
    <w:p>
      <w:pPr>
        <w:pStyle w:val="BodyText"/>
      </w:pPr>
      <w:r>
        <w:t xml:space="preserve">The framework developed in this chapter—connecting Irving Fisher’s capital theory, Jay Forrester’s system dynamics, the empirical knowledge half-life literature, and the North-Weingast institutional analysis from Chapter 2—provides the conceptual architecture for understanding information capital’s role in the modern economy. The measurement challenge identified in Chapter 1 ($62.7 trillion in unrecorded intangible value) and the institutional requirements outlined in Chapter 2 (credible commitment, property rights, governance structures) converge here: information capital is simultaneously the most valuable asset class in the economy and the least amenable to current institutional frameworks.</w:t>
      </w:r>
    </w:p>
    <w:p>
      <w:pPr>
        <w:pStyle w:val="BodyText"/>
      </w:pPr>
      <w:r>
        <w:t xml:space="preserve">The implications extend beyond accounting. If over 90 percent of the value of the world’s most valuable companies consists of unrecorded information capital, then our theories of corporate governance, taxation, antitrust, and capital allocation operate on foundations that systematically misrepresent economic reality. Corporate boards governing companies whose primary assets they cannot see. Tax authorities assessing entities whose value they cannot measure. Antitrust regulators evaluating market power in asset classes without defined property rights. Capital allocators making investment decisions based on financial statements that capture single-digit percentages of actual value. Addressing this misrepresentation—through new measurement approaches, accounting standards, and institutional infrastructure—represents one of the central challenges for twenty-first century economic governance.</w:t>
      </w:r>
    </w:p>
    <w:p>
      <w:pPr>
        <w:pStyle w:val="BodyText"/>
      </w:pPr>
      <w:r>
        <w:t xml:space="preserve">The chapters that follow will apply this framework to specific historical case studies. Part II examines the Dutch financial revolution in detail—the emergence of the VOC, the Wisselbank, the Amsterdam Bourse, and the institutional infrastructure that made Dutch commercial supremacy possible. Part III traces the transfer of these innovations to Britain—the Glorious Revolution, the founding of the Bank of England, and the century-long process by which London replaced Amsterdam as the world’s financial center. Part IV considers what these historical cases can teach us about the emergence of data as a new form of capital and the institutional requirements for data markets that function effectively.</w:t>
      </w:r>
    </w:p>
    <w:p>
      <w:pPr>
        <w:pStyle w:val="BodyText"/>
      </w:pPr>
      <w:r>
        <w:t xml:space="preserve">One pattern deserves emphasis as we proceed: the lag between institutional innovation and economic transformation. The Bank of England was founded in 1694, but London definitively replaced Amsterdam as Europe’s financial center only after the disruptions of 1792-1815, more than a century later. The VOC was chartered in 1602, but the Dutch Republic reached its economic apogee only around 1650. Institutional innovations create possibilities; realizing those possibilities requires complementary developments in politics, culture, technology, and social organization that unfold over extended periods. If we are indeed in the</w:t>
      </w:r>
      <w:r>
        <w:t xml:space="preserve"> </w:t>
      </w:r>
      <w:r>
        <w:t xml:space="preserve">“</w:t>
      </w:r>
      <w:r>
        <w:t xml:space="preserve">pre-economics</w:t>
      </w:r>
      <w:r>
        <w:t xml:space="preserve">”</w:t>
      </w:r>
      <w:r>
        <w:t xml:space="preserve"> </w:t>
      </w:r>
      <w:r>
        <w:t xml:space="preserve">phase of the information economy—the phrase I introduced at the end of Chapter 1—this lag suggests that the institutional foundations being established now will shape possibilities for decades to come, regardless of whether their full consequences are yet visible.</w:t>
      </w:r>
    </w:p>
    <w:p>
      <w:pPr>
        <w:pStyle w:val="BodyText"/>
      </w:pPr>
      <w:r>
        <w:t xml:space="preserve">The measurement gap is real. It is widening. And it demands new ways of thinking about what institutions are, how they create value, and how that value might be captured in frameworks adequate to the information economy. We have now defined our object of study. The historical investigation can begin.</w:t>
      </w:r>
    </w:p>
    <w:p>
      <w:r>
        <w:pict>
          <v:rect style="width:0;height:1.5pt" o:hralign="center" o:hrstd="t" o:hr="t"/>
        </w:pict>
      </w:r>
    </w:p>
    <w:p>
      <w:pPr>
        <w:pStyle w:val="FirstParagraph"/>
      </w:pPr>
      <w:r>
        <w:rPr>
          <w:bCs/>
          <w:b/>
        </w:rPr>
        <w:t xml:space="preserve">Word Count: Approximately 9,400 words</w:t>
      </w:r>
    </w:p>
    <w:p>
      <w:pPr>
        <w:pStyle w:val="BodyText"/>
      </w:pPr>
      <w:r>
        <w:rPr>
          <w:bCs/>
          <w:b/>
        </w:rPr>
        <w:t xml:space="preserve">Confidence Assessment Summary</w:t>
      </w:r>
    </w:p>
    <w:p>
      <w:pPr>
        <w:pStyle w:val="BodyText"/>
      </w:pPr>
      <w:r>
        <w:rPr>
          <w:bCs/>
          <w:b/>
        </w:rPr>
        <w:t xml:space="preserve">HIGH CONFIDENCE:</w:t>
      </w:r>
      <w:r>
        <w:t xml:space="preserve"> </w:t>
      </w:r>
      <w:r>
        <w:t xml:space="preserve">DIKW hierarchy scholarly critique and citation counts (verified through Google Scholar and academic databases); Arrow, Stigler, Stiglitz, Fisher biographical details and key paper citations (verified through Nobel Prize archives, university records, and primary sources); Forrester system dynamics framework (foundational MIT textbook); Medical and engineering knowledge half-life figures from peer-reviewed sources (Hall &amp; Platell 1997 Lancet, Shojania 2007 Annals of Internal Medicine, Jones 1966 IEEE, Kruchten 2008 IEEE Software); Alphabet financial statements and market capitalization (SEC 10-K filings); AI training cost estimates (multiple corroborating sources including company statements); GDPR enforcement statistics (DLA Piper annual enforcement tracker); Google Search index size (US v. Google trial testimony).</w:t>
      </w:r>
    </w:p>
    <w:p>
      <w:pPr>
        <w:pStyle w:val="BodyText"/>
      </w:pPr>
      <w:r>
        <w:rPr>
          <w:bCs/>
          <w:b/>
        </w:rPr>
        <w:t xml:space="preserve">MODERATE CONFIDENCE:</w:t>
      </w:r>
      <w:r>
        <w:t xml:space="preserve"> </w:t>
      </w:r>
      <w:r>
        <w:t xml:space="preserve">Business and marketing data decay rates (multiple industry sources but not peer-reviewed); AI model depreciation timelines (based primarily on OpenAI patterns, may not generalize); China data accounting adoption figures (official Ministry of Finance sources but limited independent verification); Data broker market size estimates (significant variance across research firms: $270-323 billion); VOC institutional parallels for data markets (well-documented history but interpretive application to contemporary context).</w:t>
      </w:r>
    </w:p>
    <w:p>
      <w:pPr>
        <w:pStyle w:val="BodyText"/>
      </w:pPr>
      <w:r>
        <w:rPr>
          <w:bCs/>
          <w:b/>
        </w:rPr>
        <w:t xml:space="preserve">LOW CONFIDENCE:</w:t>
      </w:r>
      <w:r>
        <w:t xml:space="preserve"> </w:t>
      </w:r>
      <w:r>
        <w:t xml:space="preserve">GPT-5 projected training costs exceeding $1 billion (industry speculation, not confirmed); Value attribution breakdown for AI company valuations (models vs. talent vs. data); Future depreciation rates for frontier AI models (limited historical data); Whether data trusts can scale to challenge platform dominance (speculative); Timeline for institutional infrastructure development in data markets (inference from historical patterns).</w:t>
      </w:r>
    </w:p>
    <w:p>
      <w:pPr>
        <w:pStyle w:val="BodyText"/>
      </w:pPr>
      <w:r>
        <w:rPr>
          <w:bCs/>
          <w:b/>
        </w:rPr>
        <w:t xml:space="preserve">Key Sources:</w:t>
      </w:r>
      <w:r>
        <w:t xml:space="preserve"> </w:t>
      </w:r>
      <w:r>
        <w:t xml:space="preserve">Russell Ackoff,</w:t>
      </w:r>
      <w:r>
        <w:t xml:space="preserve"> </w:t>
      </w:r>
      <w:r>
        <w:t xml:space="preserve">“</w:t>
      </w:r>
      <w:r>
        <w:t xml:space="preserve">From Data to Wisdom,</w:t>
      </w:r>
      <w:r>
        <w:t xml:space="preserve">”</w:t>
      </w:r>
      <w:r>
        <w:t xml:space="preserve"> </w:t>
      </w:r>
      <w:r>
        <w:t xml:space="preserve">Journal of Applied Systems Analysis 16 (1989); Kenneth Arrow,</w:t>
      </w:r>
      <w:r>
        <w:t xml:space="preserve"> </w:t>
      </w:r>
      <w:r>
        <w:t xml:space="preserve">“</w:t>
      </w:r>
      <w:r>
        <w:t xml:space="preserve">Economic Welfare and the Allocation of Resources for Invention,</w:t>
      </w:r>
      <w:r>
        <w:t xml:space="preserve">”</w:t>
      </w:r>
      <w:r>
        <w:t xml:space="preserve"> </w:t>
      </w:r>
      <w:r>
        <w:t xml:space="preserve">NBER (1962); Martin Frické,</w:t>
      </w:r>
      <w:r>
        <w:t xml:space="preserve"> </w:t>
      </w:r>
      <w:r>
        <w:t xml:space="preserve">“</w:t>
      </w:r>
      <w:r>
        <w:t xml:space="preserve">The Knowledge Pyramid: A Critique of the DIKW Hierarchy,</w:t>
      </w:r>
      <w:r>
        <w:t xml:space="preserve">”</w:t>
      </w:r>
      <w:r>
        <w:t xml:space="preserve"> </w:t>
      </w:r>
      <w:r>
        <w:t xml:space="preserve">Journal of Information Science 35:2 (2009); Irving Fisher, The Nature of Capital and Income (1906) and The Theory of Interest (1930); Jay Wright Forrester, Industrial Dynamics (MIT Press, 1961); Jennifer Rowley,</w:t>
      </w:r>
      <w:r>
        <w:t xml:space="preserve"> </w:t>
      </w:r>
      <w:r>
        <w:t xml:space="preserve">“</w:t>
      </w:r>
      <w:r>
        <w:t xml:space="preserve">The Wisdom Hierarchy,</w:t>
      </w:r>
      <w:r>
        <w:t xml:space="preserve">”</w:t>
      </w:r>
      <w:r>
        <w:t xml:space="preserve"> </w:t>
      </w:r>
      <w:r>
        <w:t xml:space="preserve">Journal of Information Science 33:2 (2007); Carl Shapiro and Hal Varian, Information Rules: A Strategic Guide to the Network Economy (Harvard Business School Press, 1999); George Stigler,</w:t>
      </w:r>
      <w:r>
        <w:t xml:space="preserve"> </w:t>
      </w:r>
      <w:r>
        <w:t xml:space="preserve">“</w:t>
      </w:r>
      <w:r>
        <w:t xml:space="preserve">The Economics of Information,</w:t>
      </w:r>
      <w:r>
        <w:t xml:space="preserve">”</w:t>
      </w:r>
      <w:r>
        <w:t xml:space="preserve"> </w:t>
      </w:r>
      <w:r>
        <w:t xml:space="preserve">Journal of Political Economy 69:3 (1961); Joseph Stiglitz and Michael Rothschild,</w:t>
      </w:r>
      <w:r>
        <w:t xml:space="preserve"> </w:t>
      </w:r>
      <w:r>
        <w:t xml:space="preserve">“</w:t>
      </w:r>
      <w:r>
        <w:t xml:space="preserve">Equilibrium in Competitive Insurance Markets,</w:t>
      </w:r>
      <w:r>
        <w:t xml:space="preserve">”</w:t>
      </w:r>
      <w:r>
        <w:t xml:space="preserve"> </w:t>
      </w:r>
      <w:r>
        <w:t xml:space="preserve">Quarterly Journal of Economics 90:4 (1976); Ilkka Tuomi,</w:t>
      </w:r>
      <w:r>
        <w:t xml:space="preserve"> </w:t>
      </w:r>
      <w:r>
        <w:t xml:space="preserve">“</w:t>
      </w:r>
      <w:r>
        <w:t xml:space="preserve">Data Is More Than Knowledge,</w:t>
      </w:r>
      <w:r>
        <w:t xml:space="preserve">”</w:t>
      </w:r>
      <w:r>
        <w:t xml:space="preserve"> </w:t>
      </w:r>
      <w:r>
        <w:t xml:space="preserve">Journal of Management Information Systems 16:3 (1999); Alphabet Form 10-K FY 2024; US v. Google trial transcripts (2023).</w:t>
      </w:r>
    </w:p>
    <w:p>
      <w:r>
        <w:pict>
          <v:rect style="width:0;height:1.5pt" o:hralign="center" o:hrstd="t" o:hr="t"/>
        </w:pict>
      </w:r>
    </w:p>
    <w:p>
      <w:pPr>
        <w:pStyle w:val="FirstParagraph"/>
      </w:pPr>
      <w:r>
        <w:rPr>
          <w:bCs/>
          <w:b/>
        </w:rPr>
        <w:t xml:space="preserve">Questions for Reflection</w:t>
      </w:r>
    </w:p>
    <w:p>
      <w:pPr>
        <w:pStyle w:val="BodyText"/>
      </w:pPr>
      <w:r>
        <w:t xml:space="preserve">Before proceeding to the historical case studies, consider these diagnostic questions about information capital in your own context:</w:t>
      </w:r>
    </w:p>
    <w:p>
      <w:pPr>
        <w:numPr>
          <w:ilvl w:val="0"/>
          <w:numId w:val="1001"/>
        </w:numPr>
      </w:pPr>
      <w:r>
        <w:t xml:space="preserve">What percentage of your organization’s market value or total worth would you estimate is captured on its balance sheet? Chapter 1 posed this question about the measurement gap broadly; now consider it specifically through the lens of information capital. What data assets, algorithmic capabilities, and institutional knowledge would be lost if your organization were liquidated tomorrow—and how would you quantify that loss?</w:t>
      </w:r>
    </w:p>
    <w:p>
      <w:pPr>
        <w:numPr>
          <w:ilvl w:val="0"/>
          <w:numId w:val="1001"/>
        </w:numPr>
      </w:pPr>
      <w:r>
        <w:t xml:space="preserve">Applying the three-layer system dynamics framework (raw information, curated knowledge, data products), how would you characterize the flows in your organization? Where are the bottlenecks—in acquisition, curation, or productization? What are the depreciation rates at each layer, and are you investing enough to maintain your information capital stocks?</w:t>
      </w:r>
    </w:p>
    <w:p>
      <w:pPr>
        <w:numPr>
          <w:ilvl w:val="0"/>
          <w:numId w:val="1001"/>
        </w:numPr>
      </w:pPr>
      <w:r>
        <w:t xml:space="preserve">The Arrow Information Paradox poses a fundamental challenge for data transactions: buyers cannot assess value without seeing the data, but seeing the data transfers the value. How does your organization navigate this paradox when purchasing external data or selling internal data assets? What trust mechanisms have you developed, and how do they compare to the institutional innovations that enabled early capital markets?</w:t>
      </w:r>
    </w:p>
    <w:p>
      <w:pPr>
        <w:numPr>
          <w:ilvl w:val="0"/>
          <w:numId w:val="1001"/>
        </w:numPr>
      </w:pPr>
      <w:r>
        <w:t xml:space="preserve">AI models depreciate at rates of 50-67% annually according to the analysis presented here. If your organization has invested in AI model development or deployment, how have you accounted for this depreciation in planning? Are you prepared for model lifespans measured in months rather than years?</w:t>
      </w:r>
    </w:p>
    <w:p>
      <w:pPr>
        <w:numPr>
          <w:ilvl w:val="0"/>
          <w:numId w:val="1001"/>
        </w:numPr>
      </w:pPr>
      <w:r>
        <w:t xml:space="preserve">The 1694 thesis holds that financial revolutions are culminations, not causes, of hegemonic transitions—they emerge from prior institutional development rather than creating success independently. If we are in the</w:t>
      </w:r>
      <w:r>
        <w:t xml:space="preserve"> </w:t>
      </w:r>
      <w:r>
        <w:t xml:space="preserve">“</w:t>
      </w:r>
      <w:r>
        <w:t xml:space="preserve">pre-economics</w:t>
      </w:r>
      <w:r>
        <w:t xml:space="preserve">”</w:t>
      </w:r>
      <w:r>
        <w:t xml:space="preserve"> </w:t>
      </w:r>
      <w:r>
        <w:t xml:space="preserve">phase of the information economy, what institutional foundations need to be established before information capital markets can function effectively? What role might your organization play in building those foundations?</w:t>
      </w:r>
    </w:p>
    <w:p>
      <w:pPr>
        <w:pStyle w:val="FirstParagraph"/>
      </w:pPr>
      <w:r>
        <w:t xml:space="preserve">These questions are not rhetorical exercises. They are diagnostic instruments for understanding how information capital operates in your specific context. The historical analysis that follows in Parts II and III will provide concrete examples of how similar challenges were navigated in previous eras of capital market development—examples that may illuminate paths forward for the information economy.</w:t>
      </w:r>
    </w:p>
    <w:p>
      <w:pPr>
        <w:pStyle w:val="BodyText"/>
      </w:pPr>
      <w:r>
        <w:t xml:space="preserve">The chapters that follow will provide detailed case studies that illuminate these patterns. The Dutch Republic’s creation of the VOC, Wisselbank, and Amsterdam Bourse—examined in Part II—demonstrates how institutional innovations emerge from specific historical circumstances and how they create possibilities that take generations to realize. The British inheritance and adaptation of Dutch innovations—traced in Part III—illustrates the mechanisms of institutional transfer and the extended timeline required for financial supremacy to shift between systems. These historical episodes are not merely interesting background; they are empirical data for understanding how capital markets develop and how information capital markets might evolve.</w:t>
      </w:r>
    </w:p>
    <w:p>
      <w:pPr>
        <w:pStyle w:val="BodyText"/>
      </w:pPr>
      <w:r>
        <w:t xml:space="preserve">The framework connecting Fisher’s capital theory (information assets as present value of future income flows), Forrester’s system dynamics (stocks, flows, and depreciation), Stigler’s information economics (search costs and market structure), Arrow’s public goods analysis (non-rivalry and appropriability), and North-Weingast’s institutional economics (credible commitment and property rights) provides analytical tools that the remaining chapters will deploy systematically. Each historical case study will be examined through these lenses, identifying patterns that recur across contexts and anomalies that stress-test the framework’s explanatory power.</w:t>
      </w:r>
    </w:p>
    <w:p>
      <w:pPr>
        <w:pStyle w:val="BodyText"/>
      </w:pPr>
      <w:r>
        <w:t xml:space="preserve">The definition established here—information capital as the accumulated stock of data, curated knowledge, algorithmic intelligence, and institutional expertise that generates economic value over time—will guide the analysis throughout. When we examine how the VOC’s administrative records created competitive advantages, we are examining information capital. When we trace how the Wisselbank’s ledgers enabled trade finance, we are examining information capital. When we analyze how the Bank of England’s credible commitment mechanisms reduced sovereign borrowing costs, we are examining how institutional infrastructure enables information capital to be recognized, valued, and traded.</w:t>
      </w:r>
    </w:p>
    <w:p>
      <w:pPr>
        <w:pStyle w:val="BodyText"/>
      </w:pPr>
      <w:r>
        <w:t xml:space="preserve">The measurement gap persists because we lack the theoretical frameworks, institutional infrastructure, and accounting standards to make information capital visible. This chapter has provided the theoretical frameworks. The chapters that follow will examine historical precedents for the institutional infrastructure. The concluding chapters will consider what paths forward might look like for accounting standards and market development.</w:t>
      </w:r>
    </w:p>
    <w:p>
      <w:pPr>
        <w:pStyle w:val="BodyText"/>
      </w:pPr>
      <w:r>
        <w:t xml:space="preserve">Information capital is real. It is valuable—comprising over 90 percent of what the world’s most valuable companies are worth. It is systematically unmeasured and undermeasured by existing frameworks. Understanding it requires the kind of rigorous, historically grounded analysis that this investigation provides. The foundations have now been established. Let the historical investigation proceed.</w:t>
      </w:r>
    </w:p>
    <w:p>
      <w:pPr>
        <w:pStyle w:val="BodyText"/>
      </w:pPr>
      <w:r>
        <w:t xml:space="preserve">One final observation merits emphasis before we proceed. The scholars profiled in this chapter—Arrow, Stigler, Stiglitz, Fisher, Shapiro, Varian, Forrester—developed their frameworks in eras when information was scarce and costly to obtain. Stigler’s 1961 paper assumed that information search had substantial costs; Arrow’s 1962 analysis assumed that copying information required effort. The digital revolution has not invalidated their insights—technology changes, economic laws do not—but it has compressed timescales and amplified effects. The network effects that Shapiro and Varian documented in 1999 operate at global scale and internet speed. The information asymmetries that Stiglitz analyzed in 1976 persist but manifest differently when platforms intermediate billions of transactions. The system dynamics that Forrester formalized in 1961 now apply to stocks measured in petabytes and flows measured in terabytes per second.</w:t>
      </w:r>
    </w:p>
    <w:p>
      <w:pPr>
        <w:pStyle w:val="BodyText"/>
      </w:pPr>
      <w:r>
        <w:t xml:space="preserve">The urgency of understanding information capital has correspondingly intensified. The $62.7 trillion measurement gap identified in Chapter 1 grows wider each year as the economy becomes more information-intensive and accounting standards remain anchored in industrial-era assumptions. The institutional deficit identified in this chapter creates market failures that distort capital allocation across the global economy. The AI model capital dynamics documented here evolve so rapidly that frameworks developed today may require revision within months.</w:t>
      </w:r>
    </w:p>
    <w:p>
      <w:pPr>
        <w:pStyle w:val="BodyText"/>
      </w:pPr>
      <w:r>
        <w:t xml:space="preserve">History, as Chapter 2 argued, provides one possibility for navigating this uncertainty. Not because the past predicts the future—it does not—but because the patterns of institutional development exhibit regularities that can inform our understanding of challenges we face for the first time. The 1694 thesis holds that financial revolutions are culminations, not causes, of broader transformations. The data revolution will be no different. The institutional foundations must be built before the markets can function. This chapter has specified what we are trying to build those foundations for. Now we must examine how such foundations have been built before.</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2026-01-09T06:18:54Z</dcterms:created>
  <dcterms:modified xsi:type="dcterms:W3CDTF">2026-01-09T06:18:54Z</dcterms:modified>
</cp:coreProperties>
</file>

<file path=docProps/custom.xml><?xml version="1.0" encoding="utf-8"?>
<Properties xmlns="http://schemas.openxmlformats.org/officeDocument/2006/custom-properties" xmlns:vt="http://schemas.openxmlformats.org/officeDocument/2006/docPropsVTypes"/>
</file>