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CHAPTER FOUR</w:t>
      </w:r>
    </w:p>
    <w:p>
      <w:pPr>
        <w:spacing w:before="400" w:after="200"/>
        <w:jc w:val="center"/>
      </w:pPr>
      <w:r>
        <w:rPr>
          <w:rFonts w:ascii="Times New Roman" w:cs="Times New Roman" w:eastAsia="Times New Roman" w:hAnsi="Times New Roman"/>
          <w:b/>
          <w:bCs/>
          <w:sz w:val="28"/>
          <w:szCs w:val="28"/>
        </w:rPr>
        <w:t xml:space="preserve">The Dutch Financial Revolution: When Information Became Infrastructure</w:t>
      </w:r>
    </w:p>
    <w:p>
      <w:pPr>
        <w:spacing w:after="300"/>
        <w:jc w:val="center"/>
      </w:pPr>
      <w:r>
        <w:rPr>
          <w:rFonts w:ascii="Times New Roman" w:cs="Times New Roman" w:eastAsia="Times New Roman" w:hAnsi="Times New Roman"/>
          <w:i/>
          <w:iCs/>
          <w:sz w:val="24"/>
          <w:szCs w:val="24"/>
        </w:rPr>
        <w:t xml:space="preserve">How a Tiny Republic Built the First Information Economy—and Why It Matters for Data Markets Today</w:t>
      </w:r>
    </w:p>
    <w:p>
      <w:pPr>
        <w:spacing w:after="200" w:line="276"/>
      </w:pPr>
      <w:r>
        <w:rPr>
          <w:rFonts w:ascii="Times New Roman" w:cs="Times New Roman" w:eastAsia="Times New Roman" w:hAnsi="Times New Roman"/>
          <w:sz w:val="24"/>
          <w:szCs w:val="24"/>
        </w:rPr>
        <w:t xml:space="preserve">The paradox is difficult to overstate. At the close of the sixteenth century, seven small provinces clustered at the marshy delta of the Rhine, Meuse, and Scheldt rivers embarked on an improbable revolt against the most powerful empire in the world. The Spanish Habsburgs commanded the silver wealth of the Americas, the most formidable infantry in Europe, and dominions stretching from the Philippines to Peru. The Dutch rebels had waterlogged farmland, a population smaller than a single major Spanish city, and no king to rally behind. By 1650, this accidental republic had achieved something unprecedented in human history: the world's first modern economy, with per capita GDP exceeding Britain's by twenty percent, interest rates half those available anywhere else in Europe, and merchant ships comprising half of the continent's total tonnage.</w:t>
      </w:r>
    </w:p>
    <w:p>
      <w:pPr>
        <w:spacing w:after="200" w:line="276"/>
      </w:pPr>
      <w:r>
        <w:rPr>
          <w:rFonts w:ascii="Times New Roman" w:cs="Times New Roman" w:eastAsia="Times New Roman" w:hAnsi="Times New Roman"/>
          <w:sz w:val="24"/>
          <w:szCs w:val="24"/>
        </w:rPr>
        <w:t xml:space="preserve">How did they do it? The conventional answer emphasizes Dutch commercial acumen, Calvinist work ethic, and strategic geography. These factors mattered, but they miss the deeper transformation. What the Dutch actually built—and what made their Golden Age possible—was history's first systematic infrastructure for capturing, processing, and monetizing information. The postal networks that connected Amsterdam to Venice in eight days. The price currents that published commodity quotations across European markets. The corporate structures that aggregated knowledge from thousands of investors and dozens of trading posts spanning three continents. The banking innovations that encoded trust into transferable instruments. Before the Dutch could trade goods efficiently, they had to solve the information problems that plagued medieval commerce: how do you know what prices prevail in distant markets? How do you verify that a distant trading partner is creditworthy? How do you coordinate investment across thousands of shareholders who will never meet? How do you create contracts that remain enforceable across jurisdictions and decades?</w:t>
      </w:r>
    </w:p>
    <w:p>
      <w:pPr>
        <w:spacing w:after="200" w:line="276"/>
      </w:pPr>
      <w:r>
        <w:rPr>
          <w:rFonts w:ascii="Times New Roman" w:cs="Times New Roman" w:eastAsia="Times New Roman" w:hAnsi="Times New Roman"/>
          <w:sz w:val="24"/>
          <w:szCs w:val="24"/>
        </w:rPr>
        <w:t xml:space="preserve">These are information problems. The Dutch solved them through institutional innovations that, viewed through the lens of information capital theory developed in Chapter 3, constitute history's first coherent framework for transforming raw data into curated knowledge into tradeable products. The Amsterdam Wisselbank processed monetary information. The VOC processed commercial intelligence. The Amsterdam Bourse processed price signals. Together, they created an information architecture that enabled the Dutch to dominate European trade for over a century—and to transfer that architecture to Britain when geographic constraints prevented further Dutch expansion. Understanding how this system worked, what made it revolutionary, and why it ultimately ossified reveals patterns directly applicable to modern data markets.</w:t>
      </w:r>
    </w:p>
    <w:p>
      <w:pPr>
        <w:spacing w:after="200" w:line="276"/>
      </w:pPr>
      <w:r>
        <w:rPr>
          <w:rFonts w:ascii="Times New Roman" w:cs="Times New Roman" w:eastAsia="Times New Roman" w:hAnsi="Times New Roman"/>
          <w:sz w:val="24"/>
          <w:szCs w:val="24"/>
        </w:rPr>
        <w:t xml:space="preserve">This chapter examines the Dutch financial revolution not as a curiosity of early modern history but as empirical evidence for the theoretical framework established in Chapter 3. The system dynamics model—with its distinction between raw information stocks, curated knowledge flows, and productized outputs—finds concrete historical expression in Dutch institutions. The Arrow Information Paradox—how can buyers value information without seeing it, when seeing it transfers the value?—was solved through institutional mechanisms that created credible commitment without disclosure. The 1694 thesis introduced in Chapter 2—that financial revolutions are culminations rather than causes of hegemonic transitions—receives its most rigorous validation in the Dutch-to-British transfer. The Bank of England was not an independent British invention; it was Dutch institutional DNA transplanted into British soil.</w:t>
      </w:r>
    </w:p>
    <w:p>
      <w:pPr>
        <w:pStyle w:val="Heading2"/>
        <w:spacing w:before="400" w:after="200"/>
      </w:pPr>
      <w:r>
        <w:rPr>
          <w:rFonts w:ascii="Times New Roman" w:cs="Times New Roman" w:eastAsia="Times New Roman" w:hAnsi="Times New Roman"/>
          <w:b/>
          <w:bCs/>
          <w:sz w:val="26"/>
          <w:szCs w:val="26"/>
        </w:rPr>
        <w:t xml:space="preserve">4.1 The Information Architecture of Empire</w:t>
      </w:r>
    </w:p>
    <w:p>
      <w:pPr>
        <w:spacing w:after="200" w:line="276"/>
      </w:pPr>
      <w:r>
        <w:rPr>
          <w:rFonts w:ascii="Times New Roman" w:cs="Times New Roman" w:eastAsia="Times New Roman" w:hAnsi="Times New Roman"/>
          <w:sz w:val="24"/>
          <w:szCs w:val="24"/>
        </w:rPr>
        <w:t xml:space="preserve">To understand what the Dutch built, consider what they inherited. Medieval commerce operated on information scarcity and radical uncertainty. A Florentine merchant sending cloth to Alexandria in 1400 faced months of delay before learning whether his shipment arrived, whether the market price justified the voyage, and whether his agent had cheated him. News traveled at the speed of horses or ships. Prices were local, opaque, and manipulable. Credit depended on personal reputation within tight-knit communities. International trade required either physical presence or agents whose reliability could never be fully verified—the principal-agent problem in its most acute form.</w:t>
      </w:r>
    </w:p>
    <w:p>
      <w:pPr>
        <w:spacing w:after="200" w:line="276"/>
      </w:pPr>
      <w:r>
        <w:rPr>
          <w:rFonts w:ascii="Times New Roman" w:cs="Times New Roman" w:eastAsia="Times New Roman" w:hAnsi="Times New Roman"/>
          <w:sz w:val="24"/>
          <w:szCs w:val="24"/>
        </w:rPr>
        <w:t xml:space="preserve">The Dutch transformed this environment through systematic investment in what we would now call information infrastructure. Three innovations proved decisive: postal networks that accelerated and regularized information flow; price currents that codified market knowledge into standardized, publishable form; and institutions that accumulated and processed commercial intelligence from diverse sources.</w:t>
      </w:r>
    </w:p>
    <w:p>
      <w:pPr>
        <w:spacing w:after="200" w:line="276"/>
      </w:pPr>
      <w:r>
        <w:rPr>
          <w:rFonts w:ascii="Times New Roman" w:cs="Times New Roman" w:eastAsia="Times New Roman" w:hAnsi="Times New Roman"/>
          <w:sz w:val="24"/>
          <w:szCs w:val="24"/>
        </w:rPr>
        <w:t xml:space="preserve">The postal system exemplifies how infrastructure investment creates information capital. Amsterdam merchants could communicate with Venice in eight to ten days by the 1620s, with Hamburg in four days, with Paris in five. This was not just faster than medieval alternatives; it was more reliable and more frequent. Regular departure schedules allowed coordination of correspondence. Standardized routes reduced uncertainty about delivery times. The system operated not just for government communication but for commercial correspondence—a critical distinction from postal systems in more autocratic states. By 1650, Amsterdam had become the central node in Europe's commercial information network, processing correspondence from London to Constantinople.</w:t>
      </w:r>
    </w:p>
    <w:p>
      <w:pPr>
        <w:spacing w:after="200" w:line="276"/>
      </w:pPr>
      <w:r>
        <w:rPr>
          <w:rFonts w:ascii="Times New Roman" w:cs="Times New Roman" w:eastAsia="Times New Roman" w:hAnsi="Times New Roman"/>
          <w:sz w:val="24"/>
          <w:szCs w:val="24"/>
        </w:rPr>
        <w:t xml:space="preserve">Price currents—published lists of commodity prices—represented perhaps the most significant information innovation. Amsterdam's price currents, published regularly from the early seventeenth century, reported quotations for hundreds of commodities: pepper from the Indies, sugar from Brazil, grain from the Baltic, cloth from England, wine from France. These were not simply curiosities; they were essential infrastructure for market coordination. A merchant in Hamburg could consult Amsterdam's price currents and determine whether to ship grain north or south. An investor in London could assess whether VOC shares were fairly valued. The price currents transformed information that was previously private, local, and hoarded into information that was public, international, and shared.</w:t>
      </w:r>
    </w:p>
    <w:p>
      <w:pPr>
        <w:spacing w:after="200" w:line="276"/>
      </w:pPr>
      <w:r>
        <w:rPr>
          <w:rFonts w:ascii="Times New Roman" w:cs="Times New Roman" w:eastAsia="Times New Roman" w:hAnsi="Times New Roman"/>
          <w:sz w:val="24"/>
          <w:szCs w:val="24"/>
        </w:rPr>
        <w:t xml:space="preserve">Why did this matter economically? Consider the Arrow Information Paradox discussed in Chapter 3: buyers cannot assess information's value without seeing it, but seeing it transfers the value. Price currents solved this problem through publication. Once prices were public, no one could extract monopoly rents from asymmetric information—but everyone benefited from the coordination effects. Dutch merchants gained not by hoarding price information but by creating markets where accurate prices prevailed. Their competitive advantage came not from information asymmetry but from information infrastructure: they knew prices first, processed the implications faster, and acted before competitors could respond.</w:t>
      </w:r>
    </w:p>
    <w:p>
      <w:pPr>
        <w:spacing w:after="200" w:line="276"/>
      </w:pPr>
      <w:r>
        <w:rPr>
          <w:rFonts w:ascii="Times New Roman" w:cs="Times New Roman" w:eastAsia="Times New Roman" w:hAnsi="Times New Roman"/>
          <w:sz w:val="24"/>
          <w:szCs w:val="24"/>
        </w:rPr>
        <w:t xml:space="preserve">The refugee influx amplified these effects. The Fall of Antwerp on August 17, 1585 triggered the most consequential forced migration in early modern European history. Antwerp's population collapsed from an estimated 80,000-100,000 to between 40,000 and 42,000 by 1589 as Protestant merchants, craftsmen, and intellectuals fled northward. By 1600, forty percent of Amsterdam's population were immigrants, mainly from Antwerp. These refugees brought not just skills and capital but knowledge: commercial networks spanning the Mediterranean and Atlantic, technical expertise in textile production and diamond cutting, and institutional knowledge of how sophisticated commercial operations functioned.</w:t>
      </w:r>
    </w:p>
    <w:p>
      <w:pPr>
        <w:spacing w:after="200" w:line="276"/>
      </w:pPr>
      <w:r>
        <w:rPr>
          <w:rFonts w:ascii="Times New Roman" w:cs="Times New Roman" w:eastAsia="Times New Roman" w:hAnsi="Times New Roman"/>
          <w:sz w:val="24"/>
          <w:szCs w:val="24"/>
        </w:rPr>
        <w:t xml:space="preserve">The demographic statistics are striking. Amsterdam's population exploded from 30,000 in 1565 to 50,000 in 1600 to 175,000 by 1650. By that year, Holland's dozen towns held approximately 500,000 people—exceeding London's 400,000 or Paris's 430,000. The province achieved 59 percent urbanization by 1622, the highest rate in European history before the Industrial Revolution. This concentration created network effects: more merchants meant more information, more information meant better prices, better prices attracted more merchants. The virtuous cycle reinforced itself.</w:t>
      </w:r>
    </w:p>
    <w:p>
      <w:pPr>
        <w:spacing w:after="200" w:line="276"/>
      </w:pPr>
      <w:r>
        <w:rPr>
          <w:rFonts w:ascii="Times New Roman" w:cs="Times New Roman" w:eastAsia="Times New Roman" w:hAnsi="Times New Roman"/>
          <w:sz w:val="24"/>
          <w:szCs w:val="24"/>
        </w:rPr>
        <w:t xml:space="preserve">Religious tolerance—specifically the pragmatic pluralism established in the Union of Utrecht's Article XIII—proved essential for information accumulation. The article declared that "each person shall remain free in his religion and that no one shall be investigated or persecuted because of his religion." Catholics were officially banned but worship was tolerated privately. This pragmatic pluralism attracted commercial talent regardless of confession—Mennonite pacifists, Sephardic Jews, and later Huguenots all contributed to Dutch commercial success. The Sephardic Jews illustrate the pattern: from approximately 200 individuals with two synagogues in 1609, the community grew to 5,000 by 1675. They dominated specific trades—silk, tobacco, sugar refining, diamond cutting, colonial West Indies commerce—and became VOC shareholders, contributing specialized knowledge of Iberian commercial networks.</w:t>
      </w:r>
    </w:p>
    <w:p>
      <w:pPr>
        <w:spacing w:after="200" w:line="276"/>
      </w:pPr>
      <w:r>
        <w:rPr>
          <w:rFonts w:ascii="Times New Roman" w:cs="Times New Roman" w:eastAsia="Times New Roman" w:hAnsi="Times New Roman"/>
          <w:sz w:val="24"/>
          <w:szCs w:val="24"/>
        </w:rPr>
        <w:t xml:space="preserve">The contrast with Spanish policy is instructive. While the Dutch welcomed heterodox refugees and their knowledge, the Spanish expelled Jews in 1492 and Moriscos in 1609, enforced religious conformity through the Inquisition, and valued limpieza de sangre over commercial competence. The Spanish model optimized for ideological purity; the Dutch model optimized for information accumulation. The outcomes diverged accordingly.</w:t>
      </w:r>
    </w:p>
    <w:p>
      <w:pPr>
        <w:pStyle w:val="Heading2"/>
        <w:spacing w:before="400" w:after="200"/>
      </w:pPr>
      <w:r>
        <w:rPr>
          <w:rFonts w:ascii="Times New Roman" w:cs="Times New Roman" w:eastAsia="Times New Roman" w:hAnsi="Times New Roman"/>
          <w:b/>
          <w:bCs/>
          <w:sz w:val="26"/>
          <w:szCs w:val="26"/>
        </w:rPr>
        <w:t xml:space="preserve">4.2 The Amsterdam Wisselbank: Prototype of Institutional Trust</w:t>
      </w:r>
    </w:p>
    <w:p>
      <w:pPr>
        <w:spacing w:after="200" w:line="276"/>
      </w:pPr>
      <w:r>
        <w:rPr>
          <w:rFonts w:ascii="Times New Roman" w:cs="Times New Roman" w:eastAsia="Times New Roman" w:hAnsi="Times New Roman"/>
          <w:sz w:val="24"/>
          <w:szCs w:val="24"/>
        </w:rPr>
        <w:t xml:space="preserve">On January 31, 1609, the city of Amsterdam established an institution that would transform European finance: the Wisselbank, or Exchange Bank. The founding was driven by a specific problem—the chaos of circulating currencies in a major trading city. Merchants arriving in Amsterdam encountered coins from dozens of mints, each with different metal content, each subject to clipping and counterfeiting, each requiring assessment by experts who might themselves be unreliable. Transaction costs were enormous. Disputes over currency quality consumed court time and merchant attention. The existing system taxed every commercial exchange with uncertainty.</w:t>
      </w:r>
    </w:p>
    <w:p>
      <w:pPr>
        <w:spacing w:after="200" w:line="276"/>
      </w:pPr>
      <w:r>
        <w:rPr>
          <w:rFonts w:ascii="Times New Roman" w:cs="Times New Roman" w:eastAsia="Times New Roman" w:hAnsi="Times New Roman"/>
          <w:sz w:val="24"/>
          <w:szCs w:val="24"/>
        </w:rPr>
        <w:t xml:space="preserve">The Wisselbank solved this problem through institutional design that encoded trust into transferable form. The Bank accepted deposits of various currencies, assayed their actual metal content, and credited depositors in standardized "bank guilders" of specified purity. Thereafter, large commercial transactions—those above 600 guilders—had to be settled through Wisselbank accounts. Physical currency stayed in the vault; what moved were ledger entries. The system was, in essence, information processing: the Bank transformed unreliable claims about currency value into reliable claims backed by institutional verification.</w:t>
      </w:r>
    </w:p>
    <w:p>
      <w:pPr>
        <w:spacing w:after="200" w:line="276"/>
      </w:pPr>
      <w:r>
        <w:rPr>
          <w:rFonts w:ascii="Times New Roman" w:cs="Times New Roman" w:eastAsia="Times New Roman" w:hAnsi="Times New Roman"/>
          <w:sz w:val="24"/>
          <w:szCs w:val="24"/>
        </w:rPr>
        <w:t xml:space="preserve">This description may sound mundane—a public assay office with accounting capabilities. But the implications were revolutionary. Consider what the Wisselbank accomplished from an information capital perspective. First, it created a canonical data product: the bank guilder. Everyone knew what a bank guilder was worth because the Wisselbank guaranteed its metal backing. This standardization eliminated the information costs of currency assessment. Second, the Bank created an information clearing system: the giro network. Merchants could transfer claims on the Bank without moving physical currency, and the Bank's ledgers recorded every transaction. Third, the Bank created credible commitment: the City of Amsterdam guaranteed deposits, and the Bank's reputation for maintaining near-100 percent reserves earned praise from skeptics including David Hume and Adam Smith.</w:t>
      </w:r>
    </w:p>
    <w:p>
      <w:pPr>
        <w:spacing w:after="200" w:line="276"/>
      </w:pPr>
      <w:r>
        <w:rPr>
          <w:rFonts w:ascii="Times New Roman" w:cs="Times New Roman" w:eastAsia="Times New Roman" w:hAnsi="Times New Roman"/>
          <w:sz w:val="24"/>
          <w:szCs w:val="24"/>
        </w:rPr>
        <w:t xml:space="preserve">The growth trajectory demonstrates the value created. Deposits grew from approximately 1 million guilders in the early 1610s to 8 million by the 1640s. By the 1680s, deposits exceeded 15 million guilders. The Bank became essential infrastructure for European trade—transactions between merchants in London, Hamburg, and Venice cleared through Amsterdam because the Wisselbank's claims were more reliable than any alternative.</w:t>
      </w:r>
    </w:p>
    <w:p>
      <w:pPr>
        <w:spacing w:after="200" w:line="276"/>
      </w:pPr>
      <w:r>
        <w:rPr>
          <w:rFonts w:ascii="Times New Roman" w:cs="Times New Roman" w:eastAsia="Times New Roman" w:hAnsi="Times New Roman"/>
          <w:sz w:val="24"/>
          <w:szCs w:val="24"/>
        </w:rPr>
        <w:t xml:space="preserve">Here the parallel to modern data infrastructure becomes explicit. The Wisselbank was, in contemporary terms, a trust layer for commercial transactions. It solved the information verification problem through institutional design: rigorous assay procedures, public ledgers (available to depositors), city guarantee, and a reputation for conservative management that accumulated over decades. This institutional infrastructure enabled transactions that would otherwise have been impossible or prohibitively costly.</w:t>
      </w:r>
    </w:p>
    <w:p>
      <w:pPr>
        <w:spacing w:after="200" w:line="276"/>
      </w:pPr>
      <w:r>
        <w:rPr>
          <w:rFonts w:ascii="Times New Roman" w:cs="Times New Roman" w:eastAsia="Times New Roman" w:hAnsi="Times New Roman"/>
          <w:sz w:val="24"/>
          <w:szCs w:val="24"/>
        </w:rPr>
        <w:t xml:space="preserve">The Bank's conservatism was deliberate and distinctive. Unlike later central banks—including the Bank of England modeled on Wisselbank principles—the Amsterdam institution was prohibited from lending and for most of its history did not issue banknotes. Money in the Wisselbank simply sat there, earning no interest, backed one-to-one by metal. This seems inefficient, and from a purely financial perspective it was. But the inefficiency purchased something valuable: credibility. Because everyone knew the Wisselbank did not lend, everyone knew that depositors' claims would be honored. The Bank's constraint became its competitive advantage.</w:t>
      </w:r>
    </w:p>
    <w:p>
      <w:pPr>
        <w:spacing w:after="200" w:line="276"/>
      </w:pPr>
      <w:r>
        <w:rPr>
          <w:rFonts w:ascii="Times New Roman" w:cs="Times New Roman" w:eastAsia="Times New Roman" w:hAnsi="Times New Roman"/>
          <w:sz w:val="24"/>
          <w:szCs w:val="24"/>
        </w:rPr>
        <w:t xml:space="preserve">The arrangement created what North and Weingast call "credible commitment"—the ability to make binding promises that counterparties believe. The Wisselbank's design incorporated multiple commitment mechanisms: the City of Amsterdam's guarantee created municipal liability; the prohibition on lending eliminated the risk of bad loans depleting reserves; the requirement that large transactions clear through the Bank gave the institution continuous information flow about commercial activity; and the Bank's longevity—it operated for over 180 years—accumulated reputational capital that reinforced credibility.</w:t>
      </w:r>
    </w:p>
    <w:p>
      <w:pPr>
        <w:spacing w:after="200" w:line="276"/>
      </w:pPr>
      <w:r>
        <w:rPr>
          <w:rFonts w:ascii="Times New Roman" w:cs="Times New Roman" w:eastAsia="Times New Roman" w:hAnsi="Times New Roman"/>
          <w:sz w:val="24"/>
          <w:szCs w:val="24"/>
        </w:rPr>
        <w:t xml:space="preserve">Interest rates reveal the economic value of this credibility. Dutch government borrowing rates fell from high wartime levels in the 1590s to 8.3 percent by 1597, to 5 percent by 1640, to 4 percent by 1665. By the eighteenth century, Holland could borrow at 2.5 to 3 percent—rates less than half those available to any other European state. The economist Joyce Appleby observed that Dutch rates were "less than half those available elsewhere." This interest rate advantage was worth billions in modern terms; it enabled the Dutch to outspend rivals in naval construction, colonial expansion, and war finance while maintaining lower tax burdens on productive activity.</w:t>
      </w:r>
    </w:p>
    <w:p>
      <w:pPr>
        <w:spacing w:after="200" w:line="276"/>
      </w:pPr>
      <w:r>
        <w:rPr>
          <w:rFonts w:ascii="Times New Roman" w:cs="Times New Roman" w:eastAsia="Times New Roman" w:hAnsi="Times New Roman"/>
          <w:sz w:val="24"/>
          <w:szCs w:val="24"/>
        </w:rPr>
        <w:t xml:space="preserve">The Wisselbank's collapse reveals equally important lessons. During the Fourth Anglo-Dutch War (1780-1784), the Bank secretly extended massive loans to the failing VOC—loans that violated its fundamental principle of 100 percent reserve backing. Metal backing collapsed from 97 percent to 28 percent in just four years. When the secret emerged, the Bank's credibility—accumulated over 170 years—evaporated almost overnight. The institution struggled on until 1820 but never recovered its central role in European finance.</w:t>
      </w:r>
    </w:p>
    <w:p>
      <w:pPr>
        <w:spacing w:after="200" w:line="276"/>
      </w:pPr>
      <w:r>
        <w:rPr>
          <w:rFonts w:ascii="Times New Roman" w:cs="Times New Roman" w:eastAsia="Times New Roman" w:hAnsi="Times New Roman"/>
          <w:sz w:val="24"/>
          <w:szCs w:val="24"/>
        </w:rPr>
        <w:t xml:space="preserve">This collapse trajectory has direct implications for information capital theory. The Wisselbank's value derived almost entirely from institutional trust, which was itself information: the accumulated knowledge that the Bank honored its commitments. When that information updated—when depositors learned the reserves had been depleted—the Bank's value collapsed even though the physical assets had not been destroyed. The metal was still there; the trust was not. Information capital, once lost, cannot be restored simply by restoring physical conditions.</w:t>
      </w:r>
    </w:p>
    <w:p>
      <w:pPr>
        <w:pStyle w:val="Heading2"/>
        <w:spacing w:before="400" w:after="200"/>
      </w:pPr>
      <w:r>
        <w:rPr>
          <w:rFonts w:ascii="Times New Roman" w:cs="Times New Roman" w:eastAsia="Times New Roman" w:hAnsi="Times New Roman"/>
          <w:b/>
          <w:bCs/>
          <w:sz w:val="26"/>
          <w:szCs w:val="26"/>
        </w:rPr>
        <w:t xml:space="preserve">4.3 The VOC: Information Capital in Corporate Form</w:t>
      </w:r>
    </w:p>
    <w:p>
      <w:pPr>
        <w:spacing w:after="200" w:line="276"/>
      </w:pPr>
      <w:r>
        <w:rPr>
          <w:rFonts w:ascii="Times New Roman" w:cs="Times New Roman" w:eastAsia="Times New Roman" w:hAnsi="Times New Roman"/>
          <w:sz w:val="24"/>
          <w:szCs w:val="24"/>
        </w:rPr>
        <w:t xml:space="preserve">The Vereenigde Oost-Indische Compagnie—the Dutch East India Company, known universally as the VOC—has been called many things: the first multinational corporation, the first joint-stock company, the most profitable enterprise of the early modern era. These descriptions are accurate but incomplete. From an information capital perspective, the VOC's revolutionary achievement was solving the aggregation and coordination problems that had prevented large-scale commercial enterprise.</w:t>
      </w:r>
    </w:p>
    <w:p>
      <w:pPr>
        <w:spacing w:after="200" w:line="276"/>
      </w:pPr>
      <w:r>
        <w:rPr>
          <w:rFonts w:ascii="Times New Roman" w:cs="Times New Roman" w:eastAsia="Times New Roman" w:hAnsi="Times New Roman"/>
          <w:sz w:val="24"/>
          <w:szCs w:val="24"/>
        </w:rPr>
        <w:t xml:space="preserve">Consider the obstacles facing Asian trade in 1600. Voyages to the Indies took eighteen months each way. Capital was tied up for years before returns materialized. Individual voyages could be spectacularly profitable or complete losses depending on market conditions, weather, and competitors. The information asymmetries were staggering: investors in Amsterdam knew little about conditions in Batavia; agents in Batavia knew little about market demand in Europe; and opportunities for fraud, embezzlement, and self-dealing were everywhere. Previous attempts at Asian trade had organized as single-voyage ventures, liquidating after each expedition. This structure addressed the agency problem—investors could see exactly what happened to their money—but prevented the long-term investment that competitive advantage required.</w:t>
      </w:r>
    </w:p>
    <w:p>
      <w:pPr>
        <w:spacing w:after="200" w:line="276"/>
      </w:pPr>
      <w:r>
        <w:rPr>
          <w:rFonts w:ascii="Times New Roman" w:cs="Times New Roman" w:eastAsia="Times New Roman" w:hAnsi="Times New Roman"/>
          <w:sz w:val="24"/>
          <w:szCs w:val="24"/>
        </w:rPr>
        <w:t xml:space="preserve">The VOC charter of March 20, 1602 created legal innovations that solved these problems through institutional design. The charter authorized permanent capital—investors could not withdraw their contributions, which remained locked in the enterprise indefinitely. It established legal personhood—the VOC could own property, enter contracts, and sue in court as a single entity rather than a collection of individual merchants. It created transferable shares—investors who wanted liquidity could sell their interests to others rather than liquidating the enterprise. It separated ownership from management—the Heeren XVII (Lords Seventeen) governed operations while thousands of shareholders provided capital. And eventually, after 1623, it formalized limited liability—shareholders' exposure was limited to their investment.</w:t>
      </w:r>
    </w:p>
    <w:p>
      <w:pPr>
        <w:spacing w:after="200" w:line="276"/>
      </w:pPr>
      <w:r>
        <w:rPr>
          <w:rFonts w:ascii="Times New Roman" w:cs="Times New Roman" w:eastAsia="Times New Roman" w:hAnsi="Times New Roman"/>
          <w:sz w:val="24"/>
          <w:szCs w:val="24"/>
        </w:rPr>
        <w:t xml:space="preserve">These innovations are now so familiar that their revolutionary character is easy to miss. Before the VOC, the dominant legal form for commercial enterprise was the partnership, governed by Roman law principles that made partners jointly liable for all debts and entitled partners to withdraw capital at will. This legal structure made sense for small enterprises with partners who knew and trusted each other. It could not scale. The VOC's innovations enabled aggregation at unprecedented scale: initial capital of 6.4 million guilders from 1,143 subscribers in Amsterdam alone, ranging from Isaac le Maire's 85,000 guilders to servant Neeltgen Cornelis's 100 guilders.</w:t>
      </w:r>
    </w:p>
    <w:p>
      <w:pPr>
        <w:spacing w:after="200" w:line="276"/>
      </w:pPr>
      <w:r>
        <w:rPr>
          <w:rFonts w:ascii="Times New Roman" w:cs="Times New Roman" w:eastAsia="Times New Roman" w:hAnsi="Times New Roman"/>
          <w:sz w:val="24"/>
          <w:szCs w:val="24"/>
        </w:rPr>
        <w:t xml:space="preserve">The scale of investment is worth pausing over. The VOC's initial capitalization exceeded by tenfold any previous European commercial venture. The English East India Company, established in 1600, raised approximately 68,000 pounds (roughly 700,000 guilders) and continued the traditional model of voyage-by-voyage liquidation and refinancing until 1657—a 55-year organizational lag that gave the VOC decisive first-mover advantages in establishing Asian trading posts, negotiating monopolies, and building the infrastructure of oceanic commerce.</w:t>
      </w:r>
    </w:p>
    <w:p>
      <w:pPr>
        <w:spacing w:after="200" w:line="276"/>
      </w:pPr>
      <w:r>
        <w:rPr>
          <w:rFonts w:ascii="Times New Roman" w:cs="Times New Roman" w:eastAsia="Times New Roman" w:hAnsi="Times New Roman"/>
          <w:sz w:val="24"/>
          <w:szCs w:val="24"/>
        </w:rPr>
        <w:t xml:space="preserve">From an information capital perspective, the VOC's significance lies in how it processed commercial intelligence. The company operated trading posts from the Cape of Good Hope to Japan, employed approximately 50,000 people at peak, and maintained a private army of 10,000 soldiers. Its administrative apparatus generated enormous quantities of information: price data from markets across Asia, intelligence on competitor activities, navigation charts, diplomatic correspondence with local rulers, and detailed records of every transaction. The Heeren XVII in Amsterdam received regular reports from Batavia; regional factors reported to Batavia; individual trading posts reported to regional factors. The resulting information architecture—imperfect by modern standards but revolutionary for its era—enabled coordination across vast distances and thousands of employees.</w:t>
      </w:r>
    </w:p>
    <w:p>
      <w:pPr>
        <w:spacing w:after="200" w:line="276"/>
      </w:pPr>
      <w:r>
        <w:rPr>
          <w:rFonts w:ascii="Times New Roman" w:cs="Times New Roman" w:eastAsia="Times New Roman" w:hAnsi="Times New Roman"/>
          <w:sz w:val="24"/>
          <w:szCs w:val="24"/>
        </w:rPr>
        <w:t xml:space="preserve">The VOC's organizational structure reveals how institutional design can transform information into competitive advantage. The company's six chambers (Amsterdam holding the largest share with 57 percent of initial capital through 20 directors) created redundancy and resilience. The charter granted quasi-governmental powers: authority to wage war, negotiate treaties, establish colonies, mint currency, maintain armies and navies, and operate courts. This merger of public and private authority enabled the VOC to "internalize protection costs," as the economic historian Niels Steensgaard observed—to integrate violence into profit-maximizing strategy rather than relying on external state protection as Portuguese predecessors had done.</w:t>
      </w:r>
    </w:p>
    <w:p>
      <w:pPr>
        <w:spacing w:after="200" w:line="276"/>
      </w:pPr>
      <w:r>
        <w:rPr>
          <w:rFonts w:ascii="Times New Roman" w:cs="Times New Roman" w:eastAsia="Times New Roman" w:hAnsi="Times New Roman"/>
          <w:sz w:val="24"/>
          <w:szCs w:val="24"/>
        </w:rPr>
        <w:t xml:space="preserve">The contrast with Portuguese organization illuminates the information capital dynamics. Portugal's Estado da India operated through royal monopoly, with limited private participation and tight state control. This structure centralized decision-making in Lisbon and created severe principal-agent problems across the 16,000-mile distance to Goa. The VOC's distributed structure—with meaningful local authority delegated to the Governor-General in Batavia—enabled faster response to local conditions and better exploitation of commercial intelligence. Portuguese factors had to await royal approval; VOC factors could act on information immediately.</w:t>
      </w:r>
    </w:p>
    <w:p>
      <w:pPr>
        <w:spacing w:after="200" w:line="276"/>
      </w:pPr>
      <w:r>
        <w:rPr>
          <w:rFonts w:ascii="Times New Roman" w:cs="Times New Roman" w:eastAsia="Times New Roman" w:hAnsi="Times New Roman"/>
          <w:sz w:val="24"/>
          <w:szCs w:val="24"/>
        </w:rPr>
        <w:t xml:space="preserve">Yet the VOC also demonstrates how information capital accumulation can create vulnerability. The agency problems that permanent capital created were never fully solved. Directors could and did enrich themselves at shareholder expense. The 1622-23 shareholder revolt—in which "Dolerende Participanten" (Dissenting Participants) holding approximately 40 percent of shares demanded published accounts, an end to director self-enrichment, and voting rights for large investors—revealed the governance deficiencies. The directors won; no meaningful reforms were enacted. The information asymmetry between managers and investors persisted throughout the company's existence.</w:t>
      </w:r>
    </w:p>
    <w:p>
      <w:pPr>
        <w:spacing w:after="200" w:line="276"/>
      </w:pPr>
      <w:r>
        <w:rPr>
          <w:rFonts w:ascii="Times New Roman" w:cs="Times New Roman" w:eastAsia="Times New Roman" w:hAnsi="Times New Roman"/>
          <w:sz w:val="24"/>
          <w:szCs w:val="24"/>
        </w:rPr>
        <w:t xml:space="preserve">The VOC's decline phase illustrates how information advantages can erode. By the eighteenth century, the company's organizational structure had ossified. Corruption became endemic—governors earned far beyond their 14,000 guilder salaries through private trade that directors could not control. The information flows that had once coordinated far-flung operations now transmitted rent-seeking rather than commercial intelligence. Military salaries alone cost 12.2 million guilders annually by 1766, up from 8.9 million in 1705-07. Dividends distributed by the company exceeded operating surpluses in every decade from 1690 to 1760 except 1710-1720—the enterprise was consuming its capital while maintaining the fiction of profitability.</w:t>
      </w:r>
    </w:p>
    <w:p>
      <w:pPr>
        <w:spacing w:after="200" w:line="276"/>
      </w:pPr>
      <w:r>
        <w:rPr>
          <w:rFonts w:ascii="Times New Roman" w:cs="Times New Roman" w:eastAsia="Times New Roman" w:hAnsi="Times New Roman"/>
          <w:sz w:val="24"/>
          <w:szCs w:val="24"/>
        </w:rPr>
        <w:t xml:space="preserve">The Fourth Anglo-Dutch War (1780-1784) delivered the coup de grâce. Direct war losses reached 43 million guilders. The company's Asian fleet was halved. Loans required to keep operations running reduced net assets to zero. On December 31, 1799, the VOC was formally dissolved, its possessions and debts transferred to the Batavian Republic. The first corporation had survived 197 years—but its final decades demonstrated how institutional advantages, once accumulated, can dissipate through corruption, rigidity, and failure to adapt.</w:t>
      </w:r>
    </w:p>
    <w:p>
      <w:pPr>
        <w:pStyle w:val="Heading2"/>
        <w:spacing w:before="400" w:after="200"/>
      </w:pPr>
      <w:r>
        <w:rPr>
          <w:rFonts w:ascii="Times New Roman" w:cs="Times New Roman" w:eastAsia="Times New Roman" w:hAnsi="Times New Roman"/>
          <w:b/>
          <w:bCs/>
          <w:sz w:val="26"/>
          <w:szCs w:val="26"/>
        </w:rPr>
        <w:t xml:space="preserve">4.4 The Price of Knowledge: Dutch Information Markets</w:t>
      </w:r>
    </w:p>
    <w:p>
      <w:pPr>
        <w:spacing w:after="200" w:line="276"/>
      </w:pPr>
      <w:r>
        <w:rPr>
          <w:rFonts w:ascii="Times New Roman" w:cs="Times New Roman" w:eastAsia="Times New Roman" w:hAnsi="Times New Roman"/>
          <w:sz w:val="24"/>
          <w:szCs w:val="24"/>
        </w:rPr>
        <w:t xml:space="preserve">The Amsterdam Bourse, established in 1611 with a purpose-built building designed by Hendrik de Keyser, was not Europe's first stock exchange—that distinction belongs to Antwerp—but it was the first to achieve comprehensive market-making across multiple asset classes. Shares, bonds, commodity futures, maritime insurance, and eventually derivatives all traded in the same location, creating information spillovers that enhanced efficiency across markets. The Bourse was, in essence, an information marketplace: a physical location where the price signals embedded in thousands of individual transactions were aggregated, processed, and disseminated.</w:t>
      </w:r>
    </w:p>
    <w:p>
      <w:pPr>
        <w:spacing w:after="200" w:line="276"/>
      </w:pPr>
      <w:r>
        <w:rPr>
          <w:rFonts w:ascii="Times New Roman" w:cs="Times New Roman" w:eastAsia="Times New Roman" w:hAnsi="Times New Roman"/>
          <w:sz w:val="24"/>
          <w:szCs w:val="24"/>
        </w:rPr>
        <w:t xml:space="preserve">Joseph de la Vega's *Confusión de Confusiones* (1688), the first book ever written about stock markets, describes the Amsterdam exchange with a mixture of fascination and moral ambivalence. De la Vega, a Sephardic Jewish merchant and poet, catalogued the trading strategies, manipulations, and speculative excesses he observed. His account reveals a market of remarkable sophistication: traders employed options, futures, short selling, and what we would now call algorithmic strategies based on technical analysis. The market was liquid enough to absorb large orders without dramatic price impact. Information traveled rapidly—news from London or Hamburg moved prices within hours.</w:t>
      </w:r>
    </w:p>
    <w:p>
      <w:pPr>
        <w:spacing w:after="200" w:line="276"/>
      </w:pPr>
      <w:r>
        <w:rPr>
          <w:rFonts w:ascii="Times New Roman" w:cs="Times New Roman" w:eastAsia="Times New Roman" w:hAnsi="Times New Roman"/>
          <w:sz w:val="24"/>
          <w:szCs w:val="24"/>
        </w:rPr>
        <w:t xml:space="preserve">The derivatives market deserves particular attention because it illustrates how the Dutch created tradeable instruments from information itself. Forward contracts existed from the VOC's earliest years—investors agreed to buy or sell shares at fixed prices on future dates. Isaac le Maire organized a "bear raid" syndicate in 1609, selling shares short in anticipation of price declines. Edicts of 1610, 1621, 1630, and 1636 banned short selling but declared forward contracts unenforceable—traders could repudiate losing deals without legal consequence. This legal framework—prohibiting speculation while enabling sophisticated trading—reflected characteristically Dutch pragmatism: the authorities wished to discourage gambling without destroying the market.</w:t>
      </w:r>
    </w:p>
    <w:p>
      <w:pPr>
        <w:spacing w:after="200" w:line="276"/>
      </w:pPr>
      <w:r>
        <w:rPr>
          <w:rFonts w:ascii="Times New Roman" w:cs="Times New Roman" w:eastAsia="Times New Roman" w:hAnsi="Times New Roman"/>
          <w:sz w:val="24"/>
          <w:szCs w:val="24"/>
        </w:rPr>
        <w:t xml:space="preserve">The tulip mania of 1636-37, the first documented speculative bubble in tradeable assets, reveals both the power and limits of Dutch financial innovation. At the bubble's peak, tulip futures traded at prices exceeding the annual income of a skilled craftsman. When prices collapsed in February 1637, the Dutch florists' guild converted futures to options contracts at 3.5 percent of strike price—an innovative bankruptcy mechanism that limited damage to actual market participants while preserving the broader commercial system. The episode is usually presented as a cautionary tale about speculative excess, but from an information capital perspective, the more significant fact is the institutional resilience that prevented tulip market dysfunction from spreading to other markets. The Wisselbank continued normal operations; VOC shares recovered quickly; Dutch commercial supremacy remained unchallenged.</w:t>
      </w:r>
    </w:p>
    <w:p>
      <w:pPr>
        <w:spacing w:after="200" w:line="276"/>
      </w:pPr>
      <w:r>
        <w:rPr>
          <w:rFonts w:ascii="Times New Roman" w:cs="Times New Roman" w:eastAsia="Times New Roman" w:hAnsi="Times New Roman"/>
          <w:sz w:val="24"/>
          <w:szCs w:val="24"/>
        </w:rPr>
        <w:t xml:space="preserve">Maritime insurance demonstrates another application of information capital principles. Dutch insurers developed systematic approaches to risk assessment based on accumulated data about voyage outcomes, ship construction, route conditions, and captain reliability. This statistical approach—imperfect by modern actuarial standards but revolutionary for its time—transformed insurance from gambling to calculated risk management. Amsterdam became Europe's insurance center because Dutch insurers had better information about maritime risks than competitors elsewhere.</w:t>
      </w:r>
    </w:p>
    <w:p>
      <w:pPr>
        <w:spacing w:after="200" w:line="276"/>
      </w:pPr>
      <w:r>
        <w:rPr>
          <w:rFonts w:ascii="Times New Roman" w:cs="Times New Roman" w:eastAsia="Times New Roman" w:hAnsi="Times New Roman"/>
          <w:sz w:val="24"/>
          <w:szCs w:val="24"/>
        </w:rPr>
        <w:t xml:space="preserve">The publishing industry created yet another dimension of Dutch information infrastructure. The Short-Title Catalogue Netherlands records over 67,000 titles published between 1601 and 1700, with Amsterdam producing 22,000 titles—33 percent of the total. Per capita output exceeded France, Italy, and Spain by ten times and Germany by five times. By mid-century, Amsterdam had become what contemporaries called "the bookshop of the world."</w:t>
      </w:r>
    </w:p>
    <w:p>
      <w:pPr>
        <w:spacing w:after="200" w:line="276"/>
      </w:pPr>
      <w:r>
        <w:rPr>
          <w:rFonts w:ascii="Times New Roman" w:cs="Times New Roman" w:eastAsia="Times New Roman" w:hAnsi="Times New Roman"/>
          <w:sz w:val="24"/>
          <w:szCs w:val="24"/>
        </w:rPr>
        <w:t xml:space="preserve">This publishing dominance was not accidental. The combination of religious tolerance, commercial networks, and relatively lax censorship made Amsterdam the natural location for heterodox publishing. Works banned elsewhere found Dutch publishers willing to print them. Scientific journals, news publications, and political pamphlets proliferated. The Elzevir press (1593-1712) produced over 2,000 volumes including the influential "Republics" travel guide series—systematic compilations of information about foreign countries that served both commercial and diplomatic purposes.</w:t>
      </w:r>
    </w:p>
    <w:p>
      <w:pPr>
        <w:spacing w:after="200" w:line="276"/>
      </w:pPr>
      <w:r>
        <w:rPr>
          <w:rFonts w:ascii="Times New Roman" w:cs="Times New Roman" w:eastAsia="Times New Roman" w:hAnsi="Times New Roman"/>
          <w:sz w:val="24"/>
          <w:szCs w:val="24"/>
        </w:rPr>
        <w:t xml:space="preserve">From an information capital perspective, the Dutch information markets created a comprehensive system for price discovery—the process by which decentralized private information becomes aggregated into public prices. Consider the information flows converging on Amsterdam by 1650: commodity prices from Baltic grain markets, textile prices from English wool trade, spice prices from Asian trading posts, shipping rates from dozens of routes, insurance premiums reflecting actuarial assessments, share prices reflecting corporate valuations, interest rates reflecting credit conditions. All of this information was processed, compared, arbitraged, and ultimately embedded in prices that guided resource allocation across the European economy.</w:t>
      </w:r>
    </w:p>
    <w:p>
      <w:pPr>
        <w:spacing w:after="200" w:line="276"/>
      </w:pPr>
      <w:r>
        <w:rPr>
          <w:rFonts w:ascii="Times New Roman" w:cs="Times New Roman" w:eastAsia="Times New Roman" w:hAnsi="Times New Roman"/>
          <w:sz w:val="24"/>
          <w:szCs w:val="24"/>
        </w:rPr>
        <w:t xml:space="preserve">The Dutch achieved what modern economists call market efficiency—prices that reflect all available information—not through any conscious design but through the accumulation of institutional innovations that reduced transaction costs and accelerated information flow. The Wisselbank reduced currency uncertainty. The Bourse concentrated liquidity. The price currents disseminated quotations. The postal networks accelerated communication. The legal system enforced contracts. Each innovation reinforced the others, creating an information infrastructure that no competitor could replicate without decades of institutional investment.</w:t>
      </w:r>
    </w:p>
    <w:p>
      <w:pPr>
        <w:pStyle w:val="Heading2"/>
        <w:spacing w:before="400" w:after="200"/>
      </w:pPr>
      <w:r>
        <w:rPr>
          <w:rFonts w:ascii="Times New Roman" w:cs="Times New Roman" w:eastAsia="Times New Roman" w:hAnsi="Times New Roman"/>
          <w:b/>
          <w:bCs/>
          <w:sz w:val="26"/>
          <w:szCs w:val="26"/>
        </w:rPr>
        <w:t xml:space="preserve">Quantitative Evidence: The Dutch Advantage in Numbers</w:t>
      </w:r>
    </w:p>
    <w:p>
      <w:pPr>
        <w:spacing w:after="200" w:line="276"/>
      </w:pPr>
      <w:r>
        <w:rPr>
          <w:rFonts w:ascii="Times New Roman" w:cs="Times New Roman" w:eastAsia="Times New Roman" w:hAnsi="Times New Roman"/>
          <w:sz w:val="24"/>
          <w:szCs w:val="24"/>
        </w:rPr>
        <w:t xml:space="preserve">The preceding analysis requires quantitative grounding. The Dutch advantage was not merely qualitative—it was measurable, dramatic, and sustained across decades. Consider the following data, drawn from scholarship by Jan de Vries and Ad van der Woude, Jonathan Israel, and the Maddison Project for historical GDP estimates.</w:t>
      </w:r>
    </w:p>
    <w:p>
      <w:pPr>
        <w:spacing w:after="200" w:line="276"/>
      </w:pPr>
      <w:r>
        <w:rPr>
          <w:rFonts w:ascii="Times New Roman" w:cs="Times New Roman" w:eastAsia="Times New Roman" w:hAnsi="Times New Roman"/>
          <w:b/>
          <w:bCs/>
          <w:sz w:val="24"/>
          <w:szCs w:val="24"/>
        </w:rPr>
        <w:t xml:space="preserve">Interest Rates: The Cost of Capital Advantage</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The interest rate differential between the Dutch Republic and its competitors represents perhaps the most consequential economic fact of the seventeenth century:</w:t>
      </w:r>
    </w:p>
    <w:p>
      <w:pPr>
        <w:spacing w:after="50"/>
      </w:pPr>
      <w:r>
        <w:rPr>
          <w:rFonts w:ascii="Courier New" w:cs="Courier New" w:eastAsia="Courier New" w:hAnsi="Courier New"/>
          <w:sz w:val="20"/>
          <w:szCs w:val="20"/>
        </w:rPr>
        <w:t xml:space="preserve">| Period | Dutch Government | Spanish Crown | English Crown | French Crown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1550s | 8-12% | 15-20% | 10-14% | 8-12% |</w:t>
      </w:r>
    </w:p>
    <w:p>
      <w:pPr>
        <w:spacing w:after="50"/>
      </w:pPr>
      <w:r>
        <w:rPr>
          <w:rFonts w:ascii="Courier New" w:cs="Courier New" w:eastAsia="Courier New" w:hAnsi="Courier New"/>
          <w:sz w:val="20"/>
          <w:szCs w:val="20"/>
        </w:rPr>
        <w:t xml:space="preserve">| 1600s | 6-8% | 10-15% | 8-10% | 6-10% |</w:t>
      </w:r>
    </w:p>
    <w:p>
      <w:pPr>
        <w:spacing w:after="50"/>
      </w:pPr>
      <w:r>
        <w:rPr>
          <w:rFonts w:ascii="Courier New" w:cs="Courier New" w:eastAsia="Courier New" w:hAnsi="Courier New"/>
          <w:sz w:val="20"/>
          <w:szCs w:val="20"/>
        </w:rPr>
        <w:t xml:space="preserve">| 1650s | 4-5% | 8-10% | 6-8% | 5-6% |</w:t>
      </w:r>
    </w:p>
    <w:p>
      <w:pPr>
        <w:spacing w:after="50"/>
      </w:pPr>
      <w:r>
        <w:rPr>
          <w:rFonts w:ascii="Courier New" w:cs="Courier New" w:eastAsia="Courier New" w:hAnsi="Courier New"/>
          <w:sz w:val="20"/>
          <w:szCs w:val="20"/>
        </w:rPr>
        <w:t xml:space="preserve">| 1700s | 2.5-4% | 6-8% | 3-4% | 4-6% |</w:t>
      </w:r>
    </w:p>
    <w:p>
      <w:pPr>
        <w:spacing w:after="200" w:line="276"/>
      </w:pPr>
      <w:r>
        <w:rPr>
          <w:rFonts w:ascii="Times New Roman" w:cs="Times New Roman" w:eastAsia="Times New Roman" w:hAnsi="Times New Roman"/>
          <w:sz w:val="24"/>
          <w:szCs w:val="24"/>
        </w:rPr>
        <w:t xml:space="preserve">By the mid-seventeenth century, the Dutch achieved the lowest government borrowing rates in European history. This advantage persisted for over a century. The economic implications were staggering: at 4 percent versus 8 percent interest, Dutch projects requiring £100,000 in capital could be financed for half the annual cost of English equivalents. Compounded over decades, this differential enabled infrastructure investments, colonial expansions, and naval construction that competitors simply could not match.</w:t>
      </w:r>
    </w:p>
    <w:p>
      <w:pPr>
        <w:spacing w:after="200" w:line="276"/>
      </w:pPr>
      <w:r>
        <w:rPr>
          <w:rFonts w:ascii="Times New Roman" w:cs="Times New Roman" w:eastAsia="Times New Roman" w:hAnsi="Times New Roman"/>
          <w:sz w:val="24"/>
          <w:szCs w:val="24"/>
        </w:rPr>
        <w:t xml:space="preserve">Holland's public debt structure evolved to accommodate this low-cost borrowing. Three instruments structured provincial finance: obligatiën (short-term bearer bonds), losrenten (redeemable bonds with annual interest), and lijfrenten (life annuities). The innovation of direct state-bondholder relationships—without banker intermediaries—attracted small savers, craftsmen, and women investors, democratizing finance in ways unprecedented before the modern era.</w:t>
      </w:r>
    </w:p>
    <w:p>
      <w:pPr>
        <w:spacing w:after="200" w:line="276"/>
      </w:pPr>
      <w:r>
        <w:rPr>
          <w:rFonts w:ascii="Times New Roman" w:cs="Times New Roman" w:eastAsia="Times New Roman" w:hAnsi="Times New Roman"/>
          <w:sz w:val="24"/>
          <w:szCs w:val="24"/>
        </w:rPr>
        <w:t xml:space="preserve">By 1650, Holland's public debt reached approximately 150 million guilders, with interest payments consuming 60 percent of provincial revenue (7 million guilders annually). Yet the debt remained serviceable because rates kept falling. The system was sustainable precisely because credibility reduced borrowing costs. When that credibility eroded in the late eighteenth century, the same debt burden became crushing.</w:t>
      </w:r>
    </w:p>
    <w:p>
      <w:pPr>
        <w:spacing w:after="200" w:line="276"/>
      </w:pPr>
      <w:r>
        <w:rPr>
          <w:rFonts w:ascii="Times New Roman" w:cs="Times New Roman" w:eastAsia="Times New Roman" w:hAnsi="Times New Roman"/>
          <w:b/>
          <w:bCs/>
          <w:sz w:val="24"/>
          <w:szCs w:val="24"/>
        </w:rPr>
        <w:t xml:space="preserve">Shipping: The Logistics Revolution</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Dutch shipping dominance was comprehensive:</w:t>
      </w:r>
    </w:p>
    <w:p>
      <w:pPr>
        <w:spacing w:after="50"/>
      </w:pPr>
      <w:r>
        <w:rPr>
          <w:rFonts w:ascii="Courier New" w:cs="Courier New" w:eastAsia="Courier New" w:hAnsi="Courier New"/>
          <w:sz w:val="20"/>
          <w:szCs w:val="20"/>
        </w:rPr>
        <w:t xml:space="preserve">| Year | Dutch Merchant Fleet | Percentage of European Total | English Fleet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1670 | 568,000 tons | 40-50% | ~250,000 tons |</w:t>
      </w:r>
    </w:p>
    <w:p>
      <w:pPr>
        <w:spacing w:after="50"/>
      </w:pPr>
      <w:r>
        <w:rPr>
          <w:rFonts w:ascii="Courier New" w:cs="Courier New" w:eastAsia="Courier New" w:hAnsi="Courier New"/>
          <w:sz w:val="20"/>
          <w:szCs w:val="20"/>
        </w:rPr>
        <w:t xml:space="preserve">| 1780 | ~350,000 tons | ~25% | ~700,000 tons |</w:t>
      </w:r>
    </w:p>
    <w:p>
      <w:pPr>
        <w:spacing w:after="200" w:line="276"/>
      </w:pPr>
      <w:r>
        <w:rPr>
          <w:rFonts w:ascii="Times New Roman" w:cs="Times New Roman" w:eastAsia="Times New Roman" w:hAnsi="Times New Roman"/>
          <w:sz w:val="24"/>
          <w:szCs w:val="24"/>
        </w:rPr>
        <w:t xml:space="preserve">The 1670 figure deserves emphasis: the Dutch, with a population of approximately 1.9 million, operated half of European shipping tonnage. This dominance reflected technological advantages (the fluyt's 50 percent lower construction cost and twice the cargo capacity with smaller crews), organizational advantages (the VOC's systematized logistics), and information advantages (knowledge of routes, markets, and conditions accumulated over generations).</w:t>
      </w:r>
    </w:p>
    <w:p>
      <w:pPr>
        <w:spacing w:after="200" w:line="276"/>
      </w:pPr>
      <w:r>
        <w:rPr>
          <w:rFonts w:ascii="Times New Roman" w:cs="Times New Roman" w:eastAsia="Times New Roman" w:hAnsi="Times New Roman"/>
          <w:sz w:val="24"/>
          <w:szCs w:val="24"/>
        </w:rPr>
        <w:t xml:space="preserve">Baltic trade data from the Sound Toll registers quantify Dutch commercial preponderance:</w:t>
      </w:r>
    </w:p>
    <w:p>
      <w:pPr>
        <w:spacing w:after="50"/>
      </w:pPr>
      <w:r>
        <w:rPr>
          <w:rFonts w:ascii="Courier New" w:cs="Courier New" w:eastAsia="Courier New" w:hAnsi="Courier New"/>
          <w:sz w:val="20"/>
          <w:szCs w:val="20"/>
        </w:rPr>
        <w:t xml:space="preserve">| Period | Dutch Ships Annually | Percentage of Total Traffic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1600-1620 | ~2,500 | 55-60% |</w:t>
      </w:r>
    </w:p>
    <w:p>
      <w:pPr>
        <w:spacing w:after="50"/>
      </w:pPr>
      <w:r>
        <w:rPr>
          <w:rFonts w:ascii="Courier New" w:cs="Courier New" w:eastAsia="Courier New" w:hAnsi="Courier New"/>
          <w:sz w:val="20"/>
          <w:szCs w:val="20"/>
        </w:rPr>
        <w:t xml:space="preserve">| 1680-1720 | ~1,800-2,000 | 40-45% |</w:t>
      </w:r>
    </w:p>
    <w:p>
      <w:pPr>
        <w:spacing w:after="50"/>
      </w:pPr>
      <w:r>
        <w:rPr>
          <w:rFonts w:ascii="Courier New" w:cs="Courier New" w:eastAsia="Courier New" w:hAnsi="Courier New"/>
          <w:sz w:val="20"/>
          <w:szCs w:val="20"/>
        </w:rPr>
        <w:t xml:space="preserve">| 1780-1800 | ~800 | 25-30% |</w:t>
      </w:r>
    </w:p>
    <w:p>
      <w:pPr>
        <w:spacing w:after="200" w:line="276"/>
      </w:pPr>
      <w:r>
        <w:rPr>
          <w:rFonts w:ascii="Times New Roman" w:cs="Times New Roman" w:eastAsia="Times New Roman" w:hAnsi="Times New Roman"/>
          <w:sz w:val="24"/>
          <w:szCs w:val="24"/>
        </w:rPr>
        <w:t xml:space="preserve">The grain trade from the Baltic was essential to feeding Amsterdam and financing Dutch commercial expansion. Control of this trade created information advantages—Dutch merchants knew Baltic prices, harvest conditions, and shipping availability better than any competitors. This information infrastructure proved more durable than the ships themselves.</w:t>
      </w:r>
    </w:p>
    <w:p>
      <w:pPr>
        <w:spacing w:after="200" w:line="276"/>
      </w:pPr>
      <w:r>
        <w:rPr>
          <w:rFonts w:ascii="Times New Roman" w:cs="Times New Roman" w:eastAsia="Times New Roman" w:hAnsi="Times New Roman"/>
          <w:b/>
          <w:bCs/>
          <w:sz w:val="24"/>
          <w:szCs w:val="24"/>
        </w:rPr>
        <w:t xml:space="preserve">The VOC: Corporate Scale</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The VOC's operational statistics demonstrate institutional capacity unprecedented before the industrial era:</w:t>
      </w:r>
    </w:p>
    <w:p>
      <w:pPr>
        <w:spacing w:after="50"/>
      </w:pPr>
      <w:r>
        <w:rPr>
          <w:rFonts w:ascii="Courier New" w:cs="Courier New" w:eastAsia="Courier New" w:hAnsi="Courier New"/>
          <w:sz w:val="20"/>
          <w:szCs w:val="20"/>
        </w:rPr>
        <w:t xml:space="preserve">| Metric | Figure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Initial capitalization (1602) | 6.4 million guilders |</w:t>
      </w:r>
    </w:p>
    <w:p>
      <w:pPr>
        <w:spacing w:after="50"/>
      </w:pPr>
      <w:r>
        <w:rPr>
          <w:rFonts w:ascii="Courier New" w:cs="Courier New" w:eastAsia="Courier New" w:hAnsi="Courier New"/>
          <w:sz w:val="20"/>
          <w:szCs w:val="20"/>
        </w:rPr>
        <w:t xml:space="preserve">| Original subscribers (Amsterdam) | 1,143 |</w:t>
      </w:r>
    </w:p>
    <w:p>
      <w:pPr>
        <w:spacing w:after="50"/>
      </w:pPr>
      <w:r>
        <w:rPr>
          <w:rFonts w:ascii="Courier New" w:cs="Courier New" w:eastAsia="Courier New" w:hAnsi="Courier New"/>
          <w:sz w:val="20"/>
          <w:szCs w:val="20"/>
        </w:rPr>
        <w:t xml:space="preserve">| Ships sent to Asia (1602-1799) | 4,722 |</w:t>
      </w:r>
    </w:p>
    <w:p>
      <w:pPr>
        <w:spacing w:after="50"/>
      </w:pPr>
      <w:r>
        <w:rPr>
          <w:rFonts w:ascii="Courier New" w:cs="Courier New" w:eastAsia="Courier New" w:hAnsi="Courier New"/>
          <w:sz w:val="20"/>
          <w:szCs w:val="20"/>
        </w:rPr>
        <w:t xml:space="preserve">| Europeans employed (peak) | ~50,000 |</w:t>
      </w:r>
    </w:p>
    <w:p>
      <w:pPr>
        <w:spacing w:after="50"/>
      </w:pPr>
      <w:r>
        <w:rPr>
          <w:rFonts w:ascii="Courier New" w:cs="Courier New" w:eastAsia="Courier New" w:hAnsi="Courier New"/>
          <w:sz w:val="20"/>
          <w:szCs w:val="20"/>
        </w:rPr>
        <w:t xml:space="preserve">| Private army | ~10,000 soldiers |</w:t>
      </w:r>
    </w:p>
    <w:p>
      <w:pPr>
        <w:spacing w:after="50"/>
      </w:pPr>
      <w:r>
        <w:rPr>
          <w:rFonts w:ascii="Courier New" w:cs="Courier New" w:eastAsia="Courier New" w:hAnsi="Courier New"/>
          <w:sz w:val="20"/>
          <w:szCs w:val="20"/>
        </w:rPr>
        <w:t xml:space="preserve">| Average annual dividend (1602-1799) | ~18% |</w:t>
      </w:r>
    </w:p>
    <w:p>
      <w:pPr>
        <w:spacing w:after="50"/>
      </w:pPr>
      <w:r>
        <w:rPr>
          <w:rFonts w:ascii="Courier New" w:cs="Courier New" w:eastAsia="Courier New" w:hAnsi="Courier New"/>
          <w:sz w:val="20"/>
          <w:szCs w:val="20"/>
        </w:rPr>
        <w:t xml:space="preserve">| Peak dividend (1669) | 40% |</w:t>
      </w:r>
    </w:p>
    <w:p>
      <w:pPr>
        <w:spacing w:after="50"/>
      </w:pPr>
      <w:r>
        <w:rPr>
          <w:rFonts w:ascii="Courier New" w:cs="Courier New" w:eastAsia="Courier New" w:hAnsi="Courier New"/>
          <w:sz w:val="20"/>
          <w:szCs w:val="20"/>
        </w:rPr>
        <w:t xml:space="preserve">| Total Europeans sent to Asia | ~1,000,000 |</w:t>
      </w:r>
    </w:p>
    <w:p>
      <w:pPr>
        <w:spacing w:after="50"/>
      </w:pPr>
      <w:r>
        <w:rPr>
          <w:rFonts w:ascii="Courier New" w:cs="Courier New" w:eastAsia="Courier New" w:hAnsi="Courier New"/>
          <w:sz w:val="20"/>
          <w:szCs w:val="20"/>
        </w:rPr>
        <w:t xml:space="preserve">| Europeans who returned | ~340,000 (66% mortality) |</w:t>
      </w:r>
    </w:p>
    <w:p>
      <w:pPr>
        <w:spacing w:after="200" w:line="276"/>
      </w:pPr>
      <w:r>
        <w:rPr>
          <w:rFonts w:ascii="Times New Roman" w:cs="Times New Roman" w:eastAsia="Times New Roman" w:hAnsi="Times New Roman"/>
          <w:sz w:val="24"/>
          <w:szCs w:val="24"/>
        </w:rPr>
        <w:t xml:space="preserve">The mortality statistics are particularly striking. Approximately two-thirds of Europeans sent to Asia never returned. This was not primarily warfare—disease, particularly during the voyage and in tropical climates, claimed most victims. The VOC's ability to recruit replacements at this scale for nearly two centuries demonstrates the drawing power of potential returns despite horrific risks.</w:t>
      </w:r>
    </w:p>
    <w:p>
      <w:pPr>
        <w:spacing w:after="200" w:line="276"/>
      </w:pPr>
      <w:r>
        <w:rPr>
          <w:rFonts w:ascii="Times New Roman" w:cs="Times New Roman" w:eastAsia="Times New Roman" w:hAnsi="Times New Roman"/>
          <w:b/>
          <w:bCs/>
          <w:sz w:val="24"/>
          <w:szCs w:val="24"/>
        </w:rPr>
        <w:t xml:space="preserve">Publishing: The Knowledge Economy</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Dutch publishing dominance quantifies the knowledge economy advantage:</w:t>
      </w:r>
    </w:p>
    <w:p>
      <w:pPr>
        <w:spacing w:after="50"/>
      </w:pPr>
      <w:r>
        <w:rPr>
          <w:rFonts w:ascii="Courier New" w:cs="Courier New" w:eastAsia="Courier New" w:hAnsi="Courier New"/>
          <w:sz w:val="20"/>
          <w:szCs w:val="20"/>
        </w:rPr>
        <w:t xml:space="preserve">| Metric | Figure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Titles published (1601-1700) | 67,000+ |</w:t>
      </w:r>
    </w:p>
    <w:p>
      <w:pPr>
        <w:spacing w:after="50"/>
      </w:pPr>
      <w:r>
        <w:rPr>
          <w:rFonts w:ascii="Courier New" w:cs="Courier New" w:eastAsia="Courier New" w:hAnsi="Courier New"/>
          <w:sz w:val="20"/>
          <w:szCs w:val="20"/>
        </w:rPr>
        <w:t xml:space="preserve">| Amsterdam share | 33% (22,000 titles) |</w:t>
      </w:r>
    </w:p>
    <w:p>
      <w:pPr>
        <w:spacing w:after="50"/>
      </w:pPr>
      <w:r>
        <w:rPr>
          <w:rFonts w:ascii="Courier New" w:cs="Courier New" w:eastAsia="Courier New" w:hAnsi="Courier New"/>
          <w:sz w:val="20"/>
          <w:szCs w:val="20"/>
        </w:rPr>
        <w:t xml:space="preserve">| Per capita output versus France/Italy/Spain | 10x |</w:t>
      </w:r>
    </w:p>
    <w:p>
      <w:pPr>
        <w:spacing w:after="50"/>
      </w:pPr>
      <w:r>
        <w:rPr>
          <w:rFonts w:ascii="Courier New" w:cs="Courier New" w:eastAsia="Courier New" w:hAnsi="Courier New"/>
          <w:sz w:val="20"/>
          <w:szCs w:val="20"/>
        </w:rPr>
        <w:t xml:space="preserve">| Per capita output versus Germany | 5x |</w:t>
      </w:r>
    </w:p>
    <w:p>
      <w:pPr>
        <w:spacing w:after="200" w:line="276"/>
      </w:pPr>
      <w:r>
        <w:rPr>
          <w:rFonts w:ascii="Times New Roman" w:cs="Times New Roman" w:eastAsia="Times New Roman" w:hAnsi="Times New Roman"/>
          <w:sz w:val="24"/>
          <w:szCs w:val="24"/>
        </w:rPr>
        <w:t xml:space="preserve">Leiden University enrollment exceeded 500 students from across Europe by the 1640s, making it the largest Protestant university on the continent. The faculty included Joseph Scaliger (classical philology), Justus Lipsius (neo-Stoicism), and Hugo Grotius (international law)—scholars whose influence shaped European intellectual development for generations. Over half of Uppsala and Åbo professors in the early seventeenth century had studied at Leiden.</w:t>
      </w:r>
    </w:p>
    <w:p>
      <w:pPr>
        <w:spacing w:after="200" w:line="276"/>
      </w:pPr>
      <w:r>
        <w:rPr>
          <w:rFonts w:ascii="Times New Roman" w:cs="Times New Roman" w:eastAsia="Times New Roman" w:hAnsi="Times New Roman"/>
          <w:b/>
          <w:bCs/>
          <w:sz w:val="24"/>
          <w:szCs w:val="24"/>
        </w:rPr>
        <w:t xml:space="preserve">Population and Urbanization: The Concentration Effect</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Dutch urbanization exceeded anything previously achieved in European history:</w:t>
      </w:r>
    </w:p>
    <w:p>
      <w:pPr>
        <w:spacing w:after="50"/>
      </w:pPr>
      <w:r>
        <w:rPr>
          <w:rFonts w:ascii="Courier New" w:cs="Courier New" w:eastAsia="Courier New" w:hAnsi="Courier New"/>
          <w:sz w:val="20"/>
          <w:szCs w:val="20"/>
        </w:rPr>
        <w:t xml:space="preserve">| Year | Dutch Republic Total | Amsterdam | Urban Rate (Holland) | England | England Urban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1550 | ~1,000,000 | 30,000 | 45% | 3,000,000 | 5% |</w:t>
      </w:r>
    </w:p>
    <w:p>
      <w:pPr>
        <w:spacing w:after="50"/>
      </w:pPr>
      <w:r>
        <w:rPr>
          <w:rFonts w:ascii="Courier New" w:cs="Courier New" w:eastAsia="Courier New" w:hAnsi="Courier New"/>
          <w:sz w:val="20"/>
          <w:szCs w:val="20"/>
        </w:rPr>
        <w:t xml:space="preserve">| 1650 | ~1,900,000 | 175,000 | 59% | 5,200,000 | 10% |</w:t>
      </w:r>
    </w:p>
    <w:p>
      <w:pPr>
        <w:spacing w:after="50"/>
      </w:pPr>
      <w:r>
        <w:rPr>
          <w:rFonts w:ascii="Courier New" w:cs="Courier New" w:eastAsia="Courier New" w:hAnsi="Courier New"/>
          <w:sz w:val="20"/>
          <w:szCs w:val="20"/>
        </w:rPr>
        <w:t xml:space="preserve">| 1795 | ~2,000,000 | 220,000 | 37% (declining) | 9,000,000 | 25% |</w:t>
      </w:r>
    </w:p>
    <w:p>
      <w:pPr>
        <w:spacing w:after="200" w:line="276"/>
      </w:pPr>
      <w:r>
        <w:rPr>
          <w:rFonts w:ascii="Times New Roman" w:cs="Times New Roman" w:eastAsia="Times New Roman" w:hAnsi="Times New Roman"/>
          <w:sz w:val="24"/>
          <w:szCs w:val="24"/>
        </w:rPr>
        <w:t xml:space="preserve">The 59 percent urbanization rate in Holland province by 1622 was unprecedented. Compare Spain's 20.8 percent, Portugal's 16.6 percent, and Italy's 14 percent. This urban concentration created network effects for commercial activity, labor specialization, and information exchange that agricultural societies simply could not match.</w:t>
      </w:r>
    </w:p>
    <w:p>
      <w:pPr>
        <w:spacing w:after="200" w:line="276"/>
      </w:pPr>
      <w:r>
        <w:rPr>
          <w:rFonts w:ascii="Times New Roman" w:cs="Times New Roman" w:eastAsia="Times New Roman" w:hAnsi="Times New Roman"/>
          <w:sz w:val="24"/>
          <w:szCs w:val="24"/>
        </w:rPr>
        <w:t xml:space="preserve">The population stagnation visible in the 1650-1795 comparison—essentially flat at 2 million while England nearly doubled—represents one of the clearest warning signs of Dutch decline. A society that stops growing has stopped attracting talent and stopped generating the dynamism that growth provides.</w:t>
      </w:r>
    </w:p>
    <w:p>
      <w:pPr>
        <w:spacing w:after="200" w:line="276"/>
      </w:pPr>
      <w:r>
        <w:rPr>
          <w:rFonts w:ascii="Times New Roman" w:cs="Times New Roman" w:eastAsia="Times New Roman" w:hAnsi="Times New Roman"/>
          <w:b/>
          <w:bCs/>
          <w:sz w:val="24"/>
          <w:szCs w:val="24"/>
        </w:rPr>
        <w:t xml:space="preserve">Capital Export: Funding the Competition</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The most damning quantitative evidence of Dutch decline appears in capital export figures:</w:t>
      </w:r>
    </w:p>
    <w:p>
      <w:pPr>
        <w:spacing w:after="50"/>
      </w:pPr>
      <w:r>
        <w:rPr>
          <w:rFonts w:ascii="Courier New" w:cs="Courier New" w:eastAsia="Courier New" w:hAnsi="Courier New"/>
          <w:sz w:val="20"/>
          <w:szCs w:val="20"/>
        </w:rPr>
        <w:t xml:space="preserve">| Metric | Figure |</w:t>
      </w:r>
    </w:p>
    <w:p>
      <w:pPr>
        <w:spacing w:after="50"/>
      </w:pPr>
      <w:r>
        <w:rPr>
          <w:rFonts w:ascii="Courier New" w:cs="Courier New" w:eastAsia="Courier New" w:hAnsi="Courier New"/>
          <w:sz w:val="20"/>
          <w:szCs w:val="20"/>
        </w:rPr>
        <w:t xml:space="preserve">|--------|--------|</w:t>
      </w:r>
    </w:p>
    <w:p>
      <w:pPr>
        <w:spacing w:after="50"/>
      </w:pPr>
      <w:r>
        <w:rPr>
          <w:rFonts w:ascii="Courier New" w:cs="Courier New" w:eastAsia="Courier New" w:hAnsi="Courier New"/>
          <w:sz w:val="20"/>
          <w:szCs w:val="20"/>
        </w:rPr>
        <w:t xml:space="preserve">| Dutch holdings of British government debt (1780) | ~350 million guilders |</w:t>
      </w:r>
    </w:p>
    <w:p>
      <w:pPr>
        <w:spacing w:after="50"/>
      </w:pPr>
      <w:r>
        <w:rPr>
          <w:rFonts w:ascii="Courier New" w:cs="Courier New" w:eastAsia="Courier New" w:hAnsi="Courier New"/>
          <w:sz w:val="20"/>
          <w:szCs w:val="20"/>
        </w:rPr>
        <w:t xml:space="preserve">| Percentage of total Dutch foreign investment | ~67% |</w:t>
      </w:r>
    </w:p>
    <w:p>
      <w:pPr>
        <w:spacing w:after="50"/>
      </w:pPr>
      <w:r>
        <w:rPr>
          <w:rFonts w:ascii="Courier New" w:cs="Courier New" w:eastAsia="Courier New" w:hAnsi="Courier New"/>
          <w:sz w:val="20"/>
          <w:szCs w:val="20"/>
        </w:rPr>
        <w:t xml:space="preserve">| Annual foreign investment earnings | ~16 million guilders |</w:t>
      </w:r>
    </w:p>
    <w:p>
      <w:pPr>
        <w:spacing w:after="50"/>
      </w:pPr>
      <w:r>
        <w:rPr>
          <w:rFonts w:ascii="Courier New" w:cs="Courier New" w:eastAsia="Courier New" w:hAnsi="Courier New"/>
          <w:sz w:val="20"/>
          <w:szCs w:val="20"/>
        </w:rPr>
        <w:t xml:space="preserve">| Total foreign holdings (1795) | 650M-1B guilders |</w:t>
      </w:r>
    </w:p>
    <w:p>
      <w:pPr>
        <w:spacing w:after="200" w:line="276"/>
      </w:pPr>
      <w:r>
        <w:rPr>
          <w:rFonts w:ascii="Times New Roman" w:cs="Times New Roman" w:eastAsia="Times New Roman" w:hAnsi="Times New Roman"/>
          <w:sz w:val="24"/>
          <w:szCs w:val="24"/>
        </w:rPr>
        <w:t xml:space="preserve">Dutch capital funded approximately two-thirds of British government debt. This is the financial signature of hegemonic transition: the declining power finances its successor because returns abroad exceed returns at home. The structural cause was straightforward—British industrialization offered returns that Dutch mercantile economy could not match, and Dutch investors rationally sought those returns. But the aggregate effect was to accelerate the very transition that would marginalize Dutch commerce.</w:t>
      </w:r>
    </w:p>
    <w:p>
      <w:pPr>
        <w:pStyle w:val="Heading2"/>
        <w:spacing w:before="400" w:after="200"/>
      </w:pPr>
      <w:r>
        <w:rPr>
          <w:rFonts w:ascii="Times New Roman" w:cs="Times New Roman" w:eastAsia="Times New Roman" w:hAnsi="Times New Roman"/>
          <w:b/>
          <w:bCs/>
          <w:sz w:val="26"/>
          <w:szCs w:val="26"/>
        </w:rPr>
        <w:t xml:space="preserve">The Framework Connections: Theoretical Synthesis</w:t>
      </w:r>
    </w:p>
    <w:p>
      <w:pPr>
        <w:spacing w:after="200" w:line="276"/>
      </w:pPr>
      <w:r>
        <w:rPr>
          <w:rFonts w:ascii="Times New Roman" w:cs="Times New Roman" w:eastAsia="Times New Roman" w:hAnsi="Times New Roman"/>
          <w:sz w:val="24"/>
          <w:szCs w:val="24"/>
        </w:rPr>
        <w:t xml:space="preserve">The Dutch case validates multiple theoretical frameworks discussed in earlier chapters. Understanding these connections strengthens both the historical analysis and the theoretical apparatus.</w:t>
      </w:r>
    </w:p>
    <w:p>
      <w:pPr>
        <w:spacing w:after="200" w:line="276"/>
      </w:pPr>
      <w:r>
        <w:rPr>
          <w:rFonts w:ascii="Times New Roman" w:cs="Times New Roman" w:eastAsia="Times New Roman" w:hAnsi="Times New Roman"/>
          <w:b/>
          <w:bCs/>
          <w:sz w:val="24"/>
          <w:szCs w:val="24"/>
        </w:rPr>
        <w:t xml:space="preserve">North and Weingast's Credible Commitment</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Douglass North and Barry Weingast's 1989 thesis argues that constitutional arrangements creating multiple veto points enable credible commitment to property rights. When rulers cannot opportunistically expropriate, lenders respond with lower rates. The Dutch case preceded England in achieving credible commitment; Dutch rates were already lower than English before 1688.</w:t>
      </w:r>
    </w:p>
    <w:p>
      <w:pPr>
        <w:spacing w:after="200" w:line="276"/>
      </w:pPr>
      <w:r>
        <w:rPr>
          <w:rFonts w:ascii="Times New Roman" w:cs="Times New Roman" w:eastAsia="Times New Roman" w:hAnsi="Times New Roman"/>
          <w:sz w:val="24"/>
          <w:szCs w:val="24"/>
        </w:rPr>
        <w:t xml:space="preserve">Dutch institutions creating credible commitment included: federal structure with provincial autonomy; States-General consensus requirements; merchant oligarchy control; independent judiciary; and separation of military and fiscal authority. These features made expropriation difficult—any attempt would require coordinating multiple veto players whose interests rarely aligned. Investors responded with lower required returns.</w:t>
      </w:r>
    </w:p>
    <w:p>
      <w:pPr>
        <w:spacing w:after="200" w:line="276"/>
      </w:pPr>
      <w:r>
        <w:rPr>
          <w:rFonts w:ascii="Times New Roman" w:cs="Times New Roman" w:eastAsia="Times New Roman" w:hAnsi="Times New Roman"/>
          <w:sz w:val="24"/>
          <w:szCs w:val="24"/>
        </w:rPr>
        <w:t xml:space="preserve">But these same features eventually prevented coordination on necessary reforms. The structure that enabled commitment blocked adaptation. Path dependence locked in arrangements that served one competitive environment while preventing adjustment to changed circumstances. The Dutch case thus extends North and Weingast: credible commitment is necessary but not sufficient; optimal institutional design must balance commitment with flexibility.</w:t>
      </w:r>
    </w:p>
    <w:p>
      <w:pPr>
        <w:spacing w:after="200" w:line="276"/>
      </w:pPr>
      <w:r>
        <w:rPr>
          <w:rFonts w:ascii="Times New Roman" w:cs="Times New Roman" w:eastAsia="Times New Roman" w:hAnsi="Times New Roman"/>
          <w:b/>
          <w:bCs/>
          <w:sz w:val="24"/>
          <w:szCs w:val="24"/>
        </w:rPr>
        <w:t xml:space="preserve">Arrighi's Systemic Cycles of Accumulation</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Giovanni Arrighi's *The Long Twentieth Century* identifies four systemic cycles of accumulation: Genoa, Netherlands, Britain, United States. Each begins with material expansion (production and trade) and ends with financial expansion (shift to speculation as production profits decline). Dutch financialization—capital export to Britain—marked the signal of hegemonic decline.</w:t>
      </w:r>
    </w:p>
    <w:p>
      <w:pPr>
        <w:spacing w:after="200" w:line="276"/>
      </w:pPr>
      <w:r>
        <w:rPr>
          <w:rFonts w:ascii="Times New Roman" w:cs="Times New Roman" w:eastAsia="Times New Roman" w:hAnsi="Times New Roman"/>
          <w:sz w:val="24"/>
          <w:szCs w:val="24"/>
        </w:rPr>
        <w:t xml:space="preserve">The switch to finance "signifies the impending decline of hegemonic power." When productive investment opportunities diminish, capital seeks returns in financial manipulation—but this represents extraction rather than creation. The Dutch case provides Arrighi's clearest historical evidence: Amsterdam became Europe's financial center precisely as Dutch productive capacity stagnated, and Dutch capital literally funded British industrialization.</w:t>
      </w:r>
    </w:p>
    <w:p>
      <w:pPr>
        <w:spacing w:after="200" w:line="276"/>
      </w:pPr>
      <w:r>
        <w:rPr>
          <w:rFonts w:ascii="Times New Roman" w:cs="Times New Roman" w:eastAsia="Times New Roman" w:hAnsi="Times New Roman"/>
          <w:b/>
          <w:bCs/>
          <w:sz w:val="24"/>
          <w:szCs w:val="24"/>
        </w:rPr>
        <w:t xml:space="preserve">De Vries and Van der Woude's "First Modern Economy"</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Jan de Vries and Ad van der Woude's 1997 Cambridge study argues the Netherlands constituted "the first modern economy"—commercialized agriculture, sophisticated capital and labor markets, high urbanization, extensive monetization, high education levels, and financial innovation. Their claims "stand in tension with a formidable bulwark of historical periodization" that places the French and English revolutions as dividing lines between traditional and modern economies.</w:t>
      </w:r>
    </w:p>
    <w:p>
      <w:pPr>
        <w:spacing w:after="200" w:line="276"/>
      </w:pPr>
      <w:r>
        <w:rPr>
          <w:rFonts w:ascii="Times New Roman" w:cs="Times New Roman" w:eastAsia="Times New Roman" w:hAnsi="Times New Roman"/>
          <w:sz w:val="24"/>
          <w:szCs w:val="24"/>
        </w:rPr>
        <w:t xml:space="preserve">The Dutch case proves modernity does not guarantee continued growth. Every feature de Vries and van der Woude identify as "modern" was present in the Dutch Republic—yet the Republic missed the Industrial Revolution entirely. Modernity creates possibilities; it does not determine outcomes. The institutional rigidities that emerge from successful commercial development may themselves block subsequent industrial transformation.</w:t>
      </w:r>
    </w:p>
    <w:p>
      <w:pPr>
        <w:spacing w:after="200" w:line="276"/>
      </w:pPr>
      <w:r>
        <w:rPr>
          <w:rFonts w:ascii="Times New Roman" w:cs="Times New Roman" w:eastAsia="Times New Roman" w:hAnsi="Times New Roman"/>
          <w:b/>
          <w:bCs/>
          <w:sz w:val="24"/>
          <w:szCs w:val="24"/>
        </w:rPr>
        <w:t xml:space="preserve">Steensgaard on Redistributive versus Productive Enterprise</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Niels Steensgaard's 1973 *Carracks, Caravans, and Companies* distinguishes redistributive enterprises (extracting wealth through political means) from productive enterprises (generating wealth through efficient organization). The Portuguese Estado da India "traded in order [to obtain for itself] the full benefit of its use of violence." The VOC "internalized the protection costs"—integrating violence into profit-maximizing strategy rather than treating it as external state service.</w:t>
      </w:r>
    </w:p>
    <w:p>
      <w:pPr>
        <w:spacing w:after="200" w:line="276"/>
      </w:pPr>
      <w:r>
        <w:rPr>
          <w:rFonts w:ascii="Times New Roman" w:cs="Times New Roman" w:eastAsia="Times New Roman" w:hAnsi="Times New Roman"/>
          <w:sz w:val="24"/>
          <w:szCs w:val="24"/>
        </w:rPr>
        <w:t xml:space="preserve">But when monopoly eroded, heavy fixed costs (forts, personnel, military establishments) became liabilities rather than advantages. The VOC's institutional structure optimized for monopolistic extraction could not adapt to competitive conditions. The distinction between redistributive and productive organization remains relevant for modern platform monopolies facing similar transitions.</w:t>
      </w:r>
    </w:p>
    <w:p>
      <w:pPr>
        <w:pStyle w:val="Heading2"/>
        <w:spacing w:before="400" w:after="200"/>
      </w:pPr>
      <w:r>
        <w:rPr>
          <w:rFonts w:ascii="Times New Roman" w:cs="Times New Roman" w:eastAsia="Times New Roman" w:hAnsi="Times New Roman"/>
          <w:b/>
          <w:bCs/>
          <w:sz w:val="26"/>
          <w:szCs w:val="26"/>
        </w:rPr>
        <w:t xml:space="preserve">4.5 The 1694 Transfer: What Really Happened</w:t>
      </w:r>
    </w:p>
    <w:p>
      <w:pPr>
        <w:spacing w:after="200" w:line="276"/>
      </w:pPr>
      <w:r>
        <w:rPr>
          <w:rFonts w:ascii="Times New Roman" w:cs="Times New Roman" w:eastAsia="Times New Roman" w:hAnsi="Times New Roman"/>
          <w:sz w:val="24"/>
          <w:szCs w:val="24"/>
        </w:rPr>
        <w:t xml:space="preserve">Chapter 2 introduced the 1694 thesis: financial revolutions are culminations, not causes, of hegemonic transitions. The founding of the Bank of England on July 27, 1694 was not an independent British financial innovation; it represented the transfer of Dutch institutional DNA to British soil. Understanding what actually happened—and what it means for information capital theory—requires examining the mechanisms of institutional transfer in detail.</w:t>
      </w:r>
    </w:p>
    <w:p>
      <w:pPr>
        <w:spacing w:after="200" w:line="276"/>
      </w:pPr>
      <w:r>
        <w:rPr>
          <w:rFonts w:ascii="Times New Roman" w:cs="Times New Roman" w:eastAsia="Times New Roman" w:hAnsi="Times New Roman"/>
          <w:sz w:val="24"/>
          <w:szCs w:val="24"/>
        </w:rPr>
        <w:t xml:space="preserve">The Glorious Revolution of 1688 was, among other things, a Dutch invasion of England. William III, Stadtholder of the Netherlands, landed at Brixham on November 5, 1688 with a fleet vastly larger than the Spanish Armada: 463 ships carrying approximately 40,000 men, including some 14,000-15,000 Dutch regulars, approximately 5,000 volunteers (English and Scottish exiles, Huguenots, and other nationalities), cavalry, and naval personnel. German mercenaries were hired separately to garrison Dutch fortresses, freeing elite units like the Scots Brigade to sail with the invasion force. The City of Amsterdam financed the expedition after secret negotiations by Hans Willem Bentinck with Amsterdam burgomasters in June 1688. This was not a spontaneous English uprising against a tyrannical king; it was a carefully planned operation using Dutch capital, Dutch ships, and Dutch organizational expertise.</w:t>
      </w:r>
    </w:p>
    <w:p>
      <w:pPr>
        <w:spacing w:after="200" w:line="276"/>
      </w:pPr>
      <w:r>
        <w:rPr>
          <w:rFonts w:ascii="Times New Roman" w:cs="Times New Roman" w:eastAsia="Times New Roman" w:hAnsi="Times New Roman"/>
          <w:sz w:val="24"/>
          <w:szCs w:val="24"/>
        </w:rPr>
        <w:t xml:space="preserve">The invasion succeeded because of prior arrangements with English conspirators, but the point here is the mechanism of institutional transfer. William III brought with him not just an army but a governing philosophy shaped by Dutch experience. His advisors included Dutch financiers. His understanding of public finance reflected Dutch innovations. His expectation of how markets should function was shaped by Amsterdam's institutions. When William needed to fund the Nine Years' War against France—the immediate reason for the Bank of England's creation—he and his advisors naturally looked to Dutch models.</w:t>
      </w:r>
    </w:p>
    <w:p>
      <w:pPr>
        <w:spacing w:after="200" w:line="276"/>
      </w:pPr>
      <w:r>
        <w:rPr>
          <w:rFonts w:ascii="Times New Roman" w:cs="Times New Roman" w:eastAsia="Times New Roman" w:hAnsi="Times New Roman"/>
          <w:sz w:val="24"/>
          <w:szCs w:val="24"/>
        </w:rPr>
        <w:t xml:space="preserve">The Bank of England's founding demonstrates institutional transfer in action. The original subscription raised £1.2 million in just eleven days from 1,268 subscribers. The first Governor, Sir John Houblon (1632-1712), elected on July 11, 1694, came from a Huguenot family that had fled Lille in 1567 escaping the Duke of Alva's persecution. His father James Houblon was elder of the French Church at Threadneedle Street. Three Houblon brothers served as Bank directors; Abraham Houblon became Governor in 1703-1705. Countless Huguenot surnames appear on the original subscription list. Many of these Huguenot investors had lived in Amsterdam before relocating to London; they brought Dutch commercial and financial practices as part of their institutional knowledge.</w:t>
      </w:r>
    </w:p>
    <w:p>
      <w:pPr>
        <w:spacing w:after="200" w:line="276"/>
      </w:pPr>
      <w:r>
        <w:rPr>
          <w:rFonts w:ascii="Times New Roman" w:cs="Times New Roman" w:eastAsia="Times New Roman" w:hAnsi="Times New Roman"/>
          <w:sz w:val="24"/>
          <w:szCs w:val="24"/>
        </w:rPr>
        <w:t xml:space="preserve">The Bank of England was explicitly modeled on the Amsterdam Wisselbank—but with crucial adaptations. Both were established to solve currency chaos in major trading cities. Both created standardized monetary units to facilitate commerce. Both served as clearing houses for large transactions. But the Bank of England incorporated innovations that the Wisselbank had avoided: lending capacity, note-issuing authority from inception, and Parliamentary rather than municipal backing. Where the Wisselbank achieved credibility through conservatism—100 percent reserves, no lending, no banknotes—the Bank of England achieved credibility through institutional design: Parliamentary backing created constitutional protection that municipal guarantee could not match.</w:t>
      </w:r>
    </w:p>
    <w:p>
      <w:pPr>
        <w:spacing w:after="200" w:line="276"/>
      </w:pPr>
      <w:r>
        <w:rPr>
          <w:rFonts w:ascii="Times New Roman" w:cs="Times New Roman" w:eastAsia="Times New Roman" w:hAnsi="Times New Roman"/>
          <w:sz w:val="24"/>
          <w:szCs w:val="24"/>
        </w:rPr>
        <w:t xml:space="preserve">The differences are as instructive as the similarities. The Wisselbank was municipal, prohibited from lending, could not issue banknotes, and maintained 100 percent reserves. It collapsed in 1790 after the VOC defaulted on large unsecured advances secretly extended in violation of its founding principles. The Bank of England was national with Parliamentary backing, designed from inception to lend and manage government debt, note-issuing from the start, and evolved into a lender of last resort beginning with the 1773 crisis. The Bank of England adapted Dutch innovations to a larger political unit while avoiding Dutch constraints.</w:t>
      </w:r>
    </w:p>
    <w:p>
      <w:pPr>
        <w:spacing w:after="200" w:line="276"/>
      </w:pPr>
      <w:r>
        <w:rPr>
          <w:rFonts w:ascii="Times New Roman" w:cs="Times New Roman" w:eastAsia="Times New Roman" w:hAnsi="Times New Roman"/>
          <w:sz w:val="24"/>
          <w:szCs w:val="24"/>
        </w:rPr>
        <w:t xml:space="preserve">Additional institutional transfers accompanied the banking revolution. British adoption of funded public debt—dedicating certain tax revenues to service specific debt issues—followed Dutch models. Government bonds first issued in 1693 created new financial instruments. Excise taxes adopted Dutch practices. Bill of exchange techniques, transferable shares, and perpetual annuities all reflected institutional knowledge imported from Amsterdam.</w:t>
      </w:r>
    </w:p>
    <w:p>
      <w:pPr>
        <w:spacing w:after="200" w:line="276"/>
      </w:pPr>
      <w:r>
        <w:rPr>
          <w:rFonts w:ascii="Times New Roman" w:cs="Times New Roman" w:eastAsia="Times New Roman" w:hAnsi="Times New Roman"/>
          <w:sz w:val="24"/>
          <w:szCs w:val="24"/>
        </w:rPr>
        <w:t xml:space="preserve">The timing is crucial for the 1694 thesis. Dutch interest rates were already lower than English rates before 1688; the Dutch had achieved credible commitment before the Glorious Revolution occurred. What transferred was not just techniques but institutional infrastructure: the accumulated trust relationships, procedural knowledge, and organizational expertise that made sophisticated finance possible. This institutional knowledge could not be created overnight through legislative fiat; it required years of development, failure, adaptation, and refinement. The British inherited generations of Dutch institutional learning compressed into a few years of intensive transfer.</w:t>
      </w:r>
    </w:p>
    <w:p>
      <w:pPr>
        <w:spacing w:after="200" w:line="276"/>
      </w:pPr>
      <w:r>
        <w:rPr>
          <w:rFonts w:ascii="Times New Roman" w:cs="Times New Roman" w:eastAsia="Times New Roman" w:hAnsi="Times New Roman"/>
          <w:sz w:val="24"/>
          <w:szCs w:val="24"/>
        </w:rPr>
        <w:t xml:space="preserve">The geographic dimension matters equally. Dutch constraints were fundamentally geographic: approximately 2 million population versus Britain's 5 million (growing to 9 million by 1800); federal structure fragmenting public debt across provincial jurisdictions; high wages and taxes limiting industrial competitiveness; structural overvaluation of the guilder; political decentralization "bordering on chaotic" in Mokyr's memorable phrase. Britain offered unified national debt, coal and iron deposits enabling industrialization, political centralization after the 1707 Union with Scotland, island geography protecting from invasion, and political mechanisms for change without violence.</w:t>
      </w:r>
    </w:p>
    <w:p>
      <w:pPr>
        <w:spacing w:after="200" w:line="276"/>
      </w:pPr>
      <w:r>
        <w:rPr>
          <w:rFonts w:ascii="Times New Roman" w:cs="Times New Roman" w:eastAsia="Times New Roman" w:hAnsi="Times New Roman"/>
          <w:sz w:val="24"/>
          <w:szCs w:val="24"/>
        </w:rPr>
        <w:t xml:space="preserve">The 1694 moment represents, in Giovanni Arrighi's theoretical framework, a critical transition point in systemic cycles of accumulation. Institutional transfer completed as Dutch innovations adapted to a larger political unit. War finance mechanisms created as the Nine Years' War was "largely paid for with Dutch funds." Dutch capital flows to Britain began as main Dutch trading and banking houses moved significant activity from Amsterdam to London after 1688. The credibility mechanism established through Parliamentary backing created credible commitment that Dutch provincial structures could not match. Naval funding enabled the Royal Navy that became the instrument of British hegemony.</w:t>
      </w:r>
    </w:p>
    <w:p>
      <w:pPr>
        <w:spacing w:after="200" w:line="276"/>
      </w:pPr>
      <w:r>
        <w:rPr>
          <w:rFonts w:ascii="Times New Roman" w:cs="Times New Roman" w:eastAsia="Times New Roman" w:hAnsi="Times New Roman"/>
          <w:sz w:val="24"/>
          <w:szCs w:val="24"/>
        </w:rPr>
        <w:t xml:space="preserve">For information capital theory, the 1694 transfer demonstrates how institutional knowledge moves between systems. The Dutch had created templates—for central banking, for funded debt, for corporate organization, for securities trading. These templates encoded accumulated learning about how to solve the coordination problems, commitment problems, and information problems that complex financial systems require. The British did not invent these solutions; they imported them, adapted them to different circumstances, and scaled them to a larger economy. The innovation was in adaptation and scale, not in original creation.</w:t>
      </w:r>
    </w:p>
    <w:p>
      <w:pPr>
        <w:spacing w:after="200" w:line="276"/>
      </w:pPr>
      <w:r>
        <w:rPr>
          <w:rFonts w:ascii="Times New Roman" w:cs="Times New Roman" w:eastAsia="Times New Roman" w:hAnsi="Times New Roman"/>
          <w:sz w:val="24"/>
          <w:szCs w:val="24"/>
        </w:rPr>
        <w:t xml:space="preserve">This pattern has implications for modern data markets. The institutional infrastructure for information capital does not yet exist; we are, as Chapter 3 suggested, in a "pre-economics" phase comparable to capital markets before 1602. When that infrastructure emerges, it may not emerge from scratch. It may transfer from existing institutions that have solved analogous problems—adapted and scaled as the Bank of England adapted and scaled the Wisselbank model. Understanding how the Dutch-to-British transfer actually worked provides a template for recognizing such transfers when they occur.</w:t>
      </w:r>
    </w:p>
    <w:p>
      <w:pPr>
        <w:pStyle w:val="Heading2"/>
        <w:spacing w:before="400" w:after="200"/>
      </w:pPr>
      <w:r>
        <w:rPr>
          <w:rFonts w:ascii="Times New Roman" w:cs="Times New Roman" w:eastAsia="Times New Roman" w:hAnsi="Times New Roman"/>
          <w:b/>
          <w:bCs/>
          <w:sz w:val="26"/>
          <w:szCs w:val="26"/>
        </w:rPr>
        <w:t xml:space="preserve">4.6 The Collapse Pattern: When Information Infrastructure Fails</w:t>
      </w:r>
    </w:p>
    <w:p>
      <w:pPr>
        <w:spacing w:after="200" w:line="276"/>
      </w:pPr>
      <w:r>
        <w:rPr>
          <w:rFonts w:ascii="Times New Roman" w:cs="Times New Roman" w:eastAsia="Times New Roman" w:hAnsi="Times New Roman"/>
          <w:sz w:val="24"/>
          <w:szCs w:val="24"/>
        </w:rPr>
        <w:t xml:space="preserve">The Dutch Republic did not collapse suddenly. Its decline unfolded across a century, domain by domain, in patterns that illuminate how information capital systems fail. Understanding the Dutch collapse trajectory reveals warning signs that apply to any system dependent on institutional credibility and information infrastructure.</w:t>
      </w:r>
    </w:p>
    <w:p>
      <w:pPr>
        <w:spacing w:after="200" w:line="276"/>
      </w:pPr>
      <w:r>
        <w:rPr>
          <w:rFonts w:ascii="Times New Roman" w:cs="Times New Roman" w:eastAsia="Times New Roman" w:hAnsi="Times New Roman"/>
          <w:sz w:val="24"/>
          <w:szCs w:val="24"/>
        </w:rPr>
        <w:t xml:space="preserve">The first warning sign was financialization—the shift from material expansion to financial expansion in Arrighi's terminology. By the mid-eighteenth century, Dutch capital increasingly flowed abroad rather than financing domestic innovation. Net Dutch foreign government lending exceeded 350 million guilders by 1780, representing approximately two-thirds of British government debt. Annual foreign earnings reached 16 million guilders. After 1780—contrary to what might be expected following military defeat—this capital export trend "sharply increased." Dutch rentiers preferred "safe" foreign bonds to risky domestic investment. Amsterdam became, in tandem with London, an eighteenth-century hub of international finance—financing the Industrial Revolution it would not share.</w:t>
      </w:r>
    </w:p>
    <w:p>
      <w:pPr>
        <w:spacing w:after="200" w:line="276"/>
      </w:pPr>
      <w:r>
        <w:rPr>
          <w:rFonts w:ascii="Times New Roman" w:cs="Times New Roman" w:eastAsia="Times New Roman" w:hAnsi="Times New Roman"/>
          <w:sz w:val="24"/>
          <w:szCs w:val="24"/>
        </w:rPr>
        <w:t xml:space="preserve">The economic historian Stefan Oppers documented "The Interest Rate Effect of Dutch Money in Eighteenth-Century Britain"—demonstrating that Dutch capital literally lowered British borrowing costs, enabling industrial investment that Dutch institutions could not or would not finance domestically. The Dutch funded their own displacement.</w:t>
      </w:r>
    </w:p>
    <w:p>
      <w:pPr>
        <w:spacing w:after="200" w:line="276"/>
      </w:pPr>
      <w:r>
        <w:rPr>
          <w:rFonts w:ascii="Times New Roman" w:cs="Times New Roman" w:eastAsia="Times New Roman" w:hAnsi="Times New Roman"/>
          <w:sz w:val="24"/>
          <w:szCs w:val="24"/>
        </w:rPr>
        <w:t xml:space="preserve">The second warning sign was the science-technology disconnect. The Dutch Golden Age had produced remarkable scientific achievement: Christiaan Huygens invented the pendulum clock (1656), reducing timekeeping error from 15 minutes per day to 15 seconds per day. Anton van Leeuwenhoek pioneered microscopy. The Leiden botanical gardens and medical faculty attracted students from across Europe. But by the eighteenth century, as economic historian Joel Mokyr observed, "The commercial elite saw no profit in innovating. What may have seemed an obvious investment move in hindsight may have seemed risk-laden ex ante."</w:t>
      </w:r>
    </w:p>
    <w:p>
      <w:pPr>
        <w:spacing w:after="200" w:line="276"/>
      </w:pPr>
      <w:r>
        <w:rPr>
          <w:rFonts w:ascii="Times New Roman" w:cs="Times New Roman" w:eastAsia="Times New Roman" w:hAnsi="Times New Roman"/>
          <w:sz w:val="24"/>
          <w:szCs w:val="24"/>
        </w:rPr>
        <w:t xml:space="preserve">The pattern was consistent: "few links between innovators and entrepreneurs after 1740"; "no change in tech before French conquest." Margaret Jacob observed that the "Dutch commercial elite simply lost interest in mechanical arts." Societies like the Bavatic Society for Experimental Philosophy and Felix Meritis attempted to bridge the science gap but "this did not translate into tech gains." Science continued; technology stagnated. Britain achieved the "closeness of natural philosophers, engineers, and entrepreneurs" that industrialization required. The Netherlands did not.</w:t>
      </w:r>
    </w:p>
    <w:p>
      <w:pPr>
        <w:spacing w:after="200" w:line="276"/>
      </w:pPr>
      <w:r>
        <w:rPr>
          <w:rFonts w:ascii="Times New Roman" w:cs="Times New Roman" w:eastAsia="Times New Roman" w:hAnsi="Times New Roman"/>
          <w:sz w:val="24"/>
          <w:szCs w:val="24"/>
        </w:rPr>
        <w:t xml:space="preserve">The third warning sign was demographic stagnation. Dutch population essentially stagnated at approximately 1.9-2.0 million from 1700 to 1795. British population grew from roughly 5 million in 1700 to roughly 9 million in 1800—0.5 to 0.7 percent annual growth versus Dutch near-stagnation. More remarkably, Dutch cities began shrinking: "Uniquely in early-18th century Europe, Dutch cities shrunk in size, where everywhere else countries became more urbanized." Amsterdam remained at approximately 200,000, failing to grow. The refugee engine that had powered Dutch growth stopped—restrictive policies replaced the openness that had attracted talent from across Europe.</w:t>
      </w:r>
    </w:p>
    <w:p>
      <w:pPr>
        <w:spacing w:after="200" w:line="276"/>
      </w:pPr>
      <w:r>
        <w:rPr>
          <w:rFonts w:ascii="Times New Roman" w:cs="Times New Roman" w:eastAsia="Times New Roman" w:hAnsi="Times New Roman"/>
          <w:sz w:val="24"/>
          <w:szCs w:val="24"/>
        </w:rPr>
        <w:t xml:space="preserve">The fourth warning sign was governance paralysis. The federal structure that had once enabled credible commitment now blocked reform. Provincial elites benefited from existing arrangements. Financial sector foreign investment created lobbies favoring capital export over domestic investment. Multiple veto points blocked coordination. Republican ideology opposed the centralization that adaptation required. Mokyr identified the core problem: "Antiquated fiscal rules, technologically reactionary guilds and other distributional coalitions, obsolete legal systems of local government and land use and property rights...all needed to be swept away." These were not feudal relics but "relics of a commercial economy"—institutions appropriate for entrepôt trade but obstacles to industrial production.</w:t>
      </w:r>
    </w:p>
    <w:p>
      <w:pPr>
        <w:spacing w:after="200" w:line="276"/>
      </w:pPr>
      <w:r>
        <w:rPr>
          <w:rFonts w:ascii="Times New Roman" w:cs="Times New Roman" w:eastAsia="Times New Roman" w:hAnsi="Times New Roman"/>
          <w:sz w:val="24"/>
          <w:szCs w:val="24"/>
        </w:rPr>
        <w:t xml:space="preserve">The Republic achieved "complete re-organization of its fiscal system" only after 1795—when French troops crossed frozen rivers and dissolved the republic that had funded its own replacement.</w:t>
      </w:r>
    </w:p>
    <w:p>
      <w:pPr>
        <w:spacing w:after="200" w:line="276"/>
      </w:pPr>
      <w:r>
        <w:rPr>
          <w:rFonts w:ascii="Times New Roman" w:cs="Times New Roman" w:eastAsia="Times New Roman" w:hAnsi="Times New Roman"/>
          <w:sz w:val="24"/>
          <w:szCs w:val="24"/>
        </w:rPr>
        <w:t xml:space="preserve">The fifth and perhaps most revealing warning sign was cultural ossification. The eighteenth century earned the disdainful epithet Pruikentijd—the periwig era. The enormous success of seventeenth-century Dutch painting overpowered subsequent generations. Buyers preferred dead to living artists. Painters like Willem van Mieris and Louis de Moni "created copies that were highly valued by collectors"—dependence on reproduction rather than innovation. Vermeer's bankruptcy illustrated the broader pattern: "As the economy crashed, so did the art market." The Golden Age cast a shadow so long that escape required revolution.</w:t>
      </w:r>
    </w:p>
    <w:p>
      <w:pPr>
        <w:spacing w:after="200" w:line="276"/>
      </w:pPr>
      <w:r>
        <w:rPr>
          <w:rFonts w:ascii="Times New Roman" w:cs="Times New Roman" w:eastAsia="Times New Roman" w:hAnsi="Times New Roman"/>
          <w:sz w:val="24"/>
          <w:szCs w:val="24"/>
        </w:rPr>
        <w:t xml:space="preserve">Tax burden reveals how institutional sclerosis transformed into extraction. Unskilled Holland workers faced tax burdens reaching approximately 53 percent of income by 1790, funding interest payments that "transferred income from the poorer classes to the richer to the amount of 14 million guilders a year (approximately 7 percent of GDP)." Seventy percent or more of Holland's annual revenue went to debt service. The system that had once mobilized capital for productive investment now extracted wealth from workers to fund rentier consumption.</w:t>
      </w:r>
    </w:p>
    <w:p>
      <w:pPr>
        <w:spacing w:after="200" w:line="276"/>
      </w:pPr>
      <w:r>
        <w:rPr>
          <w:rFonts w:ascii="Times New Roman" w:cs="Times New Roman" w:eastAsia="Times New Roman" w:hAnsi="Times New Roman"/>
          <w:sz w:val="24"/>
          <w:szCs w:val="24"/>
        </w:rPr>
        <w:t xml:space="preserve">For information capital theory, the Dutch collapse pattern offers sobering lessons. The same institutional features that enabled success became mechanisms of decline. Multiple veto points that prevented arbitrary expropriation also prevented necessary reform. Conservative banking that created credible commitment also blocked financial innovation. Skilled craftsmen protected by guilds became obstacles to industrialization. The merchant oligarchy that had guided the Golden Age became a rentier class more interested in preserving wealth than creating it.</w:t>
      </w:r>
    </w:p>
    <w:p>
      <w:pPr>
        <w:spacing w:after="200" w:line="276"/>
      </w:pPr>
      <w:r>
        <w:rPr>
          <w:rFonts w:ascii="Times New Roman" w:cs="Times New Roman" w:eastAsia="Times New Roman" w:hAnsi="Times New Roman"/>
          <w:sz w:val="24"/>
          <w:szCs w:val="24"/>
        </w:rPr>
        <w:t xml:space="preserve">Information capital advantages proved particularly vulnerable to erosion. The price information network that had made Amsterdam central to European trade lost value as competitors developed equivalent infrastructure. The commercial intelligence that VOC had accumulated became liabilities as organizational corruption degraded its quality. The institutional knowledge encoded in Dutch banking practices transferred to London as Huguenot and Dutch financiers relocated. Information capital, it turns out, is portable—and when the institutions that generate and process it decay, the capital flows to more hospitable environments.</w:t>
      </w:r>
    </w:p>
    <w:p>
      <w:pPr>
        <w:spacing w:after="200" w:line="276"/>
      </w:pPr>
      <w:r>
        <w:rPr>
          <w:rFonts w:ascii="Times New Roman" w:cs="Times New Roman" w:eastAsia="Times New Roman" w:hAnsi="Times New Roman"/>
          <w:b/>
          <w:bCs/>
          <w:sz w:val="24"/>
          <w:szCs w:val="24"/>
        </w:rPr>
        <w:t xml:space="preserve">Closing: The Template and What Happens When You Inherit It Versus Build It</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The Dutch created a template for modern capitalism. Nearly every institutional form that defines contemporary finance—the joint-stock corporation, the stock exchange, the central bank, funded public debt, the knowledge economy—has Dutch origins or passed through Dutch refinement. The information architecture they built—postal networks, price currents, corporate intelligence systems, trust-encoding banking—solved problems that still recur in every attempt to create information capital markets.</w:t>
      </w:r>
    </w:p>
    <w:p>
      <w:pPr>
        <w:spacing w:after="200" w:line="276"/>
      </w:pPr>
      <w:r>
        <w:rPr>
          <w:rFonts w:ascii="Times New Roman" w:cs="Times New Roman" w:eastAsia="Times New Roman" w:hAnsi="Times New Roman"/>
          <w:sz w:val="24"/>
          <w:szCs w:val="24"/>
        </w:rPr>
        <w:t xml:space="preserve">Yet the Dutch case also demonstrates the limits of first-mover advantage. Being first creates path dependencies. Institutions optimized for one competitive environment may be obstacles in another. The VOC's organizational structure was perfect for monopolistic Asian trade; it could not adapt to competitive industrial production. The Wisselbank's conservatism earned credibility that ambitious lending would have sacrificed; that same conservatism prevented it from evolving into a true central bank. The federal structure that enabled credible commitment prevented the coordination that systemic reform required.</w:t>
      </w:r>
    </w:p>
    <w:p>
      <w:pPr>
        <w:spacing w:after="200" w:line="276"/>
      </w:pPr>
      <w:r>
        <w:rPr>
          <w:rFonts w:ascii="Times New Roman" w:cs="Times New Roman" w:eastAsia="Times New Roman" w:hAnsi="Times New Roman"/>
          <w:sz w:val="24"/>
          <w:szCs w:val="24"/>
        </w:rPr>
        <w:t xml:space="preserve">The British inherited Dutch institutional knowledge without Dutch constraints. They did not need to invent central banking; they could adapt the Wisselbank model to different circumstances. They did not need to create joint-stock organization from scratch; they could learn from VOC's successes and failures. They did not need to develop securities markets de novo; they could import Dutch practices along with Dutch financiers. But they did need to adapt everything to a larger political unit, a different economic base, and changing competitive conditions. The British advantage was not in creating the template but in scaling and improving it.</w:t>
      </w:r>
    </w:p>
    <w:p>
      <w:pPr>
        <w:spacing w:after="200" w:line="276"/>
      </w:pPr>
      <w:r>
        <w:rPr>
          <w:rFonts w:ascii="Times New Roman" w:cs="Times New Roman" w:eastAsia="Times New Roman" w:hAnsi="Times New Roman"/>
          <w:sz w:val="24"/>
          <w:szCs w:val="24"/>
        </w:rPr>
        <w:t xml:space="preserve">This distinction—between creating and inheriting—has direct implications for modern data markets. The institutional infrastructure for information capital does not yet exist at scale. Data exchanges operate on limited liquidity. Data valuation remains primitive. Trust mechanisms for information transactions are nascent. The entity that creates the institutional template may not be the entity that dominates the mature market—just as the Dutch created the template while Britain dominated the mature market.</w:t>
      </w:r>
    </w:p>
    <w:p>
      <w:pPr>
        <w:spacing w:after="200" w:line="276"/>
      </w:pPr>
      <w:r>
        <w:rPr>
          <w:rFonts w:ascii="Times New Roman" w:cs="Times New Roman" w:eastAsia="Times New Roman" w:hAnsi="Times New Roman"/>
          <w:sz w:val="24"/>
          <w:szCs w:val="24"/>
        </w:rPr>
        <w:t xml:space="preserve">The 1694 thesis receives its strongest validation in the Dutch case. The Bank of England did not create British hegemony; it emerged from prior institutional development, absorbed Dutch knowledge, and served as culminating infrastructure for a transformation already underway in governance, law, technology, and social organization. Financial revolution followed broader transformation; it did not cause it.</w:t>
      </w:r>
    </w:p>
    <w:p>
      <w:pPr>
        <w:spacing w:after="200" w:line="276"/>
      </w:pPr>
      <w:r>
        <w:rPr>
          <w:rFonts w:ascii="Times New Roman" w:cs="Times New Roman" w:eastAsia="Times New Roman" w:hAnsi="Times New Roman"/>
          <w:sz w:val="24"/>
          <w:szCs w:val="24"/>
        </w:rPr>
        <w:t xml:space="preserve">For practitioners navigating the emerging information economy, the Dutch case offers both encouragement and warning. Encouragement: institutional innovation can create enormous advantages. The Dutch transformed a swampy delta into the center of global commerce through systematic investment in information infrastructure. Warning: institutional advantages decay. The very features that enable success can prevent adaptation when competitive environments shift.</w:t>
      </w:r>
    </w:p>
    <w:p>
      <w:pPr>
        <w:spacing w:after="200" w:line="276"/>
      </w:pPr>
      <w:r>
        <w:rPr>
          <w:rFonts w:ascii="Times New Roman" w:cs="Times New Roman" w:eastAsia="Times New Roman" w:hAnsi="Times New Roman"/>
          <w:sz w:val="24"/>
          <w:szCs w:val="24"/>
        </w:rPr>
        <w:t xml:space="preserve">The chapters that follow trace how the British adapted Dutch innovations, how Americans adapted British innovations, and what patterns emerge from these sequential transformations. The 1694 moment was not unique; it was the most clearly documented instance of a recurring pattern. Understanding that pattern—how institutional knowledge transfers, how templates are adapted to new circumstances, how culminating financial innovations emerge from prior foundational development—provides the empirical grounding that information capital theory requires.</w:t>
      </w:r>
    </w:p>
    <w:p>
      <w:pPr>
        <w:spacing w:after="200" w:line="276"/>
      </w:pPr>
      <w:r>
        <w:rPr>
          <w:rFonts w:ascii="Times New Roman" w:cs="Times New Roman" w:eastAsia="Times New Roman" w:hAnsi="Times New Roman"/>
          <w:sz w:val="24"/>
          <w:szCs w:val="24"/>
        </w:rPr>
        <w:t xml:space="preserve">The Dutch built it. The British inherited it. Understanding the difference illuminates what may be required to build the institutional infrastructure for information capital markets that do not yet exist.</w:t>
      </w:r>
    </w:p>
    <w:p>
      <w:pPr>
        <w:spacing w:before="200" w:after="200"/>
        <w:jc w:val="center"/>
      </w:pPr>
      <w:r>
        <w:rPr>
          <w:rFonts w:ascii="Times New Roman" w:cs="Times New Roman" w:eastAsia="Times New Roman" w:hAnsi="Times New Roman"/>
          <w:sz w:val="24"/>
          <w:szCs w:val="24"/>
        </w:rPr>
        <w:t xml:space="preserve">* * *</w:t>
      </w:r>
    </w:p>
    <w:p>
      <w:pPr>
        <w:spacing w:after="200" w:line="276"/>
      </w:pPr>
      <w:r>
        <w:rPr>
          <w:rFonts w:ascii="Times New Roman" w:cs="Times New Roman" w:eastAsia="Times New Roman" w:hAnsi="Times New Roman"/>
          <w:b/>
          <w:bCs/>
          <w:sz w:val="24"/>
          <w:szCs w:val="24"/>
        </w:rPr>
        <w:t xml:space="preserve">Questions for Reflection</w:t>
      </w:r>
      <w:r>
        <w:rPr>
          <w:rFonts w:ascii="Times New Roman" w:cs="Times New Roman" w:eastAsia="Times New Roman" w:hAnsi="Times New Roman"/>
          <w:sz w:val="24"/>
          <w:szCs w:val="24"/>
        </w:rPr>
        <w:t xml:space="preserve"/>
      </w:r>
    </w:p>
    <w:p>
      <w:pPr>
        <w:spacing w:after="200" w:line="276"/>
      </w:pPr>
      <w:r>
        <w:rPr>
          <w:rFonts w:ascii="Times New Roman" w:cs="Times New Roman" w:eastAsia="Times New Roman" w:hAnsi="Times New Roman"/>
          <w:sz w:val="24"/>
          <w:szCs w:val="24"/>
        </w:rPr>
        <w:t xml:space="preserve">Before proceeding to the British case, consider these diagnostic questions about institutional development:</w:t>
      </w:r>
    </w:p>
    <w:p>
      <w:pPr>
        <w:spacing w:after="100" w:line="276"/>
        <w:ind w:left="720"/>
      </w:pPr>
      <w:r>
        <w:rPr>
          <w:rFonts w:ascii="Times New Roman" w:cs="Times New Roman" w:eastAsia="Times New Roman" w:hAnsi="Times New Roman"/>
          <w:sz w:val="24"/>
          <w:szCs w:val="24"/>
        </w:rPr>
        <w:t xml:space="preserve">1. The Dutch information infrastructure—postal networks, price currents, the Wisselbank—created competitive advantages that took competitors decades to replicate. What information infrastructure investments might create comparable advantages for organizations today? How would you assess whether such investments generate information capital or merely operational expense?</w:t>
      </w:r>
    </w:p>
    <w:p>
      <w:pPr>
        <w:spacing w:after="100" w:line="276"/>
        <w:ind w:left="720"/>
      </w:pPr>
      <w:r>
        <w:rPr>
          <w:rFonts w:ascii="Times New Roman" w:cs="Times New Roman" w:eastAsia="Times New Roman" w:hAnsi="Times New Roman"/>
          <w:sz w:val="24"/>
          <w:szCs w:val="24"/>
        </w:rPr>
        <w:t xml:space="preserve">2. The VOC's permanent capital structure solved the coordination problem of long-term investment but created agency problems that were never adequately resolved. Modern platform companies face analogous tensions between founder control and investor interests. How do contemporary governance structures address or fail to address the problems the VOC encountered?</w:t>
      </w:r>
    </w:p>
    <w:p>
      <w:pPr>
        <w:spacing w:after="100" w:line="276"/>
        <w:ind w:left="720"/>
      </w:pPr>
      <w:r>
        <w:rPr>
          <w:rFonts w:ascii="Times New Roman" w:cs="Times New Roman" w:eastAsia="Times New Roman" w:hAnsi="Times New Roman"/>
          <w:sz w:val="24"/>
          <w:szCs w:val="24"/>
        </w:rPr>
        <w:t xml:space="preserve">3. The Wisselbank's collapse—from 97 percent reserve backing to 28 percent in four years—demonstrates how institutional trust, once lost, cannot easily be recovered. What analogous trust mechanisms exist in modern data markets? How might violations of those trust mechanisms affect information capital valuations?</w:t>
      </w:r>
    </w:p>
    <w:p>
      <w:pPr>
        <w:spacing w:after="100" w:line="276"/>
        <w:ind w:left="720"/>
      </w:pPr>
      <w:r>
        <w:rPr>
          <w:rFonts w:ascii="Times New Roman" w:cs="Times New Roman" w:eastAsia="Times New Roman" w:hAnsi="Times New Roman"/>
          <w:sz w:val="24"/>
          <w:szCs w:val="24"/>
        </w:rPr>
        <w:t xml:space="preserve">4. The Dutch-to-British transfer occurred through multiple mechanisms: personnel migration (Huguenots), institutional copying (Bank of England from Wisselbank), and capital flows (Dutch investment in British government debt). Which of these mechanisms are you seeing in contemporary market transitions? What institutional knowledge is currently being transferred, and between which entities?</w:t>
      </w:r>
    </w:p>
    <w:p>
      <w:pPr>
        <w:spacing w:after="100" w:line="276"/>
        <w:ind w:left="720"/>
      </w:pPr>
      <w:r>
        <w:rPr>
          <w:rFonts w:ascii="Times New Roman" w:cs="Times New Roman" w:eastAsia="Times New Roman" w:hAnsi="Times New Roman"/>
          <w:sz w:val="24"/>
          <w:szCs w:val="24"/>
        </w:rPr>
        <w:t xml:space="preserve">5. The Dutch warning signs—financialization, science-technology disconnect, demographic stagnation, governance paralysis, cultural ossification—preceded political collapse by decades. Are any of these patterns visible in contemporary institutions you know well? What would early intervention look like?</w:t>
      </w:r>
    </w:p>
    <w:p>
      <w:pPr>
        <w:spacing w:after="200" w:line="276"/>
      </w:pPr>
      <w:r>
        <w:rPr>
          <w:rFonts w:ascii="Times New Roman" w:cs="Times New Roman" w:eastAsia="Times New Roman" w:hAnsi="Times New Roman"/>
          <w:sz w:val="24"/>
          <w:szCs w:val="24"/>
        </w:rPr>
        <w:t xml:space="preserve">These questions are not rhetorical. They are diagnostic instruments for recognizing patterns that recur across centuries and contexts. The Dutch case provides empirical evidence for how information capital systems form, function, and fail. The following chapters apply this analytical framework to subsequent hegemonic transitions, building toward the contemporary implications that the information economy demands.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2026-01-09T10:54:43.460Z</dcterms:created>
  <dcterms:modified xsi:type="dcterms:W3CDTF">2026-01-09T10:54:43.461Z</dcterms:modified>
</cp:coreProperties>
</file>

<file path=docProps/custom.xml><?xml version="1.0" encoding="utf-8"?>
<Properties xmlns="http://schemas.openxmlformats.org/officeDocument/2006/custom-properties" xmlns:vt="http://schemas.openxmlformats.org/officeDocument/2006/docPropsVTypes"/>
</file>