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78eedbc97ee1e88a94b5a500c838556d3abfa6"/>
    <w:p>
      <w:pPr>
        <w:pStyle w:val="Heading1"/>
      </w:pPr>
      <w:r>
        <w:t xml:space="preserve">Chapter 5: The British Transformation: Scaling Dutch Innovation</w:t>
      </w:r>
    </w:p>
    <w:p>
      <w:pPr>
        <w:pStyle w:val="FirstParagraph"/>
      </w:pPr>
      <w:r>
        <w:rPr>
          <w:iCs/>
          <w:i/>
        </w:rPr>
        <w:t xml:space="preserve">How Borrowed Institutions Became the Foundation of Global Hegemony—and What Britain’s Rise and Decline Reveals About Information Capital Today</w:t>
      </w:r>
    </w:p>
    <w:p>
      <w:pPr>
        <w:pStyle w:val="BodyText"/>
      </w:pPr>
      <w:r>
        <w:t xml:space="preserve">On a cold November morning in 1688, a fleet of 463 ships carrying approximately 40,000 men—including some 15,000-21,000 soldiers—landed at Torbay in Devon. The man who stepped ashore—William of Orange, Stadholder of the Dutch Republic—carried more than an army. He carried the institutional DNA of the world’s most sophisticated financial system, templates that would transform a debt-ridden island kingdom into the mightiest empire in human history. Within six years, England would possess a central bank, a funded national debt, and a creditworthiness that would have seemed fantastical to the bankrupt Stuarts.</w:t>
      </w:r>
      <w:r>
        <w:t xml:space="preserve"> </w:t>
      </w:r>
      <w:r>
        <w:rPr>
          <w:bCs/>
          <w:b/>
        </w:rPr>
        <w:t xml:space="preserve">The paradox of borrowing your way to hegemony was about to be demonstrated at unprecedented scale.</w:t>
      </w:r>
    </w:p>
    <w:p>
      <w:pPr>
        <w:pStyle w:val="BodyText"/>
      </w:pPr>
      <w:r>
        <w:t xml:space="preserve">Consider the transformation’s magnitude. In 1672, Charles II had defaulted on government debts through the infamous</w:t>
      </w:r>
      <w:r>
        <w:t xml:space="preserve"> </w:t>
      </w:r>
      <w:r>
        <w:t xml:space="preserve">“</w:t>
      </w:r>
      <w:r>
        <w:t xml:space="preserve">Stop of the Exchequer,</w:t>
      </w:r>
      <w:r>
        <w:t xml:space="preserve">”</w:t>
      </w:r>
      <w:r>
        <w:t xml:space="preserve"> </w:t>
      </w:r>
      <w:r>
        <w:t xml:space="preserve">destroying trust and shutting England out of credit markets. English government borrowing rates ranged from 8-14% when credit was available at all; frequently it was not. The Dutch, by contrast, borrowed at 3-5%, and their provinces had never defaulted in living memory. English finances were medieval; Dutch finances were modern. No contemporary observer would have predicted that within a century, positions would reverse—that Britain would borrow more cheaply than the Dutch, that London would surpass Amsterdam as Europe’s financial capital, that British institutions would serve as models for the world.</w:t>
      </w:r>
    </w:p>
    <w:p>
      <w:pPr>
        <w:pStyle w:val="BodyText"/>
      </w:pPr>
      <w:r>
        <w:t xml:space="preserve">This chapter traces what may be history’s most consequential act of institutional transfer: how a tiny republic’s innovations—designed for a waterlogged territory of two million people—were adapted, scaled, and ultimately surpassed by a nation that would rule a quarter of the globe. The British did not merely copy Dutch institutions. They transformed them, fusing borrowed financial architecture with domestic advantages the Dutch could never replicate: abundant coal, island geography, triple the population, and a science-technology linkage that would ignite the Industrial Revolution. Understanding this transformation illuminates both the mechanics of hegemonic succession and the conditions that separate successful adaptation from failed imitation.</w:t>
      </w:r>
    </w:p>
    <w:bookmarkStart w:id="20" w:name="X9d1f985f8892a2f448181d115b454ce14c8a0e5"/>
    <w:p>
      <w:pPr>
        <w:pStyle w:val="Heading2"/>
      </w:pPr>
      <w:r>
        <w:t xml:space="preserve">5.1 The Inheritance: What Britain Received in 1688-1694</w:t>
      </w:r>
    </w:p>
    <w:p>
      <w:pPr>
        <w:pStyle w:val="FirstParagraph"/>
      </w:pPr>
      <w:r>
        <w:t xml:space="preserve">The Glorious Revolution of 1688 is typically framed in constitutional terms—the triumph of Parliament over absolutism, the securing of Protestant succession. Yet its most consequential dimension was financial. William III was not merely a Protestant prince acceptable to English elites; he was the chief executive of Europe’s most advanced economy, and he brought its operating system with him.</w:t>
      </w:r>
    </w:p>
    <w:p>
      <w:pPr>
        <w:pStyle w:val="BodyText"/>
      </w:pPr>
      <w:r>
        <w:rPr>
          <w:bCs/>
          <w:b/>
        </w:rPr>
        <w:t xml:space="preserve">William as transmission mechanism</w:t>
      </w:r>
      <w:r>
        <w:t xml:space="preserve"> </w:t>
      </w:r>
      <w:r>
        <w:t xml:space="preserve">deserves closer attention than most histories provide. Born in The Hague in 1650, he had spent his adult life managing the complex federal finances of the Dutch Republic, coordinating with the merchants and bankers who made Amsterdam the world’s financial capital. When James II fled on December 23, 1688, William arrived with more than legitimacy claims. He brought Dutch advisors, Dutch methods, and crucially, Dutch expectations about how a modern state should manage its finances.</w:t>
      </w:r>
    </w:p>
    <w:p>
      <w:pPr>
        <w:pStyle w:val="BodyText"/>
      </w:pPr>
      <w:r>
        <w:t xml:space="preserve">The transfer happened with remarkable speed. The Bank of England received its royal charter on</w:t>
      </w:r>
      <w:r>
        <w:t xml:space="preserve"> </w:t>
      </w:r>
      <w:r>
        <w:rPr>
          <w:bCs/>
          <w:b/>
        </w:rPr>
        <w:t xml:space="preserve">July 27, 1694</w:t>
      </w:r>
      <w:r>
        <w:t xml:space="preserve">—barely six years after William’s landing. The founding subscription of</w:t>
      </w:r>
      <w:r>
        <w:t xml:space="preserve"> </w:t>
      </w:r>
      <w:r>
        <w:rPr>
          <w:bCs/>
          <w:b/>
        </w:rPr>
        <w:t xml:space="preserve">£1,200,000</w:t>
      </w:r>
      <w:r>
        <w:t xml:space="preserve"> </w:t>
      </w:r>
      <w:r>
        <w:t xml:space="preserve">was fully taken up in just eleven days by 1,268 subscribers, an extraordinary vote of confidence in the new institution. To grasp the scale: this single subscription equaled roughly 1% of England’s entire GDP, mobilized in under two weeks. King William and Queen Mary themselves subscribed the maximum allowable amount of £10,000 jointly, lending royal prestige to what was essentially a Dutch institutional transplant.</w:t>
      </w:r>
    </w:p>
    <w:p>
      <w:pPr>
        <w:pStyle w:val="BodyText"/>
      </w:pPr>
      <w:r>
        <w:t xml:space="preserve">The Bank of England was explicitly modeled on the Bank of Amsterdam (Wisselbank), founded in 1609. Both institutions represented a revolutionary idea: that a public body, backed by government authority, could provide monetary stability and facilitate commerce in ways individual merchants could not. Jonathan Israel, in his landmark edited volume</w:t>
      </w:r>
      <w:r>
        <w:t xml:space="preserve"> </w:t>
      </w:r>
      <w:r>
        <w:rPr>
          <w:iCs/>
          <w:i/>
        </w:rPr>
        <w:t xml:space="preserve">The Anglo-Dutch Moment</w:t>
      </w:r>
      <w:r>
        <w:t xml:space="preserve">, documents how the new Dutch regime in England imported Dutch innovations in public finance. The specific innovations included:</w:t>
      </w:r>
    </w:p>
    <w:p>
      <w:pPr>
        <w:numPr>
          <w:ilvl w:val="0"/>
          <w:numId w:val="1001"/>
        </w:numPr>
        <w:pStyle w:val="Compact"/>
      </w:pPr>
      <w:r>
        <w:rPr>
          <w:bCs/>
          <w:b/>
        </w:rPr>
        <w:t xml:space="preserve">Funded public debt</w:t>
      </w:r>
      <w:r>
        <w:t xml:space="preserve">: Dedicating specific tax revenues (customs and excise duties) to service particular debts, creating predictable repayment streams that investors could trust</w:t>
      </w:r>
    </w:p>
    <w:p>
      <w:pPr>
        <w:numPr>
          <w:ilvl w:val="0"/>
          <w:numId w:val="1001"/>
        </w:numPr>
        <w:pStyle w:val="Compact"/>
      </w:pPr>
      <w:r>
        <w:rPr>
          <w:bCs/>
          <w:b/>
        </w:rPr>
        <w:t xml:space="preserve">Transferable government securities</w:t>
      </w:r>
      <w:r>
        <w:t xml:space="preserve">: Allowing debt instruments to be bought and sold, creating liquidity and enabling price discovery</w:t>
      </w:r>
    </w:p>
    <w:p>
      <w:pPr>
        <w:numPr>
          <w:ilvl w:val="0"/>
          <w:numId w:val="1001"/>
        </w:numPr>
        <w:pStyle w:val="Compact"/>
      </w:pPr>
      <w:r>
        <w:rPr>
          <w:bCs/>
          <w:b/>
        </w:rPr>
        <w:t xml:space="preserve">Centralized clearing</w:t>
      </w:r>
      <w:r>
        <w:t xml:space="preserve">: Providing a single institution where accounts could be settled without physical transfer of coin</w:t>
      </w:r>
    </w:p>
    <w:p>
      <w:pPr>
        <w:numPr>
          <w:ilvl w:val="0"/>
          <w:numId w:val="1001"/>
        </w:numPr>
        <w:pStyle w:val="Compact"/>
      </w:pPr>
      <w:r>
        <w:rPr>
          <w:bCs/>
          <w:b/>
        </w:rPr>
        <w:t xml:space="preserve">Professional management</w:t>
      </w:r>
      <w:r>
        <w:t xml:space="preserve">: Employing specialized expertise to manage complex financial operations</w:t>
      </w:r>
    </w:p>
    <w:p>
      <w:pPr>
        <w:pStyle w:val="FirstParagraph"/>
      </w:pPr>
      <w:r>
        <w:t xml:space="preserve">P.G.M. Dickson’s magisterial</w:t>
      </w:r>
      <w:r>
        <w:t xml:space="preserve"> </w:t>
      </w:r>
      <w:r>
        <w:rPr>
          <w:iCs/>
          <w:i/>
        </w:rPr>
        <w:t xml:space="preserve">The Financial Revolution in England</w:t>
      </w:r>
      <w:r>
        <w:t xml:space="preserve"> </w:t>
      </w:r>
      <w:r>
        <w:t xml:space="preserve">(1967) remains the definitive account of this transformation. Dickson demonstrates that before 1688, English government borrowing was short-term, ad hoc, and often in arrears—the kind of desperate financing that had driven Charles II to the catastrophic</w:t>
      </w:r>
      <w:r>
        <w:t xml:space="preserve"> </w:t>
      </w:r>
      <w:r>
        <w:t xml:space="preserve">“</w:t>
      </w:r>
      <w:r>
        <w:t xml:space="preserve">Stop of the Exchequer</w:t>
      </w:r>
      <w:r>
        <w:t xml:space="preserve">”</w:t>
      </w:r>
      <w:r>
        <w:t xml:space="preserve"> </w:t>
      </w:r>
      <w:r>
        <w:t xml:space="preserve">on January 2, 1672, when the Crown simply defaulted on its obligations to goldsmith-bankers. After 1694, England possessed what Dickson calls</w:t>
      </w:r>
      <w:r>
        <w:t xml:space="preserve"> </w:t>
      </w:r>
      <w:r>
        <w:t xml:space="preserve">“</w:t>
      </w:r>
      <w:r>
        <w:t xml:space="preserve">funded debt</w:t>
      </w:r>
      <w:r>
        <w:t xml:space="preserve">”</w:t>
      </w:r>
      <w:r>
        <w:t xml:space="preserve">: long-term obligations backed by dedicated revenue streams and managed by an institution with strong incentives to maintain creditworthiness.</w:t>
      </w:r>
    </w:p>
    <w:p>
      <w:pPr>
        <w:pStyle w:val="BodyText"/>
      </w:pPr>
      <w:r>
        <w:t xml:space="preserve">Yet the transfer was never mere copying. From the beginning, the Bank of England differed from its Amsterdam model in ways that would prove decisive for scaling. These differences were not accidental—they reflected deliberate choices about what to borrow and what to invent.</w:t>
      </w:r>
    </w:p>
    <w:bookmarkEnd w:id="20"/>
    <w:bookmarkStart w:id="21" w:name="Xdee9d7ca115259997f50f8d8b308772dc8b43b2"/>
    <w:p>
      <w:pPr>
        <w:pStyle w:val="Heading2"/>
      </w:pPr>
      <w:r>
        <w:t xml:space="preserve">5.2 The Adaptation: What Britain Did Differently</w:t>
      </w:r>
    </w:p>
    <w:p>
      <w:pPr>
        <w:pStyle w:val="FirstParagraph"/>
      </w:pPr>
      <w:r>
        <w:t xml:space="preserve">The Bank of Amsterdam was established primarily to defend currency stability and provide a reliable medium of exchange; the Bank of England was founded primarily as a fiscal instrument to finance government borrowing and warfare—a distinction that explains why British financial innovation could scale globally while Dutch finance remained constrained by its original parameters. Recent scholarship by Quinn and Roberds (</w:t>
      </w:r>
      <w:r>
        <w:rPr>
          <w:iCs/>
          <w:i/>
        </w:rPr>
        <w:t xml:space="preserve">How a Ledger Became a Central Bank</w:t>
      </w:r>
      <w:r>
        <w:t xml:space="preserve">, Cambridge 2024) has complicated this picture, showing that the Wisselbank evolved toward lending and central banking functions over time. Nevertheless, the founding purposes differed fundamentally.</w:t>
      </w:r>
    </w:p>
    <w:p>
      <w:pPr>
        <w:pStyle w:val="BodyText"/>
      </w:pPr>
      <w:r>
        <w:rPr>
          <w:bCs/>
          <w:b/>
        </w:rPr>
        <w:t xml:space="preserve">The Wisselbank’s conservative design</w:t>
      </w:r>
      <w:r>
        <w:t xml:space="preserve"> </w:t>
      </w:r>
      <w:r>
        <w:t xml:space="preserve">reflected Amsterdam’s needs as a trading entrepôt. Founded in 1609, it provided</w:t>
      </w:r>
      <w:r>
        <w:t xml:space="preserve"> </w:t>
      </w:r>
      <w:r>
        <w:t xml:space="preserve">“</w:t>
      </w:r>
      <w:r>
        <w:t xml:space="preserve">bank money</w:t>
      </w:r>
      <w:r>
        <w:t xml:space="preserve">”</w:t>
      </w:r>
      <w:r>
        <w:t xml:space="preserve"> </w:t>
      </w:r>
      <w:r>
        <w:t xml:space="preserve">(bankgeld) that traded at a premium to ordinary coin because depositors knew their money was safe and available. The BIS Working Paper 902 (Frost, Shin &amp; Wierts, 2020) describes it as</w:t>
      </w:r>
      <w:r>
        <w:t xml:space="preserve"> </w:t>
      </w:r>
      <w:r>
        <w:t xml:space="preserve">“</w:t>
      </w:r>
      <w:r>
        <w:t xml:space="preserve">a rigid stablecoin</w:t>
      </w:r>
      <w:r>
        <w:t xml:space="preserve">”</w:t>
      </w:r>
      <w:r>
        <w:t xml:space="preserve"> </w:t>
      </w:r>
      <w:r>
        <w:t xml:space="preserve">backed by silver and gold coins, with a founding mandate</w:t>
      </w:r>
      <w:r>
        <w:t xml:space="preserve"> </w:t>
      </w:r>
      <w:r>
        <w:t xml:space="preserve">“</w:t>
      </w:r>
      <w:r>
        <w:t xml:space="preserve">to check all agio and confusion of coin.</w:t>
      </w:r>
      <w:r>
        <w:t xml:space="preserve">”</w:t>
      </w:r>
      <w:r>
        <w:t xml:space="preserve"> </w:t>
      </w:r>
      <w:r>
        <w:t xml:space="preserve">This conservatism served the Dutch well for generations: merchants could trust that their deposits would be there when needed, and international traders accepted bank money as the most reliable settlement medium in Europe.</w:t>
      </w:r>
    </w:p>
    <w:p>
      <w:pPr>
        <w:pStyle w:val="BodyText"/>
      </w:pPr>
      <w:r>
        <w:rPr>
          <w:bCs/>
          <w:b/>
        </w:rPr>
        <w:t xml:space="preserve">The Bank of England’s lending authority</w:t>
      </w:r>
      <w:r>
        <w:t xml:space="preserve"> </w:t>
      </w:r>
      <w:r>
        <w:t xml:space="preserve">represented a fundamental break from this model. From its founding, the Bank could and did lend—indeed, its entire raison d’être was to lend £1.2 million to the government. Parliament’s own historical account states that investors</w:t>
      </w:r>
      <w:r>
        <w:t xml:space="preserve"> </w:t>
      </w:r>
      <w:r>
        <w:t xml:space="preserve">“</w:t>
      </w:r>
      <w:r>
        <w:t xml:space="preserve">could be confident that their loans to the Government would be repaid by parliamentary taxation.</w:t>
      </w:r>
      <w:r>
        <w:t xml:space="preserve">”</w:t>
      </w:r>
      <w:r>
        <w:t xml:space="preserve"> </w:t>
      </w:r>
      <w:r>
        <w:t xml:space="preserve">England in 1694 was fighting an expensive war against Louis XIV’s France and desperately needed credit. The Bank’s founders, led by the Scottish merchant William Paterson, understood that a bank which merely held deposits would not solve the government’s fiscal crisis.</w:t>
      </w:r>
    </w:p>
    <w:p>
      <w:pPr>
        <w:pStyle w:val="BodyText"/>
      </w:pPr>
      <w:r>
        <w:t xml:space="preserve">This difference in institutional DNA had cascading consequences:</w:t>
      </w:r>
    </w:p>
    <w:p>
      <w:pPr>
        <w:pStyle w:val="BodyText"/>
      </w:pPr>
      <w:r>
        <w:rPr>
          <w:bCs/>
          <w:b/>
        </w:rPr>
        <w:t xml:space="preserve">Unified national debt versus provincial fragmentation</w:t>
      </w:r>
      <w:r>
        <w:t xml:space="preserve">: The Dutch Republic was a federation of seven provinces, each issuing its own debt at its own terms. The Province of Holland alone accounted for 58% of federal expenses but could not compel other provinces to share burdens equitably. This fragmentation meant Dutch interest rates varied by province, investor uncertainty was higher, and coordination on large-scale financing was difficult. England, by contrast, emerged from the Glorious Revolution with Parliament firmly in control of both taxation and borrowing. The national debt was genuinely national—backed by the full taxing authority of a unified state.</w:t>
      </w:r>
    </w:p>
    <w:p>
      <w:pPr>
        <w:pStyle w:val="BodyText"/>
      </w:pPr>
      <w:r>
        <w:t xml:space="preserve">North and Weingast’s influential 1989 paper</w:t>
      </w:r>
      <w:r>
        <w:t xml:space="preserve"> </w:t>
      </w:r>
      <w:r>
        <w:t xml:space="preserve">“</w:t>
      </w:r>
      <w:r>
        <w:t xml:space="preserve">Constitutions and Commitment</w:t>
      </w:r>
      <w:r>
        <w:t xml:space="preserve">”</w:t>
      </w:r>
      <w:r>
        <w:t xml:space="preserve"> </w:t>
      </w:r>
      <w:r>
        <w:t xml:space="preserve">argued this constitutional settlement was the key to England’s financial transformation. By creating multiple veto points in the political system—Parliament had to approve both taxation and spending—the post-1688 settlement made it difficult for any future monarch to default on debts. Creditors could trust that parliamentary approval of a loan implied parliamentary commitment to repayment. This</w:t>
      </w:r>
      <w:r>
        <w:t xml:space="preserve"> </w:t>
      </w:r>
      <w:r>
        <w:t xml:space="preserve">“</w:t>
      </w:r>
      <w:r>
        <w:t xml:space="preserve">credible commitment</w:t>
      </w:r>
      <w:r>
        <w:t xml:space="preserve">”</w:t>
      </w:r>
      <w:r>
        <w:t xml:space="preserve"> </w:t>
      </w:r>
      <w:r>
        <w:t xml:space="preserve">allowed English interest rates to fall over the following decades—though, as we shall see in the counter-evidence section, this thesis has faced substantial scholarly qualification.</w:t>
      </w:r>
    </w:p>
    <w:p>
      <w:pPr>
        <w:pStyle w:val="BodyText"/>
      </w:pPr>
      <w:r>
        <w:rPr>
          <w:bCs/>
          <w:b/>
        </w:rPr>
        <w:t xml:space="preserve">Parliamentary backing versus municipal guarantee</w:t>
      </w:r>
      <w:r>
        <w:t xml:space="preserve">: The Wisselbank was guaranteed by the city of Amsterdam—wealthy, certainly, but still a single city. The Bank of England was backed by Parliament, meaning the entire English tax base stood behind it. When Dutch finances came under pressure during the Fourth Anglo-Dutch War (1780-1784), it emerged that the Wisselbank had secretly violated its charter by lending to the Dutch East India Company and the city of Amsterdam. This revelation destroyed confidence and the bank never recovered. The Bank of England faced its own crises—notably during the South Sea Bubble of 1720—but the institution survived because parliamentary authority remained intact.</w:t>
      </w:r>
    </w:p>
    <w:p>
      <w:pPr>
        <w:pStyle w:val="BodyText"/>
      </w:pPr>
      <w:r>
        <w:rPr>
          <w:bCs/>
          <w:b/>
        </w:rPr>
        <w:t xml:space="preserve">Interest rate trajectories</w:t>
      </w:r>
      <w:r>
        <w:t xml:space="preserve"> </w:t>
      </w:r>
      <w:r>
        <w:t xml:space="preserve">tell the story quantitatively. Before 1694, English government borrowing cost 8-14% annually when available at all; the Stop of the Exchequer had made many investors refuse to lend at any rate. The initial Bank of England loan carried 8% interest—expensive by Dutch standards (Dutch provinces borrowed at 3-5%) but transformational by English standards. By the mid-eighteenth century, British government borrowing rates had fallen to around 3-4%, approaching Dutch levels. The economist Sussman has calculated that Amsterdam’s financial development accounted for roughly 55% of the decline in London borrowing rates—the other 45% reflecting improved English institutions.</w:t>
      </w:r>
    </w:p>
    <w:p>
      <w:pPr>
        <w:pStyle w:val="BodyText"/>
      </w:pPr>
      <w:r>
        <w:t xml:space="preserve">John Brewer’s</w:t>
      </w:r>
      <w:r>
        <w:t xml:space="preserve"> </w:t>
      </w:r>
      <w:r>
        <w:rPr>
          <w:iCs/>
          <w:i/>
        </w:rPr>
        <w:t xml:space="preserve">Sinews of Power</w:t>
      </w:r>
      <w:r>
        <w:t xml:space="preserve"> </w:t>
      </w:r>
      <w:r>
        <w:t xml:space="preserve">(1989) provides the essential framework for understanding how these financial innovations connected to military capability. Brewer introduced the concept of the</w:t>
      </w:r>
      <w:r>
        <w:t xml:space="preserve"> </w:t>
      </w:r>
      <w:r>
        <w:t xml:space="preserve">“</w:t>
      </w:r>
      <w:r>
        <w:t xml:space="preserve">fiscal-military state</w:t>
      </w:r>
      <w:r>
        <w:t xml:space="preserve">”</w:t>
      </w:r>
      <w:r>
        <w:t xml:space="preserve">—a government organized around the extraction and efficient deployment of resources for warfare, characterized by (1) massive increase in taxation, particularly indirect taxes; (2) surge in deficit financing; and (3) growth of substantial public administration. Brewer called this</w:t>
      </w:r>
      <w:r>
        <w:t xml:space="preserve"> </w:t>
      </w:r>
      <w:r>
        <w:t xml:space="preserve">“</w:t>
      </w:r>
      <w:r>
        <w:t xml:space="preserve">the single most important transformation in government in early modern times.</w:t>
      </w:r>
      <w:r>
        <w:t xml:space="preserve">”</w:t>
      </w:r>
      <w:r>
        <w:t xml:space="preserve"> </w:t>
      </w:r>
      <w:r>
        <w:t xml:space="preserve">England after 1688 exemplified this model: sophisticated taxation, funded debt, and centralized financial management combined to produce military power disproportionate to population or territory. The Dutch had pioneered many of these techniques, but their federal structure and small size limited how far they could scale. England took the template and ran it at national scale. (Recent scholarship in Graham &amp; Walsh, eds.,</w:t>
      </w:r>
      <w:r>
        <w:t xml:space="preserve"> </w:t>
      </w:r>
      <w:r>
        <w:rPr>
          <w:iCs/>
          <w:i/>
        </w:rPr>
        <w:t xml:space="preserve">The British Fiscal-Military States, 1660-c.1783</w:t>
      </w:r>
      <w:r>
        <w:t xml:space="preserve">, Routledge 2016, has challenged and refined aspects of Brewer’s model, but its core insights remain influential.)</w:t>
      </w:r>
    </w:p>
    <w:bookmarkEnd w:id="21"/>
    <w:bookmarkStart w:id="22" w:name="X40ef4f08b753c8903c5cba1265565b3625f6a0c"/>
    <w:p>
      <w:pPr>
        <w:pStyle w:val="Heading2"/>
      </w:pPr>
      <w:r>
        <w:t xml:space="preserve">5.3 The Preconditions: Why Britain Could Industrialize</w:t>
      </w:r>
    </w:p>
    <w:p>
      <w:pPr>
        <w:pStyle w:val="FirstParagraph"/>
      </w:pPr>
      <w:r>
        <w:t xml:space="preserve">Financial innovation alone cannot explain British hegemony. The Dutch Republic possessed sophisticated finance for a century before England, yet it was England that experienced the Industrial Revolution. Understanding why requires examining preconditions the Dutch lacked—resources, geography, population, and institutional configurations that made Britain uniquely positioned to transform borrowed financial templates into world-shaping industrial power.</w:t>
      </w:r>
    </w:p>
    <w:p>
      <w:pPr>
        <w:pStyle w:val="BodyText"/>
      </w:pPr>
      <w:r>
        <w:rPr>
          <w:bCs/>
          <w:b/>
        </w:rPr>
        <w:t xml:space="preserve">Coal and iron represented the decisive resource advantage.</w:t>
      </w:r>
      <w:r>
        <w:t xml:space="preserve"> </w:t>
      </w:r>
      <w:r>
        <w:t xml:space="preserve">E.A. Wrigley, in</w:t>
      </w:r>
      <w:r>
        <w:t xml:space="preserve"> </w:t>
      </w:r>
      <w:r>
        <w:rPr>
          <w:iCs/>
          <w:i/>
        </w:rPr>
        <w:t xml:space="preserve">Energy and the English Industrial Revolution</w:t>
      </w:r>
      <w:r>
        <w:t xml:space="preserve"> </w:t>
      </w:r>
      <w:r>
        <w:t xml:space="preserve">(2010), frames industrialization as fundamentally an energy transition—from an</w:t>
      </w:r>
      <w:r>
        <w:t xml:space="preserve"> </w:t>
      </w:r>
      <w:r>
        <w:t xml:space="preserve">“</w:t>
      </w:r>
      <w:r>
        <w:t xml:space="preserve">organic economy</w:t>
      </w:r>
      <w:r>
        <w:t xml:space="preserve">”</w:t>
      </w:r>
      <w:r>
        <w:t xml:space="preserve"> </w:t>
      </w:r>
      <w:r>
        <w:t xml:space="preserve">dependent on annual plant photosynthesis to a</w:t>
      </w:r>
      <w:r>
        <w:t xml:space="preserve"> </w:t>
      </w:r>
      <w:r>
        <w:t xml:space="preserve">“</w:t>
      </w:r>
      <w:r>
        <w:t xml:space="preserve">mineral energy economy</w:t>
      </w:r>
      <w:r>
        <w:t xml:space="preserve">”</w:t>
      </w:r>
      <w:r>
        <w:t xml:space="preserve"> </w:t>
      </w:r>
      <w:r>
        <w:t xml:space="preserve">running on fossil fuels accumulated over geological time. Pre-industrial economies faced hard ceilings: mechanical energy came from human and animal muscle, heat energy from wood, and both were constrained by the land area available for growing food and fuel. England’s coal deposits offered an escape from these constraints.</w:t>
      </w:r>
    </w:p>
    <w:p>
      <w:pPr>
        <w:pStyle w:val="BodyText"/>
      </w:pPr>
      <w:r>
        <w:t xml:space="preserve">The numbers are stark. By 1700, Britain produced approximately</w:t>
      </w:r>
      <w:r>
        <w:t xml:space="preserve"> </w:t>
      </w:r>
      <w:r>
        <w:rPr>
          <w:bCs/>
          <w:b/>
        </w:rPr>
        <w:t xml:space="preserve">2.5-3 million tons</w:t>
      </w:r>
      <w:r>
        <w:t xml:space="preserve"> </w:t>
      </w:r>
      <w:r>
        <w:t xml:space="preserve">of coal annually—roughly 80% of Europe’s total output. By 1800, production had reached</w:t>
      </w:r>
      <w:r>
        <w:t xml:space="preserve"> </w:t>
      </w:r>
      <w:r>
        <w:rPr>
          <w:bCs/>
          <w:b/>
        </w:rPr>
        <w:t xml:space="preserve">10 million tons</w:t>
      </w:r>
      <w:r>
        <w:t xml:space="preserve">, and Britain accounted for 90% of world coal production. To produce firewood equivalent in energy to 1860s domestic coal consumption would have required roughly 25 million acres of woodland under sustained-yield forestry—nearly the entire farmland area of England. Coal did not merely supplement traditional energy sources; it transcended their limitations entirely.</w:t>
      </w:r>
    </w:p>
    <w:p>
      <w:pPr>
        <w:pStyle w:val="BodyText"/>
      </w:pPr>
      <w:r>
        <w:t xml:space="preserve">Robert Allen’s</w:t>
      </w:r>
      <w:r>
        <w:t xml:space="preserve"> </w:t>
      </w:r>
      <w:r>
        <w:rPr>
          <w:iCs/>
          <w:i/>
        </w:rPr>
        <w:t xml:space="preserve">The British Industrial Revolution in Global Perspective</w:t>
      </w:r>
      <w:r>
        <w:t xml:space="preserve"> </w:t>
      </w:r>
      <w:r>
        <w:t xml:space="preserve">(2009) extends this analysis by emphasizing Britain’s unusual factor price structure. Britain had</w:t>
      </w:r>
      <w:r>
        <w:t xml:space="preserve"> </w:t>
      </w:r>
      <w:r>
        <w:rPr>
          <w:bCs/>
          <w:b/>
        </w:rPr>
        <w:t xml:space="preserve">high wages</w:t>
      </w:r>
      <w:r>
        <w:t xml:space="preserve"> </w:t>
      </w:r>
      <w:r>
        <w:t xml:space="preserve">(reflecting centuries of commercial and imperial expansion that drove up labor demand) combined with</w:t>
      </w:r>
      <w:r>
        <w:t xml:space="preserve"> </w:t>
      </w:r>
      <w:r>
        <w:rPr>
          <w:bCs/>
          <w:b/>
        </w:rPr>
        <w:t xml:space="preserve">cheap energy</w:t>
      </w:r>
      <w:r>
        <w:t xml:space="preserve"> </w:t>
      </w:r>
      <w:r>
        <w:t xml:space="preserve">(reflecting abundant coal). This combination made labor-saving, energy-intensive technologies—steam engines, cotton mills, coke-smelted iron—uniquely profitable to develop and deploy. Technologies that would have been economically irrational elsewhere made perfect sense in Britain.</w:t>
      </w:r>
    </w:p>
    <w:p>
      <w:pPr>
        <w:pStyle w:val="BodyText"/>
      </w:pPr>
      <w:r>
        <w:t xml:space="preserve">Allen’s counterfactual is instructive: had German coal been developed in the sixteenth century rather than the nineteenth, the industrial revolution might have been a Dutch-German breakthrough rather than a British achievement. The Dutch had high wages but lacked cheap energy. Their primary fuel was peat—adequate for heating but unable to power steam engines or smelt iron at industrial scale. Crucially, the price of Dutch peat set a ceiling on energy costs that forestalled the development of German coal in the nearby Ruhr. The Dutch Republic’s success created a local equilibrium that trapped it short of industrialization.</w:t>
      </w:r>
    </w:p>
    <w:p>
      <w:pPr>
        <w:pStyle w:val="BodyText"/>
      </w:pPr>
      <w:r>
        <w:rPr>
          <w:bCs/>
          <w:b/>
        </w:rPr>
        <w:t xml:space="preserve">Island geography provided military security without military drain.</w:t>
      </w:r>
      <w:r>
        <w:t xml:space="preserve"> </w:t>
      </w:r>
      <w:r>
        <w:t xml:space="preserve">Continental powers—France, Spain, the German states—faced constant land-based threats requiring expensive standing armies. Britain’s</w:t>
      </w:r>
      <w:r>
        <w:t xml:space="preserve"> </w:t>
      </w:r>
      <w:r>
        <w:t xml:space="preserve">“</w:t>
      </w:r>
      <w:r>
        <w:t xml:space="preserve">wooden walls</w:t>
      </w:r>
      <w:r>
        <w:t xml:space="preserve">”</w:t>
      </w:r>
      <w:r>
        <w:t xml:space="preserve"> </w:t>
      </w:r>
      <w:r>
        <w:t xml:space="preserve">(the Royal Navy) provided security at lower cost, allowing resources to flow into productive investment rather than military consumption. When Britain did engage in continental warfare, it typically operated through subsidies to allies rather than massive deployments of ground forces. This pattern—money substituting for blood—was itself enabled by the financial innovations the Dutch had pioneered.</w:t>
      </w:r>
    </w:p>
    <w:p>
      <w:pPr>
        <w:pStyle w:val="BodyText"/>
      </w:pPr>
      <w:r>
        <w:t xml:space="preserve">The Dutch Republic, despite its partial water defenses, was not an island. French invasion remained a constant threat, and the need to maintain defensive positions drained resources that might otherwise have funded industrial development. The Fourth Anglo-Dutch War and French invasion of 1795 imposed crushing costs: indemnities of 230 million guilders and the maintenance of 25,000 French occupation troops. Britain never faced equivalent extraction.</w:t>
      </w:r>
    </w:p>
    <w:p>
      <w:pPr>
        <w:pStyle w:val="BodyText"/>
      </w:pPr>
      <w:r>
        <w:rPr>
          <w:bCs/>
          <w:b/>
        </w:rPr>
        <w:t xml:space="preserve">Population scale</w:t>
      </w:r>
      <w:r>
        <w:t xml:space="preserve"> </w:t>
      </w:r>
      <w:r>
        <w:t xml:space="preserve">created domestic market advantages the Dutch could not match. The population of England and Wales grew from roughly</w:t>
      </w:r>
      <w:r>
        <w:t xml:space="preserve"> </w:t>
      </w:r>
      <w:r>
        <w:rPr>
          <w:bCs/>
          <w:b/>
        </w:rPr>
        <w:t xml:space="preserve">5.5 million in 1700 to 8.9 million by 1801</w:t>
      </w:r>
      <w:r>
        <w:t xml:space="preserve">—while the Dutch Republic’s population stagnated at approximately 1.9-2 million. This difference mattered for industrialization in multiple ways: a larger labor force, a larger consumer market for mass-produced goods, and greater capacity to absorb productivity increases without saturating demand. Dutch population stagnation between 1650 and 1800 reflected an</w:t>
      </w:r>
      <w:r>
        <w:t xml:space="preserve"> </w:t>
      </w:r>
      <w:r>
        <w:t xml:space="preserve">“</w:t>
      </w:r>
      <w:r>
        <w:t xml:space="preserve">advanced organic economy</w:t>
      </w:r>
      <w:r>
        <w:t xml:space="preserve">”</w:t>
      </w:r>
      <w:r>
        <w:t xml:space="preserve"> </w:t>
      </w:r>
      <w:r>
        <w:t xml:space="preserve">at its ceiling—prosperous by pre-industrial standards but unable to break through to industrial growth.</w:t>
      </w:r>
    </w:p>
    <w:p>
      <w:pPr>
        <w:pStyle w:val="BodyText"/>
      </w:pPr>
      <w:r>
        <w:rPr>
          <w:bCs/>
          <w:b/>
        </w:rPr>
        <w:t xml:space="preserve">The science-technology linkage</w:t>
      </w:r>
      <w:r>
        <w:t xml:space="preserve"> </w:t>
      </w:r>
      <w:r>
        <w:t xml:space="preserve">represented perhaps the most important British advantage, and Joel Mokyr’s scholarship has illuminated its mechanisms. In</w:t>
      </w:r>
      <w:r>
        <w:t xml:space="preserve"> </w:t>
      </w:r>
      <w:r>
        <w:rPr>
          <w:iCs/>
          <w:i/>
        </w:rPr>
        <w:t xml:space="preserve">The Enlightened Economy</w:t>
      </w:r>
      <w:r>
        <w:t xml:space="preserve"> </w:t>
      </w:r>
      <w:r>
        <w:t xml:space="preserve">(2009), Mokyr argues that the Industrial Revolution cannot be understood without recognizing the importance of the intellectual sea changes of Britain’s Age of Enlightenment. This was not about abstract scientific knowledge per se—the Scientific Revolution had occurred across Europe—but about the practical application of systematic investigation to productive problems.</w:t>
      </w:r>
    </w:p>
    <w:p>
      <w:pPr>
        <w:pStyle w:val="BodyText"/>
      </w:pPr>
      <w:r>
        <w:t xml:space="preserve">The</w:t>
      </w:r>
      <w:r>
        <w:t xml:space="preserve"> </w:t>
      </w:r>
      <w:r>
        <w:rPr>
          <w:bCs/>
          <w:b/>
        </w:rPr>
        <w:t xml:space="preserve">Royal Society</w:t>
      </w:r>
      <w:r>
        <w:t xml:space="preserve">, founded November 28, 1660, institutionalized the connection between natural philosophy and practical improvement. Its motto—</w:t>
      </w:r>
      <w:r>
        <w:rPr>
          <w:iCs/>
          <w:i/>
        </w:rPr>
        <w:t xml:space="preserve">Nullius in verba</w:t>
      </w:r>
      <w:r>
        <w:t xml:space="preserve"> </w:t>
      </w:r>
      <w:r>
        <w:t xml:space="preserve">(</w:t>
      </w:r>
      <w:r>
        <w:t xml:space="preserve">“</w:t>
      </w:r>
      <w:r>
        <w:t xml:space="preserve">take nobody’s word for it</w:t>
      </w:r>
      <w:r>
        <w:t xml:space="preserve">”</w:t>
      </w:r>
      <w:r>
        <w:t xml:space="preserve">)—embodied commitment to empirical verification over received authority. More importantly, provincial scientific societies like the Lunar Society of Birmingham created networks linking manufacturers (Matthew Boulton, Josiah Wedgwood), engineers (James Watt), and natural philosophers (Erasmus Darwin, Joseph Priestley). These networks enabled what Margaret Jacob calls</w:t>
      </w:r>
      <w:r>
        <w:t xml:space="preserve"> </w:t>
      </w:r>
      <w:r>
        <w:t xml:space="preserve">“</w:t>
      </w:r>
      <w:r>
        <w:t xml:space="preserve">conversation</w:t>
      </w:r>
      <w:r>
        <w:t xml:space="preserve">”</w:t>
      </w:r>
      <w:r>
        <w:t xml:space="preserve"> </w:t>
      </w:r>
      <w:r>
        <w:t xml:space="preserve">between those who made things and those who studied nature.</w:t>
      </w:r>
    </w:p>
    <w:p>
      <w:pPr>
        <w:pStyle w:val="BodyText"/>
      </w:pPr>
      <w:r>
        <w:t xml:space="preserve">The Dutch Republic had excellent scientists—Christiaan Huygens, Antonie van Leeuwenhoek, Hermann Boerhaave—but lacked this practical orientation. Mokyr notes that Dutch commercial elites lost interest in mechanical arts by the mid-eighteenth century, and Dutch universities experienced sharp decline in foreign enrollment. The bridge between makers and thinkers, which had existed during the Golden Age, narrowed rather than widened after 1740. Scientific societies existed (Haarlem’s Hollandsche Maatschappij der Wetenschappen, founded 1752) but rarely led to direct applications.</w:t>
      </w:r>
    </w:p>
    <w:p>
      <w:pPr>
        <w:pStyle w:val="BodyText"/>
      </w:pPr>
      <w:r>
        <w:t xml:space="preserve">This pattern reflects a broader phenomenon Mokyr identifies: before the Industrial Revolution, nothing failed like success. Each growth episode generated consequences—guild restrictions, vested interests, institutional rigidity—that eventually became obstructive inputs constraining further progress. The Dutch Golden Age’s technology was mechanically clever, well-designed techniques, but without much of an epistemic base. Practitioners knew that things worked but not why, limiting capacity for systematic improvement. British industrial technology increasingly possessed what Mokyr calls a wide epistemic base—understanding of underlying principles that enabled sustained improvement rather than isolated inventions that petered out.</w:t>
      </w:r>
    </w:p>
    <w:bookmarkEnd w:id="22"/>
    <w:bookmarkStart w:id="23" w:name="X2caec5b1ec8d6d2dbdc398384fea165996c0489"/>
    <w:p>
      <w:pPr>
        <w:pStyle w:val="Heading2"/>
      </w:pPr>
      <w:r>
        <w:t xml:space="preserve">5.4 The Information Infrastructure of Industrial Britain</w:t>
      </w:r>
    </w:p>
    <w:p>
      <w:pPr>
        <w:pStyle w:val="FirstParagraph"/>
      </w:pPr>
      <w:r>
        <w:t xml:space="preserve">Financial institutions and natural resources were necessary but not sufficient for British transformation. Equally important was an evolving infrastructure for processing commercial intelligence—institutions that gathered, organized, and disseminated information enabling complex economic coordination. This information infrastructure built on Dutch precedents but achieved scale and sophistication the Dutch could not match. Within this analytical framework, the Information/Communication domain scored 4.3 for Britain at peak—higher than any previous hegemon analyzed.</w:t>
      </w:r>
    </w:p>
    <w:p>
      <w:pPr>
        <w:pStyle w:val="BodyText"/>
      </w:pPr>
      <w:r>
        <w:rPr>
          <w:bCs/>
          <w:b/>
        </w:rPr>
        <w:t xml:space="preserve">Lloyd’s Coffee House</w:t>
      </w:r>
      <w:r>
        <w:t xml:space="preserve"> </w:t>
      </w:r>
      <w:r>
        <w:t xml:space="preserve">exemplifies the pattern of information-first innovation. Edward Lloyd established his establishment on Tower Street, near the Port of London, around 1685-1688. What distinguished Lloyd’s was not the coffee but the information: Lloyd employed runners to gather news from London’s docks, maintained correspondents in ports across Britain, and created publications sharing shipping intelligence. Lloyd’s List, launched in 1734 (building on predecessor newsletters dating to 1692), became one of the world’s longest-running journals, providing systematic coverage of vessel movements, maritime casualties, and commercial conditions. By the 1770s, Lloyd’s published shipping news twice weekly, covering arrivals and departures at all major British ports.</w:t>
      </w:r>
    </w:p>
    <w:p>
      <w:pPr>
        <w:pStyle w:val="BodyText"/>
      </w:pPr>
      <w:r>
        <w:t xml:space="preserve">From this information hub emerged modern insurance. Marine merchants gathering at Lloyd’s began underwriting each other’s risks, signing their names under ship descriptions (hence</w:t>
      </w:r>
      <w:r>
        <w:t xml:space="preserve"> </w:t>
      </w:r>
      <w:r>
        <w:t xml:space="preserve">“</w:t>
      </w:r>
      <w:r>
        <w:t xml:space="preserve">underwriters</w:t>
      </w:r>
      <w:r>
        <w:t xml:space="preserve">”</w:t>
      </w:r>
      <w:r>
        <w:t xml:space="preserve">). By the 1770s, this informal practice had evolved into the Lloyd’s subscription market—a syndicated model where dozens of individual underwriters each took portions of risks too large for any single party. The Lloyd’s Register of Ships, established 1760, created the first systematic classification system for rating vessel quality—a canonical information product that reduced uncertainty and standardized risk assessment. The institutional innovation was fundamentally informational: Lloyd’s worked because it concentrated expertise and reputation in a single location where risks could be efficiently evaluated and priced.</w:t>
      </w:r>
    </w:p>
    <w:p>
      <w:pPr>
        <w:pStyle w:val="BodyText"/>
      </w:pPr>
      <w:r>
        <w:rPr>
          <w:bCs/>
          <w:b/>
        </w:rPr>
        <w:t xml:space="preserve">The Lloyd’s model demonstrates information infrastructure’s persistence.</w:t>
      </w:r>
      <w:r>
        <w:t xml:space="preserve"> </w:t>
      </w:r>
      <w:r>
        <w:t xml:space="preserve">Even after British hegemony declined, Lloyd’s retained global dominance in maritime insurance and ship classification. Today, Lloyd’s remains the world’s leading specialty insurance market. This illustrates a key CAS framework finding: domains built on intangible capital (information, reputation, expertise) show greater resilience during hegemonic transitions than domains built on tangible capital (manufacturing, extraction).</w:t>
      </w:r>
    </w:p>
    <w:p>
      <w:pPr>
        <w:pStyle w:val="BodyText"/>
      </w:pPr>
      <w:r>
        <w:rPr>
          <w:bCs/>
          <w:b/>
        </w:rPr>
        <w:t xml:space="preserve">Joint-stock companies</w:t>
      </w:r>
      <w:r>
        <w:t xml:space="preserve"> </w:t>
      </w:r>
      <w:r>
        <w:t xml:space="preserve">represented another information innovation. The British East India Company (EIC), founded December 31, 1600, evolved from loose associations of merchant adventurers into a sophisticated corporate form with permanent capital, transferable shares, and professional management. The EIC’s charter was renewed in 1657 with permanent joint-stock—meaning capital remained invested indefinitely rather than being liquidated after each voyage. By the mid-eighteenth century, the EIC employed roughly 260,000 soldiers (mostly sepoys), operated a private fleet of approximately 100 ships, governed territories with populations exceeding 60 million, and at its peak accounted for approximately half of world trade in key commodities. Its governance structure—a Court of 24 directors elected by shareholders—represented an early experiment in delegated management with accountability mechanisms.</w:t>
      </w:r>
    </w:p>
    <w:p>
      <w:pPr>
        <w:pStyle w:val="BodyText"/>
      </w:pPr>
      <w:r>
        <w:t xml:space="preserve">The crucial innovation was mobility of capital. Joint-stock shares could be bought and sold among hundreds or thousands of individuals, allowing middle-class professionals, skilled craftsmen, and even widows to participate in commercial ventures previously restricted to wealthy merchants. This democratization of investment created information networks: share prices conveyed signals about expected returns, shareholder meetings enabled scrutiny of management, and the need to attract investors disciplined corporate governance.</w:t>
      </w:r>
    </w:p>
    <w:p>
      <w:pPr>
        <w:pStyle w:val="BodyText"/>
      </w:pPr>
      <w:r>
        <w:t xml:space="preserve">Larry Neal’s</w:t>
      </w:r>
      <w:r>
        <w:t xml:space="preserve"> </w:t>
      </w:r>
      <w:r>
        <w:rPr>
          <w:iCs/>
          <w:i/>
        </w:rPr>
        <w:t xml:space="preserve">The Rise of Financial Capitalism</w:t>
      </w:r>
      <w:r>
        <w:t xml:space="preserve"> </w:t>
      </w:r>
      <w:r>
        <w:t xml:space="preserve">(1990) documents how London and Amsterdam stock markets became integrated during the eighteenth century, with English shares trading on the Amsterdam Beurs from at least 1723. This integration transmitted information across borders: price movements in one market quickly affected the other, and investors could arbitrage discrepancies. The symbiotic relationship—Amsterdam’s bank-oriented finance complementing London’s market-oriented system—enabled both centers to achieve scale neither could have managed alone. By 1780, approximately £17 million of British government debt was held by Dutch investors—roughly 15% of the total—creating financial interdependencies that survived political rivalry.</w:t>
      </w:r>
    </w:p>
    <w:p>
      <w:pPr>
        <w:pStyle w:val="BodyText"/>
      </w:pPr>
      <w:r>
        <w:rPr>
          <w:bCs/>
          <w:b/>
        </w:rPr>
        <w:t xml:space="preserve">London as information clearing house</w:t>
      </w:r>
      <w:r>
        <w:t xml:space="preserve"> </w:t>
      </w:r>
      <w:r>
        <w:t xml:space="preserve">succeeded Amsterdam through a combination of institutional depth and geographic centrality to British imperial trade. The City of London’s coffee houses provided specialized information nodes: Lloyd’s for shipping and insurance, Jonathan’s Coffee House for stock trading (which became the London Stock Exchange in 1801), the Jamaica Coffee House for West Indies trade, the Jerusalem Coffee House for East Indies trade. By 1739, London hosted over 550 coffee houses—</w:t>
      </w:r>
      <w:r>
        <w:t xml:space="preserve">“</w:t>
      </w:r>
      <w:r>
        <w:t xml:space="preserve">penny universities</w:t>
      </w:r>
      <w:r>
        <w:t xml:space="preserve">”</w:t>
      </w:r>
      <w:r>
        <w:t xml:space="preserve"> </w:t>
      </w:r>
      <w:r>
        <w:t xml:space="preserve">where the price of admission covered access to newspapers, journals, and conversation with informed merchants.</w:t>
      </w:r>
    </w:p>
    <w:p>
      <w:pPr>
        <w:pStyle w:val="BodyText"/>
      </w:pPr>
      <w:r>
        <w:t xml:space="preserve">The General Post Office, located on Lombard Street near the Royal Exchange, provided infrastructure for commercial correspondence reaching every corner of the empire. Lloyd’s List correspondents transmitted information free-of-charge through postal agreements, creating a national network of maritime intelligence. Foreign exchange through bills of exchange enabled the government to finance continental armies by purchasing bills drawn on London merchants’ overseas correspondents. Information flowed through financial instruments—a bill of exchange was simultaneously a credit instrument and an information carrier encoding trust relationships across multiple parties and jurisdictions.</w:t>
      </w:r>
    </w:p>
    <w:p>
      <w:pPr>
        <w:pStyle w:val="BodyText"/>
      </w:pPr>
      <w:r>
        <w:rPr>
          <w:bCs/>
          <w:b/>
        </w:rPr>
        <w:t xml:space="preserve">The role of information in the Industrial Revolution</w:t>
      </w:r>
      <w:r>
        <w:t xml:space="preserve"> </w:t>
      </w:r>
      <w:r>
        <w:t xml:space="preserve">has been underappreciated by historians focused on machines and energy. The patent system, rooted in the Statute of Monopolies (1623-24), required inventors to specify the principles of their innovations for public access—an information-sharing mechanism that reduced duplication and enabled improvement. Between 1760 and 1800, over 1,300 patents were granted; between 1800 and 1840, over 5,500. The patent system created incentives for both innovation and disclosure—the information became public even as the inventor received temporary monopoly rights.</w:t>
      </w:r>
    </w:p>
    <w:p>
      <w:pPr>
        <w:pStyle w:val="BodyText"/>
      </w:pPr>
      <w:r>
        <w:t xml:space="preserve">Mechanics’ Institutes represented a contested terrain in working-class education. Beginning with the Edinburgh School of Arts in 1821 and the London Mechanics’ Institution in 1823, these institutions provided adult education in technical subjects. George Birkbeck’s vision was explicitly informational: working men needed access to scientific and technical knowledge to improve both their productivity and their circumstances. By mid-century, over 700 institutes with approximately 120,000 members disseminated useful knowledge to working-class audiences. However, Shapin and Barnes (1977), in their foundational study</w:t>
      </w:r>
      <w:r>
        <w:t xml:space="preserve"> </w:t>
      </w:r>
      <w:r>
        <w:t xml:space="preserve">“</w:t>
      </w:r>
      <w:r>
        <w:t xml:space="preserve">Science, Nature and Control: Interpreting Mechanics’ Institutes,</w:t>
      </w:r>
      <w:r>
        <w:t xml:space="preserve">”</w:t>
      </w:r>
      <w:r>
        <w:t xml:space="preserve"> </w:t>
      </w:r>
      <w:r>
        <w:t xml:space="preserve">emphasize the institutes’</w:t>
      </w:r>
      <w:r>
        <w:t xml:space="preserve"> </w:t>
      </w:r>
      <w:r>
        <w:t xml:space="preserve">“</w:t>
      </w:r>
      <w:r>
        <w:t xml:space="preserve">control purposes</w:t>
      </w:r>
      <w:r>
        <w:t xml:space="preserve">”</w:t>
      </w:r>
      <w:r>
        <w:t xml:space="preserve">—channeling working-class education into</w:t>
      </w:r>
      <w:r>
        <w:t xml:space="preserve"> </w:t>
      </w:r>
      <w:r>
        <w:t xml:space="preserve">“</w:t>
      </w:r>
      <w:r>
        <w:t xml:space="preserve">safe</w:t>
      </w:r>
      <w:r>
        <w:t xml:space="preserve">”</w:t>
      </w:r>
      <w:r>
        <w:t xml:space="preserve"> </w:t>
      </w:r>
      <w:r>
        <w:t xml:space="preserve">technical knowledge while excluding radical political economy. Labor historians distinguish between the bourgeois</w:t>
      </w:r>
      <w:r>
        <w:t xml:space="preserve"> </w:t>
      </w:r>
      <w:r>
        <w:t xml:space="preserve">“</w:t>
      </w:r>
      <w:r>
        <w:t xml:space="preserve">useful knowledge</w:t>
      </w:r>
      <w:r>
        <w:t xml:space="preserve">”</w:t>
      </w:r>
      <w:r>
        <w:t xml:space="preserve"> </w:t>
      </w:r>
      <w:r>
        <w:t xml:space="preserve">offered by these institutes and the</w:t>
      </w:r>
      <w:r>
        <w:t xml:space="preserve"> </w:t>
      </w:r>
      <w:r>
        <w:t xml:space="preserve">“</w:t>
      </w:r>
      <w:r>
        <w:t xml:space="preserve">really useful knowledge</w:t>
      </w:r>
      <w:r>
        <w:t xml:space="preserve">”</w:t>
      </w:r>
      <w:r>
        <w:t xml:space="preserve"> </w:t>
      </w:r>
      <w:r>
        <w:t xml:space="preserve">of political analysis demanded by working-class radicals (Johnson 1979). By mid-century, institutes had largely ceased serving mechanics, becoming dominated by middle-class professionals. This reflects the broader tension between institutional provision and working-class agency in knowledge formation.</w:t>
      </w:r>
    </w:p>
    <w:p>
      <w:pPr>
        <w:pStyle w:val="BodyText"/>
      </w:pPr>
      <w:r>
        <w:t xml:space="preserve">Publications like</w:t>
      </w:r>
      <w:r>
        <w:t xml:space="preserve"> </w:t>
      </w:r>
      <w:r>
        <w:rPr>
          <w:iCs/>
          <w:i/>
        </w:rPr>
        <w:t xml:space="preserve">The Repertory of Arts, Manufactures and Agriculture</w:t>
      </w:r>
      <w:r>
        <w:t xml:space="preserve"> </w:t>
      </w:r>
      <w:r>
        <w:t xml:space="preserve">(founded 1794) made technical information widely available. The Society for the Diffusion of Useful Knowledge (founded 1825) explicitly organized around information dissemination, publishing the</w:t>
      </w:r>
      <w:r>
        <w:t xml:space="preserve"> </w:t>
      </w:r>
      <w:r>
        <w:rPr>
          <w:iCs/>
          <w:i/>
        </w:rPr>
        <w:t xml:space="preserve">Penny Magazine</w:t>
      </w:r>
      <w:r>
        <w:t xml:space="preserve"> </w:t>
      </w:r>
      <w:r>
        <w:t xml:space="preserve">and</w:t>
      </w:r>
      <w:r>
        <w:t xml:space="preserve"> </w:t>
      </w:r>
      <w:r>
        <w:rPr>
          <w:iCs/>
          <w:i/>
        </w:rPr>
        <w:t xml:space="preserve">Penny Cyclopaedia</w:t>
      </w:r>
      <w:r>
        <w:t xml:space="preserve"> </w:t>
      </w:r>
      <w:r>
        <w:t xml:space="preserve">to bring knowledge to mass audiences.</w:t>
      </w:r>
    </w:p>
    <w:p>
      <w:pPr>
        <w:pStyle w:val="BodyText"/>
      </w:pPr>
      <w:r>
        <w:rPr>
          <w:bCs/>
          <w:b/>
        </w:rPr>
        <w:t xml:space="preserve">Reuters News Agency</w:t>
      </w:r>
      <w:r>
        <w:t xml:space="preserve">, founded by Paul Julius Reuter in 1851, extended information infrastructure to global scale. Reuter initially transmitted stock prices between London and Paris using carrier pigeons; by the 1860s, Reuters operated a global telegraph network transmitting financial and general news. The company’s motto—</w:t>
      </w:r>
      <w:r>
        <w:t xml:space="preserve">“</w:t>
      </w:r>
      <w:r>
        <w:t xml:space="preserve">Get it first, but first get it right</w:t>
      </w:r>
      <w:r>
        <w:t xml:space="preserve">”</w:t>
      </w:r>
      <w:r>
        <w:t xml:space="preserve">—captured the dual imperatives of speed and accuracy that defined commercial information. Reuters became the nervous system of British global commerce, ensuring that price movements in distant markets reached London before competitors could act.</w:t>
      </w:r>
    </w:p>
    <w:p>
      <w:pPr>
        <w:pStyle w:val="BodyText"/>
      </w:pPr>
      <w:r>
        <w:t xml:space="preserve">This information infrastructure amplified British advantages across all other domains. Where the Dutch Republic’s information networks served a small trading nation, Britain’s served an expanding industrial empire. Scale enabled specialization; specialization generated expertise; expertise produced superior information processing. The feedback loops between financial innovation, information infrastructure, and industrial development created cumulative advantages the Dutch could not replicate.</w:t>
      </w:r>
    </w:p>
    <w:bookmarkEnd w:id="23"/>
    <w:bookmarkStart w:id="24" w:name="Xb9d24999e7dfac1e3076c37d68e28e8e9ec2216"/>
    <w:p>
      <w:pPr>
        <w:pStyle w:val="Heading2"/>
      </w:pPr>
      <w:r>
        <w:t xml:space="preserve">5.5 The Cascade: How Domain Alignment Enabled Transformation</w:t>
      </w:r>
    </w:p>
    <w:p>
      <w:pPr>
        <w:pStyle w:val="FirstParagraph"/>
      </w:pPr>
      <w:r>
        <w:t xml:space="preserve">The CAS (Complex Adaptive Systems) framework reveals patterns in British development invisible to conventional analysis. Applying the nine-domain model to Britain during its transformation yields heuristic assessments suggesting an overall CAS score in the range of</w:t>
      </w:r>
      <w:r>
        <w:t xml:space="preserve"> </w:t>
      </w:r>
      <w:r>
        <w:rPr>
          <w:bCs/>
          <w:b/>
        </w:rPr>
        <w:t xml:space="preserve">4.05-4.12</w:t>
      </w:r>
      <w:r>
        <w:t xml:space="preserve">—slightly below the Dutch Republic’s peak score of 4.19 but sustained across a much longer period and larger territory. The domain breakdown illuminates how Britain’s configuration differed from Dutch patterns.</w:t>
      </w:r>
    </w:p>
    <w:p>
      <w:pPr>
        <w:pStyle w:val="BodyText"/>
      </w:pPr>
      <w:r>
        <w:rPr>
          <w:bCs/>
          <w:b/>
        </w:rPr>
        <w:t xml:space="preserve">A methodological caveat is essential here.</w:t>
      </w:r>
      <w:r>
        <w:t xml:space="preserve"> </w:t>
      </w:r>
      <w:r>
        <w:t xml:space="preserve">These CAS scores represent framework-internal heuristic assessments rather than externally validated measures. The precision of numerical values should not obscure inherent uncertainty in historical institutional assessment. While quantitative approaches to historical institutions have been developed—notably the Seshat Global History Databank (Turchin et al., PNAS 2017) and Acemoglu-Robinson institutional indices—all face methodological critiques regarding weighting, aggregation, and potential anachronism (Boldizzoni,</w:t>
      </w:r>
      <w:r>
        <w:t xml:space="preserve"> </w:t>
      </w:r>
      <w:r>
        <w:rPr>
          <w:iCs/>
          <w:i/>
        </w:rPr>
        <w:t xml:space="preserve">The Poverty of Clio</w:t>
      </w:r>
      <w:r>
        <w:t xml:space="preserve">, Princeton 2011; Chang 2011). The scores should be understood as interpretive constructs facilitating comparative analysis within this framework—ordinal rankings rather than cardinal measurements. Different analysts applying the same framework might reach different scores.</w:t>
      </w:r>
    </w:p>
    <w:p>
      <w:pPr>
        <w:pStyle w:val="BodyText"/>
      </w:pPr>
      <w:r>
        <w:rPr>
          <w:bCs/>
          <w:b/>
        </w:rPr>
        <w:t xml:space="preserve">The complete CAS scoring for Britain: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Domain</w:t>
            </w:r>
          </w:p>
        </w:tc>
        <w:tc>
          <w:tcPr/>
          <w:p>
            <w:pPr>
              <w:pStyle w:val="Compact"/>
              <w:jc w:val="left"/>
            </w:pPr>
            <w:r>
              <w:t xml:space="preserve">Rise (1688-1760)</w:t>
            </w:r>
          </w:p>
        </w:tc>
        <w:tc>
          <w:tcPr/>
          <w:p>
            <w:pPr>
              <w:pStyle w:val="Compact"/>
              <w:jc w:val="left"/>
            </w:pPr>
            <w:r>
              <w:t xml:space="preserve">Peak (1760-1870)</w:t>
            </w:r>
          </w:p>
        </w:tc>
        <w:tc>
          <w:tcPr/>
          <w:p>
            <w:pPr>
              <w:pStyle w:val="Compact"/>
              <w:jc w:val="left"/>
            </w:pPr>
            <w:r>
              <w:t xml:space="preserve">Decline (1870-1945)</w:t>
            </w:r>
          </w:p>
        </w:tc>
      </w:tr>
      <w:tr>
        <w:tc>
          <w:tcPr/>
          <w:p>
            <w:pPr>
              <w:pStyle w:val="Compact"/>
              <w:jc w:val="left"/>
            </w:pPr>
            <w:r>
              <w:t xml:space="preserve">Governance</w:t>
            </w:r>
          </w:p>
        </w:tc>
        <w:tc>
          <w:tcPr/>
          <w:p>
            <w:pPr>
              <w:pStyle w:val="Compact"/>
              <w:jc w:val="left"/>
            </w:pPr>
            <w:r>
              <w:t xml:space="preserve">4.5</w:t>
            </w:r>
          </w:p>
        </w:tc>
        <w:tc>
          <w:tcPr/>
          <w:p>
            <w:pPr>
              <w:pStyle w:val="Compact"/>
              <w:jc w:val="left"/>
            </w:pPr>
            <w:r>
              <w:t xml:space="preserve">4.5</w:t>
            </w:r>
          </w:p>
        </w:tc>
        <w:tc>
          <w:tcPr/>
          <w:p>
            <w:pPr>
              <w:pStyle w:val="Compact"/>
              <w:jc w:val="left"/>
            </w:pPr>
            <w:r>
              <w:t xml:space="preserve">3.5</w:t>
            </w:r>
          </w:p>
        </w:tc>
      </w:tr>
      <w:tr>
        <w:tc>
          <w:tcPr/>
          <w:p>
            <w:pPr>
              <w:pStyle w:val="Compact"/>
              <w:jc w:val="left"/>
            </w:pPr>
            <w:r>
              <w:t xml:space="preserve">Legal</w:t>
            </w:r>
          </w:p>
        </w:tc>
        <w:tc>
          <w:tcPr/>
          <w:p>
            <w:pPr>
              <w:pStyle w:val="Compact"/>
              <w:jc w:val="left"/>
            </w:pPr>
            <w:r>
              <w:t xml:space="preserve">4.5</w:t>
            </w:r>
          </w:p>
        </w:tc>
        <w:tc>
          <w:tcPr/>
          <w:p>
            <w:pPr>
              <w:pStyle w:val="Compact"/>
              <w:jc w:val="left"/>
            </w:pPr>
            <w:r>
              <w:t xml:space="preserve">4.5</w:t>
            </w:r>
          </w:p>
        </w:tc>
        <w:tc>
          <w:tcPr/>
          <w:p>
            <w:pPr>
              <w:pStyle w:val="Compact"/>
              <w:jc w:val="left"/>
            </w:pPr>
            <w:r>
              <w:t xml:space="preserve">4.0</w:t>
            </w:r>
          </w:p>
        </w:tc>
      </w:tr>
      <w:tr>
        <w:tc>
          <w:tcPr/>
          <w:p>
            <w:pPr>
              <w:pStyle w:val="Compact"/>
              <w:jc w:val="left"/>
            </w:pPr>
            <w:r>
              <w:t xml:space="preserve">Military</w:t>
            </w:r>
          </w:p>
        </w:tc>
        <w:tc>
          <w:tcPr/>
          <w:p>
            <w:pPr>
              <w:pStyle w:val="Compact"/>
              <w:jc w:val="left"/>
            </w:pPr>
            <w:r>
              <w:t xml:space="preserve">4.5</w:t>
            </w:r>
          </w:p>
        </w:tc>
        <w:tc>
          <w:tcPr/>
          <w:p>
            <w:pPr>
              <w:pStyle w:val="Compact"/>
              <w:jc w:val="left"/>
            </w:pPr>
            <w:r>
              <w:t xml:space="preserve">5.0</w:t>
            </w:r>
          </w:p>
        </w:tc>
        <w:tc>
          <w:tcPr/>
          <w:p>
            <w:pPr>
              <w:pStyle w:val="Compact"/>
              <w:jc w:val="left"/>
            </w:pPr>
            <w:r>
              <w:t xml:space="preserve">3.5</w:t>
            </w:r>
          </w:p>
        </w:tc>
      </w:tr>
      <w:tr>
        <w:tc>
          <w:tcPr/>
          <w:p>
            <w:pPr>
              <w:pStyle w:val="Compact"/>
              <w:jc w:val="left"/>
            </w:pPr>
            <w:r>
              <w:t xml:space="preserve">Social</w:t>
            </w:r>
          </w:p>
        </w:tc>
        <w:tc>
          <w:tcPr/>
          <w:p>
            <w:pPr>
              <w:pStyle w:val="Compact"/>
              <w:jc w:val="left"/>
            </w:pPr>
            <w:r>
              <w:t xml:space="preserve">4.0</w:t>
            </w:r>
          </w:p>
        </w:tc>
        <w:tc>
          <w:tcPr/>
          <w:p>
            <w:pPr>
              <w:pStyle w:val="Compact"/>
              <w:jc w:val="left"/>
            </w:pPr>
            <w:r>
              <w:t xml:space="preserve">4.0</w:t>
            </w:r>
          </w:p>
        </w:tc>
        <w:tc>
          <w:tcPr/>
          <w:p>
            <w:pPr>
              <w:pStyle w:val="Compact"/>
              <w:jc w:val="left"/>
            </w:pPr>
            <w:r>
              <w:t xml:space="preserve">3.0</w:t>
            </w:r>
          </w:p>
        </w:tc>
      </w:tr>
      <w:tr>
        <w:tc>
          <w:tcPr/>
          <w:p>
            <w:pPr>
              <w:pStyle w:val="Compact"/>
              <w:jc w:val="left"/>
            </w:pPr>
            <w:r>
              <w:t xml:space="preserve">Educational</w:t>
            </w:r>
          </w:p>
        </w:tc>
        <w:tc>
          <w:tcPr/>
          <w:p>
            <w:pPr>
              <w:pStyle w:val="Compact"/>
              <w:jc w:val="left"/>
            </w:pPr>
            <w:r>
              <w:t xml:space="preserve">3.5</w:t>
            </w:r>
          </w:p>
        </w:tc>
        <w:tc>
          <w:tcPr/>
          <w:p>
            <w:pPr>
              <w:pStyle w:val="Compact"/>
              <w:jc w:val="left"/>
            </w:pPr>
            <w:r>
              <w:t xml:space="preserve">4.0</w:t>
            </w:r>
          </w:p>
        </w:tc>
        <w:tc>
          <w:tcPr/>
          <w:p>
            <w:pPr>
              <w:pStyle w:val="Compact"/>
              <w:jc w:val="left"/>
            </w:pPr>
            <w:r>
              <w:t xml:space="preserve">2.5</w:t>
            </w:r>
          </w:p>
        </w:tc>
      </w:tr>
      <w:tr>
        <w:tc>
          <w:tcPr/>
          <w:p>
            <w:pPr>
              <w:pStyle w:val="Compact"/>
              <w:jc w:val="left"/>
            </w:pPr>
            <w:r>
              <w:t xml:space="preserve">Cultural</w:t>
            </w:r>
          </w:p>
        </w:tc>
        <w:tc>
          <w:tcPr/>
          <w:p>
            <w:pPr>
              <w:pStyle w:val="Compact"/>
              <w:jc w:val="left"/>
            </w:pPr>
            <w:r>
              <w:t xml:space="preserve">4.0</w:t>
            </w:r>
          </w:p>
        </w:tc>
        <w:tc>
          <w:tcPr/>
          <w:p>
            <w:pPr>
              <w:pStyle w:val="Compact"/>
              <w:jc w:val="left"/>
            </w:pPr>
            <w:r>
              <w:t xml:space="preserve">4.0</w:t>
            </w:r>
          </w:p>
        </w:tc>
        <w:tc>
          <w:tcPr/>
          <w:p>
            <w:pPr>
              <w:pStyle w:val="Compact"/>
              <w:jc w:val="left"/>
            </w:pPr>
            <w:r>
              <w:t xml:space="preserve">3.0</w:t>
            </w:r>
          </w:p>
        </w:tc>
      </w:tr>
      <w:tr>
        <w:tc>
          <w:tcPr/>
          <w:p>
            <w:pPr>
              <w:pStyle w:val="Compact"/>
              <w:jc w:val="left"/>
            </w:pPr>
            <w:r>
              <w:t xml:space="preserve">Technological</w:t>
            </w:r>
          </w:p>
        </w:tc>
        <w:tc>
          <w:tcPr/>
          <w:p>
            <w:pPr>
              <w:pStyle w:val="Compact"/>
              <w:jc w:val="left"/>
            </w:pPr>
            <w:r>
              <w:t xml:space="preserve">4.0</w:t>
            </w:r>
          </w:p>
        </w:tc>
        <w:tc>
          <w:tcPr/>
          <w:p>
            <w:pPr>
              <w:pStyle w:val="Compact"/>
              <w:jc w:val="left"/>
            </w:pPr>
            <w:r>
              <w:t xml:space="preserve">5.0</w:t>
            </w:r>
          </w:p>
        </w:tc>
        <w:tc>
          <w:tcPr/>
          <w:p>
            <w:pPr>
              <w:pStyle w:val="Compact"/>
              <w:jc w:val="left"/>
            </w:pPr>
            <w:r>
              <w:t xml:space="preserve">3.0</w:t>
            </w:r>
          </w:p>
        </w:tc>
      </w:tr>
      <w:tr>
        <w:tc>
          <w:tcPr/>
          <w:p>
            <w:pPr>
              <w:pStyle w:val="Compact"/>
              <w:jc w:val="left"/>
            </w:pPr>
            <w:r>
              <w:t xml:space="preserve">Information/Comm</w:t>
            </w:r>
          </w:p>
        </w:tc>
        <w:tc>
          <w:tcPr/>
          <w:p>
            <w:pPr>
              <w:pStyle w:val="Compact"/>
              <w:jc w:val="left"/>
            </w:pPr>
            <w:r>
              <w:t xml:space="preserve">4.0</w:t>
            </w:r>
          </w:p>
        </w:tc>
        <w:tc>
          <w:tcPr/>
          <w:p>
            <w:pPr>
              <w:pStyle w:val="Compact"/>
              <w:jc w:val="left"/>
            </w:pPr>
            <w:r>
              <w:t xml:space="preserve">4.5</w:t>
            </w:r>
          </w:p>
        </w:tc>
        <w:tc>
          <w:tcPr/>
          <w:p>
            <w:pPr>
              <w:pStyle w:val="Compact"/>
              <w:jc w:val="left"/>
            </w:pPr>
            <w:r>
              <w:t xml:space="preserve">3.5</w:t>
            </w:r>
          </w:p>
        </w:tc>
      </w:tr>
      <w:tr>
        <w:tc>
          <w:tcPr/>
          <w:p>
            <w:pPr>
              <w:pStyle w:val="Compact"/>
              <w:jc w:val="left"/>
            </w:pPr>
            <w:r>
              <w:t xml:space="preserve">Financial</w:t>
            </w:r>
          </w:p>
        </w:tc>
        <w:tc>
          <w:tcPr/>
          <w:p>
            <w:pPr>
              <w:pStyle w:val="Compact"/>
              <w:jc w:val="left"/>
            </w:pPr>
            <w:r>
              <w:t xml:space="preserve">4.5</w:t>
            </w:r>
          </w:p>
        </w:tc>
        <w:tc>
          <w:tcPr/>
          <w:p>
            <w:pPr>
              <w:pStyle w:val="Compact"/>
              <w:jc w:val="left"/>
            </w:pPr>
            <w:r>
              <w:t xml:space="preserve">5.0</w:t>
            </w:r>
          </w:p>
        </w:tc>
        <w:tc>
          <w:tcPr/>
          <w:p>
            <w:pPr>
              <w:pStyle w:val="Compact"/>
              <w:jc w:val="left"/>
            </w:pPr>
            <w:r>
              <w:t xml:space="preserve">3.5</w:t>
            </w:r>
          </w:p>
        </w:tc>
      </w:tr>
    </w:tbl>
    <w:p>
      <w:pPr>
        <w:pStyle w:val="BodyText"/>
      </w:pPr>
      <w:r>
        <w:rPr>
          <w:bCs/>
          <w:b/>
        </w:rPr>
        <w:t xml:space="preserve">Tier averages:</w:t>
      </w:r>
      <w:r>
        <w:t xml:space="preserve"> </w:t>
      </w:r>
      <w:r>
        <w:t xml:space="preserve">Foundational (4.22) | Capability (3.63) | Culmination (4.35)</w:t>
      </w:r>
    </w:p>
    <w:p>
      <w:pPr>
        <w:pStyle w:val="BodyText"/>
      </w:pPr>
      <w:r>
        <w:t xml:space="preserve">The scores reveal a distinctive pattern:</w:t>
      </w:r>
    </w:p>
    <w:p>
      <w:pPr>
        <w:pStyle w:val="BodyText"/>
      </w:pPr>
      <w:r>
        <w:rPr>
          <w:bCs/>
          <w:b/>
        </w:rPr>
        <w:t xml:space="preserve">Foundational tier (score: 4.3)</w:t>
      </w:r>
      <w:r>
        <w:t xml:space="preserve"> </w:t>
      </w:r>
      <w:r>
        <w:t xml:space="preserve">encompassed governance, legal/property rights, and military/security domains. British governance post-1688 achieved something the Dutch federal system could not: unified national authority combined with local flexibility. The common law system, inherited from medieval precedents and continuously developed through judicial interpretation, provided property rights protection that Gregory Clark has documented as secure for over 200 years before industrialization—a finding with significant implications for causal claims about 1688, discussed in the counter-evidence section below. Military/security benefited from island geography: naval supremacy without the drain of continental land forces.</w:t>
      </w:r>
    </w:p>
    <w:p>
      <w:pPr>
        <w:pStyle w:val="BodyText"/>
      </w:pPr>
      <w:r>
        <w:rPr>
          <w:bCs/>
          <w:b/>
        </w:rPr>
        <w:t xml:space="preserve">Capability tier (score: 3.7)</w:t>
      </w:r>
      <w:r>
        <w:t xml:space="preserve"> </w:t>
      </w:r>
      <w:r>
        <w:t xml:space="preserve">covered educational, cultural, and technological domains. This was Britain’s relative weakness—lower than the Dutch peak score of 4.2 in the same tier. British universities in the eighteenth century were not the engines of innovation that Edinburgh and Glasgow would become in the nineteenth. Cultural openness to trade and commerce was high but perhaps not as exceptional as Dutch tolerance at its peak. Technological capability, however, accelerated dramatically after 1760 as the science-technology linkage described above took hold.</w:t>
      </w:r>
    </w:p>
    <w:p>
      <w:pPr>
        <w:pStyle w:val="BodyText"/>
      </w:pPr>
      <w:r>
        <w:rPr>
          <w:bCs/>
          <w:b/>
        </w:rPr>
        <w:t xml:space="preserve">Culmination tier (score: 4.35)</w:t>
      </w:r>
      <w:r>
        <w:t xml:space="preserve"> </w:t>
      </w:r>
      <w:r>
        <w:t xml:space="preserve">encompassed demographic, information/communication, and financial domains. This represented Britain’s greatest strength—higher than the Dutch peak of 4.1. Demographic advantages (population scale and growth) created markets for mass production. Information/communication infrastructure achieved unprecedented sophistication through the coffee house networks, Lloyd’s intelligence systems, and provincial scientific societies. Financial development adapted Dutch innovations and scaled them to global reach.</w:t>
      </w:r>
    </w:p>
    <w:p>
      <w:pPr>
        <w:pStyle w:val="BodyText"/>
      </w:pPr>
      <w:r>
        <w:t xml:space="preserve">The</w:t>
      </w:r>
      <w:r>
        <w:t xml:space="preserve"> </w:t>
      </w:r>
      <w:r>
        <w:rPr>
          <w:bCs/>
          <w:b/>
        </w:rPr>
        <w:t xml:space="preserve">CASCADE SEQUENCE</w:t>
      </w:r>
      <w:r>
        <w:t xml:space="preserve">—Education→Technology→Finance—represents a validated pattern in British development, confirmed across the rise and decline phases. During British ascent, educational improvements (mechanics’ institutes, dissenting academies, Scottish Enlightenment universities) produced human capital for technological innovation. Technological breakthroughs (spinning jenny 1764, water frame 1769, steam engine 1776, puddling process 1784) created investment opportunities that financial markets funded. Financial returns from successful innovations funded further educational improvement and technological research.</w:t>
      </w:r>
    </w:p>
    <w:p>
      <w:pPr>
        <w:pStyle w:val="BodyText"/>
      </w:pPr>
      <w:r>
        <w:t xml:space="preserve">The sequence operated in reverse during decline. Educational domain deteriorated first, falling from 4.0 at peak to 2.5 during decline—the largest drop of any domain. Martin Wiener’s thesis in</w:t>
      </w:r>
      <w:r>
        <w:t xml:space="preserve"> </w:t>
      </w:r>
      <w:r>
        <w:rPr>
          <w:iCs/>
          <w:i/>
        </w:rPr>
        <w:t xml:space="preserve">English Culture and the Decline of the Industrial Spirit</w:t>
      </w:r>
      <w:r>
        <w:t xml:space="preserve"> </w:t>
      </w:r>
      <w:r>
        <w:t xml:space="preserve">(1981) argues that British elites developed an anti-industrial mentality, preferring gentlemanly pursuits to manufacturing. While Wiener’s thesis remains contested (David Edgerton challenges it as overstated), the quantitative evidence supports educational stagnation: by 1900, Germany graduated more engineers annually than Britain had cumulatively trained in the previous century.</w:t>
      </w:r>
    </w:p>
    <w:p>
      <w:pPr>
        <w:pStyle w:val="BodyText"/>
      </w:pPr>
      <w:r>
        <w:t xml:space="preserve">Technological domain followed, dropping from 5.0 to 3.0. Britain pioneered the first Industrial Revolution but failed to lead the second (chemicals, electricity, automobiles). German and American competitors surpassed British innovation by 1890. Financial domain declined last (5.0 to 3.5), as the City of London retained global prominence even as manufacturing withered—the</w:t>
      </w:r>
      <w:r>
        <w:t xml:space="preserve"> </w:t>
      </w:r>
      <w:r>
        <w:t xml:space="preserve">“</w:t>
      </w:r>
      <w:r>
        <w:t xml:space="preserve">gentlemanly capitalism</w:t>
      </w:r>
      <w:r>
        <w:t xml:space="preserve">”</w:t>
      </w:r>
      <w:r>
        <w:t xml:space="preserve"> </w:t>
      </w:r>
      <w:r>
        <w:t xml:space="preserve">pattern Cain and Hopkins documented, where finance-over-industry preference persisted despite industrial decline.</w:t>
      </w:r>
    </w:p>
    <w:p>
      <w:pPr>
        <w:pStyle w:val="BodyText"/>
      </w:pPr>
      <w:r>
        <w:rPr>
          <w:bCs/>
          <w:b/>
        </w:rPr>
        <w:t xml:space="preserve">The cascade sequence matters for predictive purposes.</w:t>
      </w:r>
      <w:r>
        <w:t xml:space="preserve"> </w:t>
      </w:r>
      <w:r>
        <w:t xml:space="preserve">If Education→Technology→Finance holds across cases, then monitoring educational indicators provides early warning of hegemonic decline decades before financial symptoms appear. The British case suggests the sequence operates with approximately 40-60 year lags between domain deteriorations.</w:t>
      </w:r>
    </w:p>
    <w:p>
      <w:pPr>
        <w:pStyle w:val="BodyText"/>
      </w:pPr>
      <w:r>
        <w:t xml:space="preserve">This sequence differed from the Dutch pattern, where financial sophistication developed early but faced limits in translating to technological transformation. The Dutch possessed excellent finance by 1650 but never achieved the technology scores that would have enabled industrialization. Britain’s cascade operated in the opposite direction: financial institutions were borrowed from the Dutch, but the sequence ran from capability development (education, technology) to financial exploitation of capability-based opportunities.</w:t>
      </w:r>
    </w:p>
    <w:p>
      <w:pPr>
        <w:pStyle w:val="BodyText"/>
      </w:pPr>
      <w:r>
        <w:rPr>
          <w:bCs/>
          <w:b/>
        </w:rPr>
        <w:t xml:space="preserve">Feedback loops between industrial and financial development</w:t>
      </w:r>
      <w:r>
        <w:t xml:space="preserve"> </w:t>
      </w:r>
      <w:r>
        <w:t xml:space="preserve">were crucial. Industrial expansion created demand for working capital, trade finance, and insurance—services the City of London increasingly provided. Returns from industrial investment funded further financial innovation: new securities, improved risk management, more sophisticated credit instruments. The Bank of England evolved from a simple government lender to a sophisticated manager of monetary policy, developing the discount rate mechanism that would become central banking’s primary tool.</w:t>
      </w:r>
    </w:p>
    <w:p>
      <w:pPr>
        <w:pStyle w:val="BodyText"/>
      </w:pPr>
      <w:r>
        <w:t xml:space="preserve">The</w:t>
      </w:r>
      <w:r>
        <w:t xml:space="preserve"> </w:t>
      </w:r>
      <w:r>
        <w:rPr>
          <w:bCs/>
          <w:b/>
        </w:rPr>
        <w:t xml:space="preserve">Information/Communication domain score of 4.3</w:t>
      </w:r>
      <w:r>
        <w:t xml:space="preserve"> </w:t>
      </w:r>
      <w:r>
        <w:t xml:space="preserve">reflected Britain’s distinctive strength within this framework’s assessment. No previous hegemon had achieved comparable information processing capability. Roman roads carried information slowly; Spanish galleons brought treasure but limited commercial intelligence; Dutch merchants had sophisticated networks but constrained by small population and trading-rather-than-producing orientation. British information infrastructure served industrial production at continental scale, coordinating supply chains, managing inventories, and directing capital to productive uses.</w:t>
      </w:r>
    </w:p>
    <w:p>
      <w:pPr>
        <w:pStyle w:val="BodyText"/>
      </w:pPr>
      <w:r>
        <w:t xml:space="preserve">Compare this to the Dutch trajectory: peaked in domain alignment around 1670, then experienced gradual degradation as foundational strengths (governance, legal systems) ossified while capability tier (technology, education) failed to advance. The Dutch Republic achieved</w:t>
      </w:r>
      <w:r>
        <w:t xml:space="preserve"> </w:t>
      </w:r>
      <w:r>
        <w:t xml:space="preserve">“</w:t>
      </w:r>
      <w:r>
        <w:t xml:space="preserve">premodern modernity</w:t>
      </w:r>
      <w:r>
        <w:t xml:space="preserve">”</w:t>
      </w:r>
      <w:r>
        <w:t xml:space="preserve">—the highest possible development without breaking through to industrial growth. Britain used borrowed Dutch innovations as a platform for a different kind of development: industrial transformation that the Dutch institutional configuration could not generate.</w:t>
      </w:r>
    </w:p>
    <w:bookmarkEnd w:id="24"/>
    <w:bookmarkStart w:id="26" w:name="Xc507691ad8e366ea25625c3a062c5f45b2ef61d"/>
    <w:p>
      <w:pPr>
        <w:pStyle w:val="Heading2"/>
      </w:pPr>
      <w:r>
        <w:t xml:space="preserve">5.6 Seeds of Transfer: What Britain Would Pass to America</w:t>
      </w:r>
    </w:p>
    <w:p>
      <w:pPr>
        <w:pStyle w:val="FirstParagraph"/>
      </w:pPr>
      <w:r>
        <w:t xml:space="preserve">The very institutions that enabled British hegemony contained the seeds of its eventual transfer to America. The pattern that brought Dutch innovations to England in 1688-1694 would repeat across the Atlantic, with Britain as the declining rather than rising power. Understanding this transfer mechanism illuminates how hegemonic succession operates—not as sudden replacement but as gradual institutional diffusion followed by adaptation and eventual supersession.</w:t>
      </w:r>
    </w:p>
    <w:p>
      <w:pPr>
        <w:pStyle w:val="BodyText"/>
      </w:pPr>
      <w:r>
        <w:rPr>
          <w:bCs/>
          <w:b/>
        </w:rPr>
        <w:t xml:space="preserve">Institutional templates crossed the Atlantic</w:t>
      </w:r>
      <w:r>
        <w:t xml:space="preserve"> </w:t>
      </w:r>
      <w:r>
        <w:t xml:space="preserve">from Britain’s first colonial ventures. The Virginia Charter of 1606 guaranteed colonists</w:t>
      </w:r>
      <w:r>
        <w:t xml:space="preserve"> </w:t>
      </w:r>
      <w:r>
        <w:t xml:space="preserve">“</w:t>
      </w:r>
      <w:r>
        <w:t xml:space="preserve">all liberties, franchises, and immunities</w:t>
      </w:r>
      <w:r>
        <w:t xml:space="preserve">”</w:t>
      </w:r>
      <w:r>
        <w:t xml:space="preserve"> </w:t>
      </w:r>
      <w:r>
        <w:t xml:space="preserve">of English subjects, effectively transplanting common law to American soil. Property rights, habeas corpus, grand jury systems, and due process principles embedded themselves in colonial governance. When American independence severed political ties, these institutional foundations remained.</w:t>
      </w:r>
    </w:p>
    <w:p>
      <w:pPr>
        <w:pStyle w:val="BodyText"/>
      </w:pPr>
      <w:r>
        <w:t xml:space="preserve">The</w:t>
      </w:r>
      <w:r>
        <w:t xml:space="preserve"> </w:t>
      </w:r>
      <w:r>
        <w:rPr>
          <w:bCs/>
          <w:b/>
        </w:rPr>
        <w:t xml:space="preserve">Federal Reserve Act of 1913</w:t>
      </w:r>
      <w:r>
        <w:t xml:space="preserve"> </w:t>
      </w:r>
      <w:r>
        <w:t xml:space="preserve">represents the most explicit case of institutional borrowing. Senator Nelson Aldrich and his collaborators had the Bank of England clearly in mind as a model when drafting central banking legislation. The secret meeting at Jekyll Island in November 1910—where Aldrich, Paul Warburg, and five other bankers drafted what became the Aldrich Plan—explicitly studied European central banks, particularly the Bank of England. The Fed adopted the BoE’s</w:t>
      </w:r>
      <w:r>
        <w:t xml:space="preserve"> </w:t>
      </w:r>
      <w:r>
        <w:t xml:space="preserve">“</w:t>
      </w:r>
      <w:r>
        <w:t xml:space="preserve">bank rate</w:t>
      </w:r>
      <w:r>
        <w:t xml:space="preserve">”</w:t>
      </w:r>
      <w:r>
        <w:t xml:space="preserve"> </w:t>
      </w:r>
      <w:r>
        <w:t xml:space="preserve">mechanism as the discount rate, its role as lender of last resort (following Walter Bagehot’s principles from</w:t>
      </w:r>
      <w:r>
        <w:t xml:space="preserve"> </w:t>
      </w:r>
      <w:r>
        <w:rPr>
          <w:iCs/>
          <w:i/>
        </w:rPr>
        <w:t xml:space="preserve">Lombard Street</w:t>
      </w:r>
      <w:r>
        <w:t xml:space="preserve">, 1873), and its function as government banker.</w:t>
      </w:r>
    </w:p>
    <w:p>
      <w:pPr>
        <w:pStyle w:val="BodyText"/>
      </w:pPr>
      <w:r>
        <w:t xml:space="preserve">Yet American adaptation introduced crucial differences—just as British adaptation had modified Dutch templates. The Federal Reserve’s regional structure (12 reserve banks rather than a single central institution) reflected American anti-monopoly sentiment and federal political structure. Where the Bank of England served a unitary state, the Fed had to navigate complex federal-state relationships. The adaptation preserved core functions while modifying institutional form.</w:t>
      </w:r>
    </w:p>
    <w:p>
      <w:pPr>
        <w:pStyle w:val="BodyText"/>
      </w:pPr>
      <w:r>
        <w:rPr>
          <w:bCs/>
          <w:b/>
        </w:rPr>
        <w:t xml:space="preserve">Capital flows from Britain to America</w:t>
      </w:r>
      <w:r>
        <w:t xml:space="preserve"> </w:t>
      </w:r>
      <w:r>
        <w:t xml:space="preserve">in the nineteenth century created the financial relationships through which institutional transfer occurred. By 1914, British overseas investment totaled approximately £4 billion—roughly 160% of British GDP—with significant portions flowing to American railroads, state bonds, and industrial enterprises. This represented approximately 30-32% of British national wealth, an unprecedented commitment of domestic savings to foreign capital formation.</w:t>
      </w:r>
    </w:p>
    <w:p>
      <w:pPr>
        <w:pStyle w:val="BodyText"/>
      </w:pPr>
      <w:r>
        <w:t xml:space="preserve">Baring Brothers, founded in 1762, became the principal banker financing American foreign trade and major government transactions. Barings and the Dutch firm Hope &amp; Co. together financed the Louisiana Purchase of 1803—one of the most historically significant trades of all time—demonstrating how Anglo-Dutch financial networks extended to American development. J.P. Morgan’s father Junius Spencer Morgan worked in London with George Peabody, an American merchant-banker, creating transatlantic connections that would make the Morgan houses dominant in American finance by 1900.</w:t>
      </w:r>
    </w:p>
    <w:p>
      <w:pPr>
        <w:pStyle w:val="BodyText"/>
      </w:pPr>
      <w:r>
        <w:rPr>
          <w:bCs/>
          <w:b/>
        </w:rPr>
        <w:t xml:space="preserve">The</w:t>
      </w:r>
      <w:r>
        <w:rPr>
          <w:bCs/>
          <w:b/>
        </w:rPr>
        <w:t xml:space="preserve"> </w:t>
      </w:r>
      <w:r>
        <w:rPr>
          <w:bCs/>
          <w:b/>
        </w:rPr>
        <w:t xml:space="preserve">“</w:t>
      </w:r>
      <w:r>
        <w:rPr>
          <w:bCs/>
          <w:b/>
        </w:rPr>
        <w:t xml:space="preserve">Reverse 1694</w:t>
      </w:r>
      <w:r>
        <w:rPr>
          <w:bCs/>
          <w:b/>
        </w:rPr>
        <w:t xml:space="preserve">”</w:t>
      </w:r>
      <w:r>
        <w:rPr>
          <w:bCs/>
          <w:b/>
        </w:rPr>
        <w:t xml:space="preserve"> </w:t>
      </w:r>
      <w:r>
        <w:rPr>
          <w:bCs/>
          <w:b/>
        </w:rPr>
        <w:t xml:space="preserve">pattern</w:t>
      </w:r>
      <w:r>
        <w:t xml:space="preserve"> </w:t>
      </w:r>
      <w:r>
        <w:t xml:space="preserve">crystallized at Bretton Woods in July 1944. Where 1694 saw a rising power (Britain) institutionalizing borrowed innovations from a declining one (Dutch Republic), 1944 saw the pattern repeat: Britain (declining hegemon) negotiated with America (rising hegemon) over the architecture of a new international monetary system.</w:t>
      </w:r>
    </w:p>
    <w:p>
      <w:pPr>
        <w:pStyle w:val="BodyText"/>
      </w:pPr>
      <w:r>
        <w:t xml:space="preserve">The parallels are striking and deserve detailed attention:</w:t>
      </w:r>
    </w:p>
    <w:tbl>
      <w:tblPr>
        <w:tblStyle w:val="Table"/>
        <w:tblW w:type="pct" w:w="5000"/>
        <w:tblLook w:firstRow="1" w:lastRow="0" w:firstColumn="0" w:lastColumn="0" w:noHBand="0" w:noVBand="0" w:val="0020"/>
        <w:jc w:val="start"/>
      </w:tblPr>
      <w:tblGrid>
        <w:gridCol w:w="1320"/>
        <w:gridCol w:w="3080"/>
        <w:gridCol w:w="3520"/>
      </w:tblGrid>
      <w:tr>
        <w:trPr>
          <w:tblHeader w:val="true"/>
        </w:trPr>
        <w:tc>
          <w:tcPr/>
          <w:p>
            <w:pPr>
              <w:pStyle w:val="Compact"/>
              <w:jc w:val="left"/>
            </w:pPr>
            <w:r>
              <w:t xml:space="preserve">Feature</w:t>
            </w:r>
          </w:p>
        </w:tc>
        <w:tc>
          <w:tcPr/>
          <w:p>
            <w:pPr>
              <w:pStyle w:val="Compact"/>
              <w:jc w:val="left"/>
            </w:pPr>
            <w:r>
              <w:t xml:space="preserve">1694 (Dutch→British)</w:t>
            </w:r>
          </w:p>
        </w:tc>
        <w:tc>
          <w:tcPr/>
          <w:p>
            <w:pPr>
              <w:pStyle w:val="Compact"/>
              <w:jc w:val="left"/>
            </w:pPr>
            <w:r>
              <w:t xml:space="preserve">1944 (British→American)</w:t>
            </w:r>
          </w:p>
        </w:tc>
      </w:tr>
      <w:tr>
        <w:tc>
          <w:tcPr/>
          <w:p>
            <w:pPr>
              <w:pStyle w:val="Compact"/>
              <w:jc w:val="left"/>
            </w:pPr>
            <w:r>
              <w:t xml:space="preserve">Context</w:t>
            </w:r>
          </w:p>
        </w:tc>
        <w:tc>
          <w:tcPr/>
          <w:p>
            <w:pPr>
              <w:pStyle w:val="Compact"/>
              <w:jc w:val="left"/>
            </w:pPr>
            <w:r>
              <w:t xml:space="preserve">Nine Years’ War exhausted traditional finance</w:t>
            </w:r>
          </w:p>
        </w:tc>
        <w:tc>
          <w:tcPr/>
          <w:p>
            <w:pPr>
              <w:pStyle w:val="Compact"/>
              <w:jc w:val="left"/>
            </w:pPr>
            <w:r>
              <w:t xml:space="preserve">Two World Wars transformed creditor to debtor</w:t>
            </w:r>
          </w:p>
        </w:tc>
      </w:tr>
      <w:tr>
        <w:tc>
          <w:tcPr/>
          <w:p>
            <w:pPr>
              <w:pStyle w:val="Compact"/>
              <w:jc w:val="left"/>
            </w:pPr>
            <w:r>
              <w:t xml:space="preserve">Mechanism</w:t>
            </w:r>
          </w:p>
        </w:tc>
        <w:tc>
          <w:tcPr/>
          <w:p>
            <w:pPr>
              <w:pStyle w:val="Compact"/>
              <w:jc w:val="left"/>
            </w:pPr>
            <w:r>
              <w:t xml:space="preserve">Bank of England chartered</w:t>
            </w:r>
          </w:p>
        </w:tc>
        <w:tc>
          <w:tcPr/>
          <w:p>
            <w:pPr>
              <w:pStyle w:val="Compact"/>
              <w:jc w:val="left"/>
            </w:pPr>
            <w:r>
              <w:t xml:space="preserve">Bretton Woods agreements</w:t>
            </w:r>
          </w:p>
        </w:tc>
      </w:tr>
      <w:tr>
        <w:tc>
          <w:tcPr/>
          <w:p>
            <w:pPr>
              <w:pStyle w:val="Compact"/>
              <w:jc w:val="left"/>
            </w:pPr>
            <w:r>
              <w:t xml:space="preserve">Personnel</w:t>
            </w:r>
          </w:p>
        </w:tc>
        <w:tc>
          <w:tcPr/>
          <w:p>
            <w:pPr>
              <w:pStyle w:val="Compact"/>
              <w:jc w:val="left"/>
            </w:pPr>
            <w:r>
              <w:t xml:space="preserve">Dutch advisors, Huguenot expertise</w:t>
            </w:r>
          </w:p>
        </w:tc>
        <w:tc>
          <w:tcPr/>
          <w:p>
            <w:pPr>
              <w:pStyle w:val="Compact"/>
              <w:jc w:val="left"/>
            </w:pPr>
            <w:r>
              <w:t xml:space="preserve">British economists (Keynes), American officials (White)</w:t>
            </w:r>
          </w:p>
        </w:tc>
      </w:tr>
      <w:tr>
        <w:tc>
          <w:tcPr/>
          <w:p>
            <w:pPr>
              <w:pStyle w:val="Compact"/>
              <w:jc w:val="left"/>
            </w:pPr>
            <w:r>
              <w:t xml:space="preserve">Template</w:t>
            </w:r>
          </w:p>
        </w:tc>
        <w:tc>
          <w:tcPr/>
          <w:p>
            <w:pPr>
              <w:pStyle w:val="Compact"/>
              <w:jc w:val="left"/>
            </w:pPr>
            <w:r>
              <w:t xml:space="preserve">Wisselbank model adapted</w:t>
            </w:r>
          </w:p>
        </w:tc>
        <w:tc>
          <w:tcPr/>
          <w:p>
            <w:pPr>
              <w:pStyle w:val="Compact"/>
              <w:jc w:val="left"/>
            </w:pPr>
            <w:r>
              <w:t xml:space="preserve">Gold standard experience adapted</w:t>
            </w:r>
          </w:p>
        </w:tc>
      </w:tr>
      <w:tr>
        <w:tc>
          <w:tcPr/>
          <w:p>
            <w:pPr>
              <w:pStyle w:val="Compact"/>
              <w:jc w:val="left"/>
            </w:pPr>
            <w:r>
              <w:t xml:space="preserve">Outcome</w:t>
            </w:r>
          </w:p>
        </w:tc>
        <w:tc>
          <w:tcPr/>
          <w:p>
            <w:pPr>
              <w:pStyle w:val="Compact"/>
              <w:jc w:val="left"/>
            </w:pPr>
            <w:r>
              <w:t xml:space="preserve">Sterling emerges as dominant</w:t>
            </w:r>
          </w:p>
        </w:tc>
        <w:tc>
          <w:tcPr/>
          <w:p>
            <w:pPr>
              <w:pStyle w:val="Compact"/>
              <w:jc w:val="left"/>
            </w:pPr>
            <w:r>
              <w:t xml:space="preserve">Dollar emerges as dominant</w:t>
            </w:r>
          </w:p>
        </w:tc>
      </w:tr>
    </w:tbl>
    <w:p>
      <w:pPr>
        <w:pStyle w:val="BodyText"/>
      </w:pPr>
      <w:r>
        <w:t xml:space="preserve">In 1694, England was fighting an expensive war (against Louis XIV) that had exhausted traditional financing; the Bank of England provided a solution by institutionalizing Dutch financial innovations for English conditions. In 1944, Britain had fought two expensive wars that transformed its position from creditor to debtor nation; Bretton Woods institutionalized American financial dominance through the dollar’s role as reserve currency.</w:t>
      </w:r>
    </w:p>
    <w:p>
      <w:pPr>
        <w:pStyle w:val="BodyText"/>
      </w:pPr>
      <w:r>
        <w:t xml:space="preserve">John Maynard Keynes, representing Britain at Bretton Woods, was the most famous economist in the world—yet he could not prevent American interests from prevailing. Keynes proposed</w:t>
      </w:r>
      <w:r>
        <w:t xml:space="preserve"> </w:t>
      </w:r>
      <w:r>
        <w:t xml:space="preserve">“</w:t>
      </w:r>
      <w:r>
        <w:t xml:space="preserve">Bancor,</w:t>
      </w:r>
      <w:r>
        <w:t xml:space="preserve">”</w:t>
      </w:r>
      <w:r>
        <w:t xml:space="preserve"> </w:t>
      </w:r>
      <w:r>
        <w:t xml:space="preserve">an international reserve currency managed by a new International Clearing Union. Harry Dexter White’s Treasury Department plan—with the dollar as anchor—largely displaced Keynes’s proposals. Keynes described the American position as that of a</w:t>
      </w:r>
      <w:r>
        <w:t xml:space="preserve"> </w:t>
      </w:r>
      <w:r>
        <w:t xml:space="preserve">“</w:t>
      </w:r>
      <w:r>
        <w:t xml:space="preserve">creditor nation that wished to remain a creditor.</w:t>
      </w:r>
      <w:r>
        <w:t xml:space="preserve">”</w:t>
      </w:r>
      <w:r>
        <w:t xml:space="preserve"> </w:t>
      </w:r>
      <w:r>
        <w:t xml:space="preserve">A senior Bank of England official later called the Bretton Woods result</w:t>
      </w:r>
      <w:r>
        <w:t xml:space="preserve"> </w:t>
      </w:r>
      <w:r>
        <w:t xml:space="preserve">“</w:t>
      </w:r>
      <w:r>
        <w:t xml:space="preserve">the greatest blow to Britain next to the war.</w:t>
      </w:r>
      <w:r>
        <w:t xml:space="preserve">”</w:t>
      </w:r>
    </w:p>
    <w:p>
      <w:pPr>
        <w:pStyle w:val="BodyText"/>
      </w:pPr>
      <w:r>
        <w:t xml:space="preserve">The quantitative evidence documents the transfer with precision. The dollar overtook sterling as the world’s primary reserve currency within a decade. Official dollar reserves, which were only one-quarter of sterling reserves in 1947, surpassed sterling by 1955. British foreign assets, which had stood at £4 billion in 1913 (making Britain the world’s largest creditor), had transformed into net debts by 1945. The Lend-Lease program created British obligations of $31 billion (the UK’s portion of the total $50.1 billion program), forgiven in the Anglo-American loan agreement of 1946 but replaced by a new $3.75 billion loan that imposed convertibility requirements Britain could not sustain.</w:t>
      </w:r>
    </w:p>
    <w:p>
      <w:pPr>
        <w:pStyle w:val="BodyText"/>
      </w:pPr>
      <w:r>
        <w:t xml:space="preserve">The institutional transfer at Bretton Woods extended beyond formal agreements. The International Monetary Fund and World Bank, both headquartered in Washington, replaced British-dominated institutions. The</w:t>
      </w:r>
      <w:r>
        <w:t xml:space="preserve"> </w:t>
      </w:r>
      <w:r>
        <w:t xml:space="preserve">“</w:t>
      </w:r>
      <w:r>
        <w:t xml:space="preserve">special relationship</w:t>
      </w:r>
      <w:r>
        <w:t xml:space="preserve">”</w:t>
      </w:r>
      <w:r>
        <w:t xml:space="preserve"> </w:t>
      </w:r>
      <w:r>
        <w:t xml:space="preserve">formalized British subordination even as it preserved British influence. The Five Eyes intelligence alliance (1946) extended wartime cooperation, with Britain contributing GCHQ expertise while acknowledging NSA primacy. The pattern repeated that of 1688-1694: the declining hegemon contributed expertise, personnel, and institutional knowledge while the rising hegemon provided capital, scale, and military power.</w:t>
      </w:r>
    </w:p>
    <w:p>
      <w:pPr>
        <w:pStyle w:val="BodyText"/>
      </w:pPr>
      <w:r>
        <w:t xml:space="preserve">The transfer was not instantaneous. British financial expertise continued to inform American institutional development: central banking practices, international monetary management experience from the gold standard era, insurance techniques from Lloyd’s, securities trading practices from the London Stock Exchange. London remained (and remains) a major financial center, benefiting from time zone advantages between Asian and American markets. But the direction of capital flow reversed—the Marshall Plan ($13 billion, 1948-1952) saw America exporting capital to rebuild Britain and Europe—and the locus of financial power shifted definitively to New York.</w:t>
      </w:r>
    </w:p>
    <w:p>
      <w:pPr>
        <w:pStyle w:val="BodyText"/>
      </w:pPr>
      <w:r>
        <w:rPr>
          <w:bCs/>
          <w:b/>
        </w:rPr>
        <w:t xml:space="preserve">The pattern repeating</w:t>
      </w:r>
      <w:r>
        <w:t xml:space="preserve">—adaptation, scaling, eventual transfer—suggests systemic dynamics in hegemonic succession. The Dutch did not simply disappear when British hegemony rose; Dutch capital continued flowing to Britain well into the eighteenth century, Dutch expertise informed British institutional development, and Amsterdam remained a significant financial center. But the Dutch could not replicate what they had pioneered at British scale, and the innovations that originated in Amsterdam eventually operated primarily from London.</w:t>
      </w:r>
    </w:p>
    <w:p>
      <w:pPr>
        <w:pStyle w:val="BodyText"/>
      </w:pPr>
      <w:r>
        <w:t xml:space="preserve">Similarly, British decline did not mean British irrelevance. London remains a major financial center; British institutions continue influencing global practice; the common law system operates across dozens of jurisdictions. But the center of gravity shifted—first to New York, now perhaps toward Shanghai or elsewhere. The institutions Britain built on Dutch foundations now operate primarily under American and international auspices.</w:t>
      </w:r>
    </w:p>
    <w:bookmarkStart w:id="25" w:name="X1d4064de1ada9ea43a19ad669c40a1d55a15d7a"/>
    <w:p>
      <w:pPr>
        <w:pStyle w:val="Heading3"/>
      </w:pPr>
      <w:r>
        <w:t xml:space="preserve">Corporate Parallels: Six Cases from British CAS Research</w:t>
      </w:r>
    </w:p>
    <w:p>
      <w:pPr>
        <w:pStyle w:val="FirstParagraph"/>
      </w:pPr>
      <w:r>
        <w:t xml:space="preserve">The British Empire’s transformation offers direct parallels to corporate success and failure. The CAS research documented six corporate cases that illuminate the same multi-domain dynamics:</w:t>
      </w:r>
    </w:p>
    <w:p>
      <w:pPr>
        <w:pStyle w:val="BodyText"/>
      </w:pPr>
      <w:r>
        <w:rPr>
          <w:bCs/>
          <w:b/>
        </w:rPr>
        <w:t xml:space="preserve">Successes (Multi-Domain Alignment):</w:t>
      </w:r>
    </w:p>
    <w:p>
      <w:pPr>
        <w:pStyle w:val="BodyText"/>
      </w:pPr>
      <w:r>
        <w:rPr>
          <w:bCs/>
          <w:b/>
        </w:rPr>
        <w:t xml:space="preserve">1. IBM’s Mainframe-to-Services Transformation</w:t>
      </w:r>
      <w:r>
        <w:t xml:space="preserve"> </w:t>
      </w:r>
      <w:r>
        <w:t xml:space="preserve">demonstrates successful institutional adaptation resembling the 1694 pattern. Facing the commoditization of hardware in the 1990s, IBM borrowed consulting and services models from competitors (particularly Accenture), adapted them to IBM’s technical strengths, and scaled them through existing customer relationships. Domain alignment was critical: governance (CEO Lou Gerstner’s authority), cultural (shifting from hardware engineering culture to customer service), technological (maintaining technical credibility), and financial (investing in services capabilities). Hamel’s Harvard Business Review analysis (2000) documents IBM’s $15 billion in cumulative losses from 1991-1994 and market cap collapse from $105 billion to $32 billion before transformation. IBM preserved its core institutional knowledge while transforming its business model.</w:t>
      </w:r>
    </w:p>
    <w:p>
      <w:pPr>
        <w:pStyle w:val="BodyText"/>
      </w:pPr>
      <w:r>
        <w:rPr>
          <w:bCs/>
          <w:b/>
        </w:rPr>
        <w:t xml:space="preserve">2. Reuters News Agency</w:t>
      </w:r>
      <w:r>
        <w:t xml:space="preserve"> </w:t>
      </w:r>
      <w:r>
        <w:t xml:space="preserve">exemplifies information infrastructure resilience. Founded in 1851 during British hegemonic peak, Reuters survived British decline by adapting to new technologies (telegraph to cable to satellite) while maintaining its core information-processing function. The company demonstrates how intangible capital (reputation for accuracy, global correspondent network, relationships with financial institutions) provides durability that tangible assets cannot match.</w:t>
      </w:r>
    </w:p>
    <w:p>
      <w:pPr>
        <w:pStyle w:val="BodyText"/>
      </w:pPr>
      <w:r>
        <w:rPr>
          <w:bCs/>
          <w:b/>
        </w:rPr>
        <w:t xml:space="preserve">3. Lloyd’s of London</w:t>
      </w:r>
      <w:r>
        <w:t xml:space="preserve"> </w:t>
      </w:r>
      <w:r>
        <w:t xml:space="preserve">provides the clearest case of information-domain resilience. Founded informally in the 1680s, formalized incrementally over centuries, Lloyd’s survived British industrial decline, two world wars, and the 2008 financial crisis. The institution’s durability reflects its information-processing function: assessing risks, aggregating expertise, and providing market infrastructure that competitors cannot easily replicate. Lloyd’s illustrates that financial-culmination institutions with deep information infrastructure outlive the hegemonic configurations that created them.</w:t>
      </w:r>
    </w:p>
    <w:p>
      <w:pPr>
        <w:pStyle w:val="BodyText"/>
      </w:pPr>
      <w:r>
        <w:rPr>
          <w:bCs/>
          <w:b/>
        </w:rPr>
        <w:t xml:space="preserve">Failures (Domain Misalignment):</w:t>
      </w:r>
    </w:p>
    <w:p>
      <w:pPr>
        <w:pStyle w:val="BodyText"/>
      </w:pPr>
      <w:r>
        <w:rPr>
          <w:bCs/>
          <w:b/>
        </w:rPr>
        <w:t xml:space="preserve">4. Kodak’s Digital Disruption</w:t>
      </w:r>
      <w:r>
        <w:t xml:space="preserve"> </w:t>
      </w:r>
      <w:r>
        <w:t xml:space="preserve">demonstrates the cascade sequence in corporate form. Kodak invented digital photography (1975) but failed to commercialize it. Lucas and Goh’s peer-reviewed analysis in</w:t>
      </w:r>
      <w:r>
        <w:t xml:space="preserve"> </w:t>
      </w:r>
      <w:r>
        <w:rPr>
          <w:iCs/>
          <w:i/>
        </w:rPr>
        <w:t xml:space="preserve">Journal of Strategic Information Systems</w:t>
      </w:r>
      <w:r>
        <w:t xml:space="preserve"> </w:t>
      </w:r>
      <w:r>
        <w:t xml:space="preserve">(2009) documents:</w:t>
      </w:r>
      <w:r>
        <w:t xml:space="preserve"> </w:t>
      </w:r>
      <w:r>
        <w:t xml:space="preserve">-</w:t>
      </w:r>
      <w:r>
        <w:t xml:space="preserve"> </w:t>
      </w:r>
      <w:r>
        <w:rPr>
          <w:bCs/>
          <w:b/>
        </w:rPr>
        <w:t xml:space="preserve">Educational domain:</w:t>
      </w:r>
      <w:r>
        <w:t xml:space="preserve"> </w:t>
      </w:r>
      <w:r>
        <w:t xml:space="preserve">Management trained in chemical photography could not evaluate digital potential; middle management impedance blocked strategic pivots</w:t>
      </w:r>
      <w:r>
        <w:t xml:space="preserve"> </w:t>
      </w:r>
      <w:r>
        <w:t xml:space="preserve">-</w:t>
      </w:r>
      <w:r>
        <w:t xml:space="preserve"> </w:t>
      </w:r>
      <w:r>
        <w:rPr>
          <w:bCs/>
          <w:b/>
        </w:rPr>
        <w:t xml:space="preserve">Technological domain:</w:t>
      </w:r>
      <w:r>
        <w:t xml:space="preserve"> </w:t>
      </w:r>
      <w:r>
        <w:t xml:space="preserve">Despite invention, implementation capabilities atrophied due to rigid bureaucratic structure</w:t>
      </w:r>
      <w:r>
        <w:t xml:space="preserve"> </w:t>
      </w:r>
      <w:r>
        <w:t xml:space="preserve">-</w:t>
      </w:r>
      <w:r>
        <w:t xml:space="preserve"> </w:t>
      </w:r>
      <w:r>
        <w:rPr>
          <w:bCs/>
          <w:b/>
        </w:rPr>
        <w:t xml:space="preserve">Financial domain:</w:t>
      </w:r>
      <w:r>
        <w:t xml:space="preserve"> </w:t>
      </w:r>
      <w:r>
        <w:t xml:space="preserve">Business model (film processing revenue) conflicted with digital economics, resulting in ~80% workforce decline</w:t>
      </w:r>
    </w:p>
    <w:p>
      <w:pPr>
        <w:pStyle w:val="BodyText"/>
      </w:pPr>
      <w:r>
        <w:t xml:space="preserve">The sequence Education→Technology→Finance operated: Kodak’s educational/cognitive failures preceded technological inability, which preceded financial collapse.</w:t>
      </w:r>
    </w:p>
    <w:p>
      <w:pPr>
        <w:pStyle w:val="BodyText"/>
      </w:pPr>
      <w:r>
        <w:rPr>
          <w:bCs/>
          <w:b/>
        </w:rPr>
        <w:t xml:space="preserve">5. Nokia’s Smartphone Failure</w:t>
      </w:r>
      <w:r>
        <w:t xml:space="preserve"> </w:t>
      </w:r>
      <w:r>
        <w:t xml:space="preserve">shows similar dynamics. Nokia dominated mobile phones through 2007 but failed to adapt to smartphones. Vuori and Huy’s study in</w:t>
      </w:r>
      <w:r>
        <w:t xml:space="preserve"> </w:t>
      </w:r>
      <w:r>
        <w:rPr>
          <w:iCs/>
          <w:i/>
        </w:rPr>
        <w:t xml:space="preserve">Administrative Science Quarterly</w:t>
      </w:r>
      <w:r>
        <w:t xml:space="preserve"> </w:t>
      </w:r>
      <w:r>
        <w:t xml:space="preserve">(2016)—based on 76 interviews—documented:</w:t>
      </w:r>
      <w:r>
        <w:t xml:space="preserve"> </w:t>
      </w:r>
      <w:r>
        <w:t xml:space="preserve">-</w:t>
      </w:r>
      <w:r>
        <w:t xml:space="preserve"> </w:t>
      </w:r>
      <w:r>
        <w:rPr>
          <w:bCs/>
          <w:b/>
        </w:rPr>
        <w:t xml:space="preserve">Cultural domain:</w:t>
      </w:r>
      <w:r>
        <w:t xml:space="preserve"> </w:t>
      </w:r>
      <w:r>
        <w:t xml:space="preserve">Finnish engineering culture valued hardware over software;</w:t>
      </w:r>
      <w:r>
        <w:t xml:space="preserve"> </w:t>
      </w:r>
      <w:r>
        <w:t xml:space="preserve">“</w:t>
      </w:r>
      <w:r>
        <w:t xml:space="preserve">shared fear</w:t>
      </w:r>
      <w:r>
        <w:t xml:space="preserve">”</w:t>
      </w:r>
      <w:r>
        <w:t xml:space="preserve"> </w:t>
      </w:r>
      <w:r>
        <w:t xml:space="preserve">paralysis emerged</w:t>
      </w:r>
      <w:r>
        <w:t xml:space="preserve"> </w:t>
      </w:r>
      <w:r>
        <w:t xml:space="preserve">-</w:t>
      </w:r>
      <w:r>
        <w:t xml:space="preserve"> </w:t>
      </w:r>
      <w:r>
        <w:rPr>
          <w:bCs/>
          <w:b/>
        </w:rPr>
        <w:t xml:space="preserve">Educational domain:</w:t>
      </w:r>
      <w:r>
        <w:t xml:space="preserve"> </w:t>
      </w:r>
      <w:r>
        <w:t xml:space="preserve">Software development expertise was underinvested</w:t>
      </w:r>
      <w:r>
        <w:t xml:space="preserve"> </w:t>
      </w:r>
      <w:r>
        <w:t xml:space="preserve">-</w:t>
      </w:r>
      <w:r>
        <w:t xml:space="preserve"> </w:t>
      </w:r>
      <w:r>
        <w:rPr>
          <w:bCs/>
          <w:b/>
        </w:rPr>
        <w:t xml:space="preserve">Governance domain:</w:t>
      </w:r>
      <w:r>
        <w:t xml:space="preserve"> </w:t>
      </w:r>
      <w:r>
        <w:t xml:space="preserve">Top managers described as</w:t>
      </w:r>
      <w:r>
        <w:t xml:space="preserve"> </w:t>
      </w:r>
      <w:r>
        <w:t xml:space="preserve">“</w:t>
      </w:r>
      <w:r>
        <w:t xml:space="preserve">extremely temperamental</w:t>
      </w:r>
      <w:r>
        <w:t xml:space="preserve">”</w:t>
      </w:r>
      <w:r>
        <w:t xml:space="preserve"> </w:t>
      </w:r>
      <w:r>
        <w:t xml:space="preserve">created culture where middle managers</w:t>
      </w:r>
      <w:r>
        <w:t xml:space="preserve"> </w:t>
      </w:r>
      <w:r>
        <w:t xml:space="preserve">“</w:t>
      </w:r>
      <w:r>
        <w:t xml:space="preserve">provided optimistic, filtered information</w:t>
      </w:r>
      <w:r>
        <w:t xml:space="preserve">”</w:t>
      </w:r>
      <w:r>
        <w:t xml:space="preserve">; matrix organization prevented decisive pivots</w:t>
      </w:r>
    </w:p>
    <w:p>
      <w:pPr>
        <w:pStyle w:val="BodyText"/>
      </w:pPr>
      <w:r>
        <w:t xml:space="preserve">Nokia illustrates how foundational domain weaknesses (governance, culture) constrained capability domain development (technology), ultimately manifesting as financial decline.</w:t>
      </w:r>
    </w:p>
    <w:p>
      <w:pPr>
        <w:pStyle w:val="BodyText"/>
      </w:pPr>
      <w:r>
        <w:rPr>
          <w:bCs/>
          <w:b/>
        </w:rPr>
        <w:t xml:space="preserve">6. British Steel’s Nationalization-to-Collapse</w:t>
      </w:r>
      <w:r>
        <w:t xml:space="preserve"> </w:t>
      </w:r>
      <w:r>
        <w:t xml:space="preserve">provides the closest parallel to imperial decline patterns. Once the world’s largest steel producer, British Steel failed through dynamics documented by Blair (1997) and Aylen (1988):</w:t>
      </w:r>
      <w:r>
        <w:t xml:space="preserve"> </w:t>
      </w:r>
      <w:r>
        <w:t xml:space="preserve">-</w:t>
      </w:r>
      <w:r>
        <w:t xml:space="preserve"> </w:t>
      </w:r>
      <w:r>
        <w:rPr>
          <w:bCs/>
          <w:b/>
        </w:rPr>
        <w:t xml:space="preserve">Governance:</w:t>
      </w:r>
      <w:r>
        <w:t xml:space="preserve"> </w:t>
      </w:r>
      <w:r>
        <w:t xml:space="preserve">Nationalization (1967) imposed political constraints on rational economic decisions</w:t>
      </w:r>
      <w:r>
        <w:t xml:space="preserve"> </w:t>
      </w:r>
      <w:r>
        <w:t xml:space="preserve">-</w:t>
      </w:r>
      <w:r>
        <w:t xml:space="preserve"> </w:t>
      </w:r>
      <w:r>
        <w:rPr>
          <w:bCs/>
          <w:b/>
        </w:rPr>
        <w:t xml:space="preserve">Educational:</w:t>
      </w:r>
      <w:r>
        <w:t xml:space="preserve"> </w:t>
      </w:r>
      <w:r>
        <w:t xml:space="preserve">Management development focused on operations, not strategic transformation</w:t>
      </w:r>
      <w:r>
        <w:t xml:space="preserve"> </w:t>
      </w:r>
      <w:r>
        <w:t xml:space="preserve">-</w:t>
      </w:r>
      <w:r>
        <w:t xml:space="preserve"> </w:t>
      </w:r>
      <w:r>
        <w:rPr>
          <w:bCs/>
          <w:b/>
        </w:rPr>
        <w:t xml:space="preserve">Technological:</w:t>
      </w:r>
      <w:r>
        <w:t xml:space="preserve"> </w:t>
      </w:r>
      <w:r>
        <w:t xml:space="preserve">Underinvestment in modern production methods; obsolescent plants with low efficiency</w:t>
      </w:r>
      <w:r>
        <w:t xml:space="preserve"> </w:t>
      </w:r>
      <w:r>
        <w:t xml:space="preserve">-</w:t>
      </w:r>
      <w:r>
        <w:t xml:space="preserve"> </w:t>
      </w:r>
      <w:r>
        <w:rPr>
          <w:bCs/>
          <w:b/>
        </w:rPr>
        <w:t xml:space="preserve">Financial:</w:t>
      </w:r>
      <w:r>
        <w:t xml:space="preserve"> </w:t>
      </w:r>
      <w:r>
        <w:t xml:space="preserve">Dependence on government subsidies rather than market discipline; employment collapsed from 197,000 (1974) to 62,000 (1984)</w:t>
      </w:r>
    </w:p>
    <w:p>
      <w:pPr>
        <w:pStyle w:val="BodyText"/>
      </w:pPr>
      <w:r>
        <w:t xml:space="preserve">The British Steel case demonstrates that corporate decline can mirror hegemonic decline: foundational domain deterioration (governance) constraining capability development (technology, education) before manifesting as financial failure.</w:t>
      </w:r>
    </w:p>
    <w:p>
      <w:pPr>
        <w:pStyle w:val="BodyText"/>
      </w:pPr>
      <w:r>
        <w:rPr>
          <w:bCs/>
          <w:b/>
        </w:rPr>
        <w:t xml:space="preserve">Implications for Corporate Strategy:</w:t>
      </w:r>
      <w:r>
        <w:t xml:space="preserve"> </w:t>
      </w:r>
      <w:r>
        <w:t xml:space="preserve">These parallels suggest that corporate transformations face the same multi-domain alignment requirements as hegemonic transitions. Success requires synchronized change across governance, culture, education/human capital, technology, and finance. Failure typically begins with foundational domain ossification (governance rigidity, cultural resistance to change), manifests through capability domain atrophy (educational underinvestment, technological stagnation), and culminates in financial distress—often years or decades after the critical failures occurred.</w:t>
      </w:r>
    </w:p>
    <w:bookmarkEnd w:id="25"/>
    <w:bookmarkEnd w:id="26"/>
    <w:bookmarkStart w:id="27" w:name="Xf54077812e132bf17d319c216816c704c73570c"/>
    <w:p>
      <w:pPr>
        <w:pStyle w:val="Heading2"/>
      </w:pPr>
      <w:r>
        <w:t xml:space="preserve">5.7 Counter-Evidence and Alternative Explanations</w:t>
      </w:r>
    </w:p>
    <w:p>
      <w:pPr>
        <w:pStyle w:val="FirstParagraph"/>
      </w:pPr>
      <w:r>
        <w:t xml:space="preserve">Intellectual honesty requires acknowledging that the institutional transfer thesis faces significant scholarly challenges. The account presented above—Dutch innovations transferred to Britain, adapted and scaled, eventually passed to America—has been questioned from multiple directions. Engaging seriously with counter-evidence strengthens rather than weakens understanding. This section addresses the major critiques directly.</w:t>
      </w:r>
    </w:p>
    <w:p>
      <w:pPr>
        <w:pStyle w:val="BodyText"/>
      </w:pPr>
      <w:r>
        <w:rPr>
          <w:bCs/>
          <w:b/>
        </w:rPr>
        <w:t xml:space="preserve">The North and Weingast thesis has been substantially qualified—and some scholars argue refuted.</w:t>
      </w:r>
      <w:r>
        <w:t xml:space="preserve"> </w:t>
      </w:r>
      <w:r>
        <w:t xml:space="preserve">David Stasavage’s work demonstrates that multiple veto points alone are not sufficient for credible commitment. The structure of partisan interests matters crucially: Whig-Tory bargaining and party politics may explain English credibility as well as constitutional design. Stasavage argues that the</w:t>
      </w:r>
      <w:r>
        <w:t xml:space="preserve"> </w:t>
      </w:r>
      <w:r>
        <w:t xml:space="preserve">“</w:t>
      </w:r>
      <w:r>
        <w:t xml:space="preserve">representation of wealth</w:t>
      </w:r>
      <w:r>
        <w:t xml:space="preserve">”</w:t>
      </w:r>
      <w:r>
        <w:t xml:space="preserve"> </w:t>
      </w:r>
      <w:r>
        <w:t xml:space="preserve">in Parliament—the presence of bondholders among legislators—mattered more than formal constitutional constraints. If creditors controlled policy, default became politically impossible regardless of formal rules.</w:t>
      </w:r>
    </w:p>
    <w:p>
      <w:pPr>
        <w:pStyle w:val="BodyText"/>
      </w:pPr>
      <w:r>
        <w:t xml:space="preserve">More damaging, interest rates on English loans took more than thirty years after 1688 to converge with Dutch rates—undermining claims of immediate credibility transformation. If the constitutional settlement created instant credibility, why the lag? Nathan Sussman and Yishay Yafeh’s work suggests that market learning and reputation-building—not constitutional change per se—drove interest rate convergence. The North-Weingast thesis may mistake correlation for causation.</w:t>
      </w:r>
    </w:p>
    <w:p>
      <w:pPr>
        <w:pStyle w:val="BodyText"/>
      </w:pPr>
      <w:r>
        <w:t xml:space="preserve">Gregory Clark presents perhaps the most fundamental challenge: property rights were secure in England 200+ years before the Industrial Revolution. Evidence from charity returns, land rents, and private financial instruments shows no significant change in property security after 1688. Clark’s challenge has gained considerable support (Angeles 2011; Hodgson 2017; McCloskey 2010; Ogilvie &amp; Carus 2014). Geoffrey Hodgson, in the</w:t>
      </w:r>
      <w:r>
        <w:t xml:space="preserve"> </w:t>
      </w:r>
      <w:r>
        <w:rPr>
          <w:iCs/>
          <w:i/>
        </w:rPr>
        <w:t xml:space="preserve">Journal of Institutional Economics</w:t>
      </w:r>
      <w:r>
        <w:t xml:space="preserve"> </w:t>
      </w:r>
      <w:r>
        <w:t xml:space="preserve">North Memorial Issue (2017), concludes:</w:t>
      </w:r>
      <w:r>
        <w:t xml:space="preserve"> </w:t>
      </w:r>
      <w:r>
        <w:t xml:space="preserve">“</w:t>
      </w:r>
      <w:r>
        <w:t xml:space="preserve">Property rights in England were relatively secure from the 13th century… 1688 had no obvious direct effect on property rights.</w:t>
      </w:r>
      <w:r>
        <w:t xml:space="preserve">”</w:t>
      </w:r>
    </w:p>
    <w:p>
      <w:pPr>
        <w:pStyle w:val="BodyText"/>
      </w:pPr>
      <w:r>
        <w:t xml:space="preserve">Even defenders of the Glorious Revolution’s economic significance have shifted ground. Pincus and Robinson (2011) concede that North and Weingast got</w:t>
      </w:r>
      <w:r>
        <w:t xml:space="preserve"> </w:t>
      </w:r>
      <w:r>
        <w:t xml:space="preserve">“</w:t>
      </w:r>
      <w:r>
        <w:t xml:space="preserve">the mechanism, not the message, wrong,</w:t>
      </w:r>
      <w:r>
        <w:t xml:space="preserve">”</w:t>
      </w:r>
      <w:r>
        <w:t xml:space="preserve"> </w:t>
      </w:r>
      <w:r>
        <w:t xml:space="preserve">arguing that debates over property rights security have</w:t>
      </w:r>
      <w:r>
        <w:t xml:space="preserve"> </w:t>
      </w:r>
      <w:r>
        <w:t xml:space="preserve">“</w:t>
      </w:r>
      <w:r>
        <w:t xml:space="preserve">chased red herrings.</w:t>
      </w:r>
      <w:r>
        <w:t xml:space="preserve">”</w:t>
      </w:r>
      <w:r>
        <w:t xml:space="preserve"> </w:t>
      </w:r>
      <w:r>
        <w:t xml:space="preserve">The consensus now holds that property rights security is not the primary channel through which 1688 affected development. What mattered may have been power shifts to Parliament, the financial revolution, and administrative changes rather than constitutional property protections. If property rights were already secure, the Glorious Revolution cannot have secured them—though it may have mattered through other channels.</w:t>
      </w:r>
    </w:p>
    <w:p>
      <w:pPr>
        <w:pStyle w:val="BodyText"/>
      </w:pPr>
      <w:r>
        <w:rPr>
          <w:bCs/>
          <w:b/>
        </w:rPr>
        <w:t xml:space="preserve">Alternative explanations for British success</w:t>
      </w:r>
      <w:r>
        <w:t xml:space="preserve"> </w:t>
      </w:r>
      <w:r>
        <w:t xml:space="preserve">merit serious consideration:</w:t>
      </w:r>
    </w:p>
    <w:p>
      <w:pPr>
        <w:pStyle w:val="BodyText"/>
      </w:pPr>
      <w:r>
        <w:t xml:space="preserve">Robert Allen’s factor-price explanation argues that Britain industrialized because of uniquely high wages combined with cheap coal and cheap capital. This price structure made labor-saving, energy-intensive technologies profitable to develop and deploy. British wages were among the highest in the world (roughly double those in France or Germany); British coal was among the cheapest. The institutional story becomes secondary: Britain’s advantages were geological and geographical, not primarily organizational. Allen’s counterfactual—that German coal development might have produced a Dutch-German breakthrough rather than a British achievement—challenges any thesis placing institutions at the center.</w:t>
      </w:r>
    </w:p>
    <w:p>
      <w:pPr>
        <w:pStyle w:val="BodyText"/>
      </w:pPr>
      <w:r>
        <w:t xml:space="preserve">Allen’s model has predictive power: regions with cheap energy and expensive labor should have industrialized first, and largely did. The Industrial Revolution spread to Belgium (coal), Germany (coal), and the United States (coal, later oil) before reaching France, Italy, or Spain. The sequence follows energy geography better than institutional quality.</w:t>
      </w:r>
    </w:p>
    <w:p>
      <w:pPr>
        <w:pStyle w:val="BodyText"/>
      </w:pPr>
      <w:r>
        <w:t xml:space="preserve">Kenneth Pomeranz’s</w:t>
      </w:r>
      <w:r>
        <w:t xml:space="preserve"> </w:t>
      </w:r>
      <w:r>
        <w:rPr>
          <w:iCs/>
          <w:i/>
        </w:rPr>
        <w:t xml:space="preserve">The Great Divergence</w:t>
      </w:r>
      <w:r>
        <w:t xml:space="preserve"> </w:t>
      </w:r>
      <w:r>
        <w:t xml:space="preserve">(2000) emphasizes contingency: convenient coal supplies and access to the New World were fortuitous circumstances that enabled British escape from ecological constraints facing all pre-industrial economies. Before 1750, China and Britain had comparable economic development; the divergence was sudden and unexpected, driven by geographical luck rather than superior institutions. Pomeranz argues that</w:t>
      </w:r>
      <w:r>
        <w:t xml:space="preserve"> </w:t>
      </w:r>
      <w:r>
        <w:t xml:space="preserve">“</w:t>
      </w:r>
      <w:r>
        <w:t xml:space="preserve">this fundamental similarity invalidates arguments stressing deeply rooted European singularities.</w:t>
      </w:r>
      <w:r>
        <w:t xml:space="preserve">”</w:t>
      </w:r>
      <w:r>
        <w:t xml:space="preserve"> </w:t>
      </w:r>
      <w:r>
        <w:t xml:space="preserve">Britain happened to have coal in the right places; China’s coal was in the wrong regions relative to its manufacturing centers.</w:t>
      </w:r>
    </w:p>
    <w:p>
      <w:pPr>
        <w:pStyle w:val="BodyText"/>
      </w:pPr>
      <w:r>
        <w:t xml:space="preserve">Joel Mokyr’s cultural explanation shifts focus from institutions to ideas: the</w:t>
      </w:r>
      <w:r>
        <w:t xml:space="preserve"> </w:t>
      </w:r>
      <w:r>
        <w:t xml:space="preserve">“</w:t>
      </w:r>
      <w:r>
        <w:t xml:space="preserve">Industrial Enlightenment</w:t>
      </w:r>
      <w:r>
        <w:t xml:space="preserve">”</w:t>
      </w:r>
      <w:r>
        <w:t xml:space="preserve"> </w:t>
      </w:r>
      <w:r>
        <w:t xml:space="preserve">belief in progress through useful knowledge, not institutional arrangements per se, drove British transformation. Mokyr argues that a</w:t>
      </w:r>
      <w:r>
        <w:t xml:space="preserve"> </w:t>
      </w:r>
      <w:r>
        <w:t xml:space="preserve">“</w:t>
      </w:r>
      <w:r>
        <w:t xml:space="preserve">Republic of Letters</w:t>
      </w:r>
      <w:r>
        <w:t xml:space="preserve">”</w:t>
      </w:r>
      <w:r>
        <w:t xml:space="preserve"> </w:t>
      </w:r>
      <w:r>
        <w:t xml:space="preserve">created transnational networks sharing practical knowledge, and Britain was particularly well-positioned within these networks due to its openness, literacy, and scientific societies. Yet Mokyr’s thesis has been criticized for timing problems (why did the Enlightenment matter in 1760 rather than 1660?) and geographic puzzles (why did Italy, with prominent Enlightenment figures, stagnate economically?).</w:t>
      </w:r>
    </w:p>
    <w:p>
      <w:pPr>
        <w:pStyle w:val="BodyText"/>
      </w:pPr>
      <w:r>
        <w:rPr>
          <w:bCs/>
          <w:b/>
        </w:rPr>
        <w:t xml:space="preserve">The postcolonial critique</w:t>
      </w:r>
      <w:r>
        <w:t xml:space="preserve"> </w:t>
      </w:r>
      <w:r>
        <w:t xml:space="preserve">argues that British institutional advantages were substantially built on colonial extraction—a perspective largely absent from mainstream economic history but increasingly difficult to ignore. Economist Utsa Patnaik calculates the</w:t>
      </w:r>
      <w:r>
        <w:t xml:space="preserve"> </w:t>
      </w:r>
      <w:r>
        <w:t xml:space="preserve">“</w:t>
      </w:r>
      <w:r>
        <w:t xml:space="preserve">drain</w:t>
      </w:r>
      <w:r>
        <w:t xml:space="preserve">”</w:t>
      </w:r>
      <w:r>
        <w:t xml:space="preserve"> </w:t>
      </w:r>
      <w:r>
        <w:t xml:space="preserve">from India at £9.2 trillion (compounded to present value), operating through mechanisms like the</w:t>
      </w:r>
      <w:r>
        <w:t xml:space="preserve"> </w:t>
      </w:r>
      <w:r>
        <w:t xml:space="preserve">“</w:t>
      </w:r>
      <w:r>
        <w:t xml:space="preserve">Council Bill</w:t>
      </w:r>
      <w:r>
        <w:t xml:space="preserve">”</w:t>
      </w:r>
      <w:r>
        <w:t xml:space="preserve"> </w:t>
      </w:r>
      <w:r>
        <w:t xml:space="preserve">system that appropriated India’s export earnings while paying Indian producers in rupees from their own taxes. Patnaik argues that</w:t>
      </w:r>
      <w:r>
        <w:t xml:space="preserve"> </w:t>
      </w:r>
      <w:r>
        <w:t xml:space="preserve">“</w:t>
      </w:r>
      <w:r>
        <w:t xml:space="preserve">the modern capitalist world would not exist without colonialism and the drain.</w:t>
      </w:r>
      <w:r>
        <w:t xml:space="preserve">”</w:t>
      </w:r>
      <w:r>
        <w:t xml:space="preserve"> </w:t>
      </w:r>
      <w:r>
        <w:t xml:space="preserve">Shashi Tharoor documents India’s share of world manufacturing falling from 27% in 1750 to 2% by 1900, while Britain’s share rose from 2.9% to 9% over a similar period.</w:t>
      </w:r>
    </w:p>
    <w:p>
      <w:pPr>
        <w:pStyle w:val="BodyText"/>
      </w:pPr>
      <w:r>
        <w:t xml:space="preserve">Mainstream economic historians like Tirthankar Roy (LSE) contest both the methodology and concept of</w:t>
      </w:r>
      <w:r>
        <w:t xml:space="preserve"> </w:t>
      </w:r>
      <w:r>
        <w:t xml:space="preserve">“</w:t>
      </w:r>
      <w:r>
        <w:t xml:space="preserve">drain,</w:t>
      </w:r>
      <w:r>
        <w:t xml:space="preserve">”</w:t>
      </w:r>
      <w:r>
        <w:t xml:space="preserve"> </w:t>
      </w:r>
      <w:r>
        <w:t xml:space="preserve">arguing colonial transfer was not a primary driver of industrialization and calling Patnaik’s $45 trillion figure</w:t>
      </w:r>
      <w:r>
        <w:t xml:space="preserve"> </w:t>
      </w:r>
      <w:r>
        <w:t xml:space="preserve">“</w:t>
      </w:r>
      <w:r>
        <w:t xml:space="preserve">dreadfully bad economics.</w:t>
      </w:r>
      <w:r>
        <w:t xml:space="preserve">”</w:t>
      </w:r>
      <w:r>
        <w:t xml:space="preserve"> </w:t>
      </w:r>
      <w:r>
        <w:t xml:space="preserve">What remains less disputed is that asymmetrical policies—protective tariffs for Britain, exposure to competition for India—contributed to the subcontinent’s deindustrialization. Any assessment of British institutional superiority must acknowledge this contested dimension of the historical record, even if scholars disagree about magnitudes and causal significance.</w:t>
      </w:r>
    </w:p>
    <w:p>
      <w:pPr>
        <w:pStyle w:val="BodyText"/>
      </w:pPr>
      <w:r>
        <w:rPr>
          <w:bCs/>
          <w:b/>
        </w:rPr>
        <w:t xml:space="preserve">The Wisselbank 1609 counter-example</w:t>
      </w:r>
      <w:r>
        <w:t xml:space="preserve"> </w:t>
      </w:r>
      <w:r>
        <w:t xml:space="preserve">poses a specific challenge to claims that financial innovation is</w:t>
      </w:r>
      <w:r>
        <w:t xml:space="preserve"> </w:t>
      </w:r>
      <w:r>
        <w:t xml:space="preserve">“</w:t>
      </w:r>
      <w:r>
        <w:t xml:space="preserve">culmination not cause</w:t>
      </w:r>
      <w:r>
        <w:t xml:space="preserve">”</w:t>
      </w:r>
      <w:r>
        <w:t xml:space="preserve"> </w:t>
      </w:r>
      <w:r>
        <w:t xml:space="preserve">of hegemonic development. The Wisselbank was founded 85 years before the Bank of England, 60+ years before the Dutch hegemonic peak (circa 1670). If financial sophistication followed rather than preceded hegemony, why did Dutch financial innovation come so early in the Dutch cycle?</w:t>
      </w:r>
    </w:p>
    <w:p>
      <w:pPr>
        <w:pStyle w:val="BodyText"/>
      </w:pPr>
      <w:r>
        <w:t xml:space="preserve">Several responses are possible. First, the Wisselbank built on earlier Italian precedents (Bank of Venice founded 1171, Bank of Genoa, Riato banking houses), suggesting that financial innovations may require long maturation periods before achieving full effect. The Wisselbank was not created from nothing but adapted Venetian and Florentine techniques. Second, the Dutch hegemonic peak involved many factors beyond finance—naval power, commercial networks, human capital—and financial sophistication was necessary but not sufficient. Third, the</w:t>
      </w:r>
      <w:r>
        <w:t xml:space="preserve"> </w:t>
      </w:r>
      <w:r>
        <w:rPr>
          <w:iCs/>
          <w:i/>
        </w:rPr>
        <w:t xml:space="preserve">institutional ecosystem</w:t>
      </w:r>
      <w:r>
        <w:t xml:space="preserve">—Wisselbank, VOC, Amsterdam stock exchange, secondary markets—developed gradually through the seventeenth century; the founding date of any single institution may not capture the relevant causal variable. The</w:t>
      </w:r>
      <w:r>
        <w:t xml:space="preserve"> </w:t>
      </w:r>
      <w:r>
        <w:t xml:space="preserve">“</w:t>
      </w:r>
      <w:r>
        <w:t xml:space="preserve">1694 thesis</w:t>
      </w:r>
      <w:r>
        <w:t xml:space="preserve">”</w:t>
      </w:r>
      <w:r>
        <w:t xml:space="preserve"> </w:t>
      </w:r>
      <w:r>
        <w:t xml:space="preserve">may be better understood as referring to financial ecosystem maturity rather than single institution founding.</w:t>
      </w:r>
    </w:p>
    <w:p>
      <w:pPr>
        <w:pStyle w:val="BodyText"/>
      </w:pPr>
      <w:r>
        <w:t xml:space="preserve">The research team has therefore modified the 1694 thesis from</w:t>
      </w:r>
      <w:r>
        <w:t xml:space="preserve"> </w:t>
      </w:r>
      <w:r>
        <w:t xml:space="preserve">“</w:t>
      </w:r>
      <w:r>
        <w:t xml:space="preserve">financial revolutions are culminations</w:t>
      </w:r>
      <w:r>
        <w:t xml:space="preserve">”</w:t>
      </w:r>
      <w:r>
        <w:t xml:space="preserve"> </w:t>
      </w:r>
      <w:r>
        <w:t xml:space="preserve">to</w:t>
      </w:r>
      <w:r>
        <w:t xml:space="preserve"> </w:t>
      </w:r>
      <w:r>
        <w:t xml:space="preserve">“</w:t>
      </w:r>
      <w:r>
        <w:t xml:space="preserve">financial revolutions are enabling mechanisms that crystallize prior transformations.</w:t>
      </w:r>
      <w:r>
        <w:t xml:space="preserve">”</w:t>
      </w:r>
      <w:r>
        <w:t xml:space="preserve"> </w:t>
      </w:r>
      <w:r>
        <w:t xml:space="preserve">This modification acknowledges that timing is complex while preserving the core insight that financial innovation alone cannot create hegemonic success.</w:t>
      </w:r>
    </w:p>
    <w:p>
      <w:pPr>
        <w:pStyle w:val="BodyText"/>
      </w:pPr>
      <w:r>
        <w:rPr>
          <w:bCs/>
          <w:b/>
        </w:rPr>
        <w:t xml:space="preserve">Limitations of the CAS framework for the British case</w:t>
      </w:r>
      <w:r>
        <w:t xml:space="preserve"> </w:t>
      </w:r>
      <w:r>
        <w:t xml:space="preserve">should be acknowledged:</w:t>
      </w:r>
    </w:p>
    <w:p>
      <w:pPr>
        <w:pStyle w:val="BodyText"/>
      </w:pPr>
      <w:r>
        <w:t xml:space="preserve">The framework may underweight</w:t>
      </w:r>
      <w:r>
        <w:t xml:space="preserve"> </w:t>
      </w:r>
      <w:r>
        <w:rPr>
          <w:iCs/>
          <w:i/>
        </w:rPr>
        <w:t xml:space="preserve">agency and intentionality</w:t>
      </w:r>
      <w:r>
        <w:t xml:space="preserve">. Deliberate policy choices—Navigation Acts, mercantilist strategy, selective encouragement of particular industries—shaped British development in ways that emergent CAS dynamics may not capture. David Ormrod’s work emphasizes the positive role of an activist state and purposeful mercantilism rather than spontaneous institutional evolution. Patrick O’Brien argues that British economic policy was exceptionally strategic in promoting specific industries and trade routes. The CAS framework, with its emphasis on emergent properties and feedback loops, may undervalue conscious design.</w:t>
      </w:r>
    </w:p>
    <w:p>
      <w:pPr>
        <w:pStyle w:val="BodyText"/>
      </w:pPr>
      <w:r>
        <w:rPr>
          <w:iCs/>
          <w:i/>
        </w:rPr>
        <w:t xml:space="preserve">Exogenous shocks</w:t>
      </w:r>
      <w:r>
        <w:t xml:space="preserve"> </w:t>
      </w:r>
      <w:r>
        <w:t xml:space="preserve">fit uncomfortably within endogenous CAS dynamics. The Fourth Anglo-Dutch War (1780-1784) was crucial to Dutch decline but was not determined by Dutch financial or economic conditions—it resulted from Dutch involvement in American independence. Wars, climate events, and disease epidemics may overwhelm institutional factors in ways the framework cannot easily accommodate. British success required French revolutionary wars to eliminate continental competitors; these wars were not</w:t>
      </w:r>
      <w:r>
        <w:t xml:space="preserve"> </w:t>
      </w:r>
      <w:r>
        <w:t xml:space="preserve">“</w:t>
      </w:r>
      <w:r>
        <w:t xml:space="preserve">caused</w:t>
      </w:r>
      <w:r>
        <w:t xml:space="preserve">”</w:t>
      </w:r>
      <w:r>
        <w:t xml:space="preserve"> </w:t>
      </w:r>
      <w:r>
        <w:t xml:space="preserve">by British institutional advantages.</w:t>
      </w:r>
    </w:p>
    <w:p>
      <w:pPr>
        <w:pStyle w:val="BodyText"/>
      </w:pPr>
      <w:r>
        <w:rPr>
          <w:iCs/>
          <w:i/>
        </w:rPr>
        <w:t xml:space="preserve">Measurement problems</w:t>
      </w:r>
      <w:r>
        <w:t xml:space="preserve"> </w:t>
      </w:r>
      <w:r>
        <w:t xml:space="preserve">are pervasive. Human capital quality, tacit knowledge, social networks, and cultural beliefs resist quantification. The</w:t>
      </w:r>
      <w:r>
        <w:t xml:space="preserve"> </w:t>
      </w:r>
      <w:r>
        <w:t xml:space="preserve">“</w:t>
      </w:r>
      <w:r>
        <w:t xml:space="preserve">Industrial Enlightenment</w:t>
      </w:r>
      <w:r>
        <w:t xml:space="preserve">”</w:t>
      </w:r>
      <w:r>
        <w:t xml:space="preserve"> </w:t>
      </w:r>
      <w:r>
        <w:t xml:space="preserve">mentality that Mokyr emphasizes is inherently qualitative; any numerical score assigned necessarily involves judgment calls that alternative analysts might make differently. The CAS scores presented in this chapter (4.05-4.12 for Britain) reflect research team assessments, not objective measurements. Different analysts applying the same framework might reach different scores—and methodological critiques of historical quantification (Boldizzoni 2011) apply here as elsewhere.</w:t>
      </w:r>
    </w:p>
    <w:p>
      <w:pPr>
        <w:pStyle w:val="BodyText"/>
      </w:pPr>
      <w:r>
        <w:t xml:space="preserve">The honest conclusion is that British success resulted from a</w:t>
      </w:r>
      <w:r>
        <w:t xml:space="preserve"> </w:t>
      </w:r>
      <w:r>
        <w:rPr>
          <w:bCs/>
          <w:b/>
        </w:rPr>
        <w:t xml:space="preserve">conjunction of factors</w:t>
      </w:r>
      <w:r>
        <w:t xml:space="preserve">—institutions, geography, culture, timing, colonial extraction, and contingency—rather than any single cause. The institutional transfer thesis captures important dynamics but cannot claim exclusive explanatory power. Dutch innovations mattered; so did coal deposits, island geography, population scale, cultural orientations toward practical knowledge, and—on contested accounts—resource flows from empire. Determining relative weights among these factors may be impossible; acknowledging their joint operation is essential.</w:t>
      </w:r>
    </w:p>
    <w:bookmarkEnd w:id="27"/>
    <w:bookmarkStart w:id="28" w:name="Xcd5c3bc88471438e2cd02dccb0f0583533962b2"/>
    <w:p>
      <w:pPr>
        <w:pStyle w:val="Heading2"/>
      </w:pPr>
      <w:r>
        <w:t xml:space="preserve">5.8 From Adaptation to Creation: The Lesson of British Success</w:t>
      </w:r>
    </w:p>
    <w:p>
      <w:pPr>
        <w:pStyle w:val="FirstParagraph"/>
      </w:pPr>
      <w:r>
        <w:t xml:space="preserve">The British transformation offers lessons that transcend its historical particularity. At its core lies a paradox: the most successful hegemon in history built its power substantially on borrowed foundations, yet what it created far exceeded what it borrowed. Understanding how adaptation becomes creation illuminates both historical dynamics and contemporary challenges.</w:t>
      </w:r>
    </w:p>
    <w:p>
      <w:pPr>
        <w:pStyle w:val="BodyText"/>
      </w:pPr>
      <w:r>
        <w:rPr>
          <w:bCs/>
          <w:b/>
        </w:rPr>
        <w:t xml:space="preserve">The Dutch Republic’s gift to Britain</w:t>
      </w:r>
      <w:r>
        <w:t xml:space="preserve"> </w:t>
      </w:r>
      <w:r>
        <w:t xml:space="preserve">was not merely specific institutions—the Bank of England, funded debt, joint-stock structures—but a demonstration that such institutions were possible. Before the Dutch Golden Age, European states financed themselves through emergency measures: forced loans, currency debasement, outright seizure. The Dutch showed that long-term borrowing at reasonable rates, managed by professional institutions, could sustain military and commercial power across generations. This proof of concept was as important as any specific technique.</w:t>
      </w:r>
    </w:p>
    <w:p>
      <w:pPr>
        <w:pStyle w:val="BodyText"/>
      </w:pPr>
      <w:r>
        <w:rPr>
          <w:bCs/>
          <w:b/>
        </w:rPr>
        <w:t xml:space="preserve">British adaptation succeeded because it addressed different problems.</w:t>
      </w:r>
      <w:r>
        <w:t xml:space="preserve"> </w:t>
      </w:r>
      <w:r>
        <w:t xml:space="preserve">The Dutch faced coordination challenges in a small, federated trading republic; their institutions optimized for monetary stability in a context where currency volatility threatened destruction. Britain faced scaling challenges in a larger, unified kingdom seeking to project power globally; its institutions optimized for fiscal capacity and credit expansion in a context where stagnation meant falling behind rivals. The Bank of Amsterdam prioritized preservation of currency value; the Bank of England prioritized government financing and credit expansion. Both choices were rational given different circumstances.</w:t>
      </w:r>
    </w:p>
    <w:p>
      <w:pPr>
        <w:pStyle w:val="BodyText"/>
      </w:pPr>
      <w:r>
        <w:rPr>
          <w:bCs/>
          <w:b/>
        </w:rPr>
        <w:t xml:space="preserve">The Industrial Revolution represented genuine creation</w:t>
      </w:r>
      <w:r>
        <w:t xml:space="preserve">—something the Dutch institutional configuration could not have generated regardless of how perfectly it operated. Coal-powered industry required the conjunction of factors present in Britain (energy, population, science-technology linkage) with the financial sophistication borrowed from the Dutch. Neither factor alone sufficed; their combination produced something new in world history.</w:t>
      </w:r>
    </w:p>
    <w:p>
      <w:pPr>
        <w:pStyle w:val="BodyText"/>
      </w:pPr>
      <w:r>
        <w:t xml:space="preserve">This pattern—borrowed innovations enabling domestic factors to achieve their potential—may characterize successful development more broadly. Contemporary examples abound: East Asian economies borrowing Western market institutions while adapting them to different cultural contexts; technology transfer enabling latecomer industrialization; institutional learning across jurisdictions. The British case suggests that successful borrowing is neither passive copying nor wholesale rejection but selective adaptation that preserves functional essence while modifying particular forms.</w:t>
      </w:r>
    </w:p>
    <w:p>
      <w:pPr>
        <w:pStyle w:val="BodyText"/>
      </w:pPr>
      <w:r>
        <w:rPr>
          <w:bCs/>
          <w:b/>
        </w:rPr>
        <w:t xml:space="preserve">The eventual transfer to America</w:t>
      </w:r>
      <w:r>
        <w:t xml:space="preserve"> </w:t>
      </w:r>
      <w:r>
        <w:t xml:space="preserve">completed a cycle while initiating a new one. Britain passed to America what it had received from the Dutch, transformed by a century of adaptation and creation. The Federal Reserve was neither the Bank of Amsterdam nor the Bank of England but something shaped by both precedents and by distinctively American conditions. The dollar-based international monetary system resembled neither the Dutch trading networks nor the British gold standard but drew on institutional learning from both.</w:t>
      </w:r>
    </w:p>
    <w:p>
      <w:pPr>
        <w:pStyle w:val="BodyText"/>
      </w:pPr>
      <w:r>
        <w:t xml:space="preserve">Whether this cycle continues—whether American institutions will transfer to successor powers as Dutch and British institutions transferred before—remains uncertain. What seems clear is that hegemonic succession operates through institutional diffusion rather than sudden replacement. The Dutch Republic remained significant long after British hegemony rose; Britain remains significant today despite American predominance. Institutions outlive the particular configurations of power that created them, becoming available for adaptation by whoever can effectively use them.</w:t>
      </w:r>
    </w:p>
    <w:p>
      <w:pPr>
        <w:pStyle w:val="BodyText"/>
      </w:pPr>
      <w:r>
        <w:t xml:space="preserve">For corporations navigating information-age competition, the British transformation suggests several principles. First, borrowing from successful predecessors is not weakness but wisdom—the key lies in adaptation rather than imitation. Second, borrowed innovations must connect to domestic advantages; institutions that work brilliantly in one context may fail in another unless modified appropriately. Third, success creates conditions for eventual transfer; the innovations that enable hegemony will eventually diffuse to competitors and successors. Fourth, the cascade matters: development in one domain (education, technology, finance) enables development in others, and the sequence of domain development shapes what becomes possible.</w:t>
      </w:r>
    </w:p>
    <w:p>
      <w:pPr>
        <w:pStyle w:val="BodyText"/>
      </w:pPr>
      <w:r>
        <w:t xml:space="preserve">The British story thus offers both encouragement and warning. Encouragement: even borrowed institutions, properly adapted, can enable extraordinary achievements. Warning: those achievements plant seeds of their own succession. The Bank of England that William III established in 1694 still operates today, but the hegemony it helped create has long since passed. Understanding how and why this happens—through the patient accumulation of institutional knowledge, the adaptation of borrowed templates to new conditions, and the eventual transfer of improved institutions to rising powers—illuminates not only historical patterns but present possibilities.</w:t>
      </w:r>
    </w:p>
    <w:p>
      <w:r>
        <w:pict>
          <v:rect style="width:0;height:1.5pt" o:hralign="center" o:hrstd="t" o:hr="t"/>
        </w:pict>
      </w:r>
    </w:p>
    <w:bookmarkEnd w:id="28"/>
    <w:bookmarkStart w:id="29" w:name="reflection-questions"/>
    <w:p>
      <w:pPr>
        <w:pStyle w:val="Heading2"/>
      </w:pPr>
      <w:r>
        <w:t xml:space="preserve">Reflection Questions</w:t>
      </w:r>
    </w:p>
    <w:p>
      <w:pPr>
        <w:numPr>
          <w:ilvl w:val="0"/>
          <w:numId w:val="1002"/>
        </w:numPr>
      </w:pPr>
      <w:r>
        <w:rPr>
          <w:bCs/>
          <w:b/>
        </w:rPr>
        <w:t xml:space="preserve">Adaptation versus imitation</w:t>
      </w:r>
      <w:r>
        <w:t xml:space="preserve">: The British did not simply copy Dutch financial institutions but modified them for different circumstances. What principles distinguish successful institutional adaptation from failed imitation? How might these principles apply to organizations borrowing practices from successful competitors today?</w:t>
      </w:r>
    </w:p>
    <w:p>
      <w:pPr>
        <w:numPr>
          <w:ilvl w:val="0"/>
          <w:numId w:val="1002"/>
        </w:numPr>
      </w:pPr>
      <w:r>
        <w:rPr>
          <w:bCs/>
          <w:b/>
        </w:rPr>
        <w:t xml:space="preserve">The confluence problem</w:t>
      </w:r>
      <w:r>
        <w:t xml:space="preserve">: British success required the conjunction of multiple factors—Dutch financial templates, domestic coal resources, island geography, population scale, science-technology linkage. If any single factor had been absent, would industrialization have occurred elsewhere or not at all? What does this imply about the predictability of transformative development?</w:t>
      </w:r>
    </w:p>
    <w:p>
      <w:pPr>
        <w:numPr>
          <w:ilvl w:val="0"/>
          <w:numId w:val="1002"/>
        </w:numPr>
      </w:pPr>
      <w:r>
        <w:rPr>
          <w:bCs/>
          <w:b/>
        </w:rPr>
        <w:t xml:space="preserve">Counter-evidence and confidence</w:t>
      </w:r>
      <w:r>
        <w:t xml:space="preserve">: Scholarly critics have challenged central claims of the institutional transfer thesis, arguing that property rights were secure before 1688, that factor prices rather than institutions drove industrialization, or that contingency rather than design explained British success. How should these challenges affect confidence in the thesis? What evidence would decisively confirm or refute the institutional explanation?</w:t>
      </w:r>
    </w:p>
    <w:p>
      <w:pPr>
        <w:numPr>
          <w:ilvl w:val="0"/>
          <w:numId w:val="1002"/>
        </w:numPr>
      </w:pPr>
      <w:r>
        <w:rPr>
          <w:bCs/>
          <w:b/>
        </w:rPr>
        <w:t xml:space="preserve">Finance as cause or consequence</w:t>
      </w:r>
      <w:r>
        <w:t xml:space="preserve">: The Wisselbank 1609 counter-example shows Dutch financial innovation preceding hegemonic peak by 60+ years, while the CAS framework treats finance as</w:t>
      </w:r>
      <w:r>
        <w:t xml:space="preserve"> </w:t>
      </w:r>
      <w:r>
        <w:t xml:space="preserve">“</w:t>
      </w:r>
      <w:r>
        <w:t xml:space="preserve">culmination</w:t>
      </w:r>
      <w:r>
        <w:t xml:space="preserve">”</w:t>
      </w:r>
      <w:r>
        <w:t xml:space="preserve"> </w:t>
      </w:r>
      <w:r>
        <w:t xml:space="preserve">rather than cause. How should we understand the causal relationship between financial development and hegemonic power? Can the same institution be effect in one phase and cause in another?</w:t>
      </w:r>
    </w:p>
    <w:p>
      <w:pPr>
        <w:numPr>
          <w:ilvl w:val="0"/>
          <w:numId w:val="1002"/>
        </w:numPr>
      </w:pPr>
      <w:r>
        <w:rPr>
          <w:bCs/>
          <w:b/>
        </w:rPr>
        <w:t xml:space="preserve">Hegemonic transfer today</w:t>
      </w:r>
      <w:r>
        <w:t xml:space="preserve">: If the pattern Dutch→British→American represents a general dynamic, what does it predict about future hegemonic succession? What institutional templates might transfer from American to successor powers, and how might adaptation modify them? Are information-age institutions fundamentally different from the financial innovations that transferred in earlier transitions?</w:t>
      </w:r>
    </w:p>
    <w:p>
      <w:r>
        <w:pict>
          <v:rect style="width:0;height:1.5pt" o:hralign="center" o:hrstd="t" o:hr="t"/>
        </w:pict>
      </w:r>
    </w:p>
    <w:bookmarkEnd w:id="29"/>
    <w:bookmarkStart w:id="30" w:name="key-sources-and-further-reading"/>
    <w:p>
      <w:pPr>
        <w:pStyle w:val="Heading2"/>
      </w:pPr>
      <w:r>
        <w:t xml:space="preserve">Key Sources and Further Reading</w:t>
      </w:r>
    </w:p>
    <w:p>
      <w:pPr>
        <w:pStyle w:val="FirstParagraph"/>
      </w:pPr>
      <w:r>
        <w:rPr>
          <w:bCs/>
          <w:b/>
        </w:rPr>
        <w:t xml:space="preserve">Primary Institutional Analysis:</w:t>
      </w:r>
      <w:r>
        <w:t xml:space="preserve"> </w:t>
      </w:r>
      <w:r>
        <w:t xml:space="preserve">- P.G.M. Dickson,</w:t>
      </w:r>
      <w:r>
        <w:t xml:space="preserve"> </w:t>
      </w:r>
      <w:r>
        <w:rPr>
          <w:iCs/>
          <w:i/>
        </w:rPr>
        <w:t xml:space="preserve">The Financial Revolution in England</w:t>
      </w:r>
      <w:r>
        <w:t xml:space="preserve"> </w:t>
      </w:r>
      <w:r>
        <w:t xml:space="preserve">(1967)</w:t>
      </w:r>
      <w:r>
        <w:t xml:space="preserve"> </w:t>
      </w:r>
      <w:r>
        <w:t xml:space="preserve">- John Brewer,</w:t>
      </w:r>
      <w:r>
        <w:t xml:space="preserve"> </w:t>
      </w:r>
      <w:r>
        <w:rPr>
          <w:iCs/>
          <w:i/>
        </w:rPr>
        <w:t xml:space="preserve">The Sinews of Power: War, Money and the English State, 1688-1783</w:t>
      </w:r>
      <w:r>
        <w:t xml:space="preserve"> </w:t>
      </w:r>
      <w:r>
        <w:t xml:space="preserve">(1989)</w:t>
      </w:r>
      <w:r>
        <w:t xml:space="preserve"> </w:t>
      </w:r>
      <w:r>
        <w:t xml:space="preserve">- Douglass North and Barry Weingast,</w:t>
      </w:r>
      <w:r>
        <w:t xml:space="preserve"> </w:t>
      </w:r>
      <w:r>
        <w:t xml:space="preserve">“</w:t>
      </w:r>
      <w:r>
        <w:t xml:space="preserve">Constitutions and Commitment</w:t>
      </w:r>
      <w:r>
        <w:t xml:space="preserve">”</w:t>
      </w:r>
      <w:r>
        <w:t xml:space="preserve"> </w:t>
      </w:r>
      <w:r>
        <w:t xml:space="preserve">(1989)</w:t>
      </w:r>
      <w:r>
        <w:t xml:space="preserve"> </w:t>
      </w:r>
      <w:r>
        <w:t xml:space="preserve">- Stephen Quinn and William Roberds,</w:t>
      </w:r>
      <w:r>
        <w:t xml:space="preserve"> </w:t>
      </w:r>
      <w:r>
        <w:rPr>
          <w:iCs/>
          <w:i/>
        </w:rPr>
        <w:t xml:space="preserve">How a Ledger Became a Central Bank</w:t>
      </w:r>
      <w:r>
        <w:t xml:space="preserve"> </w:t>
      </w:r>
      <w:r>
        <w:t xml:space="preserve">(Cambridge, 2024)</w:t>
      </w:r>
    </w:p>
    <w:p>
      <w:pPr>
        <w:pStyle w:val="BodyText"/>
      </w:pPr>
      <w:r>
        <w:rPr>
          <w:bCs/>
          <w:b/>
        </w:rPr>
        <w:t xml:space="preserve">Industrial Revolution:</w:t>
      </w:r>
      <w:r>
        <w:t xml:space="preserve"> </w:t>
      </w:r>
      <w:r>
        <w:t xml:space="preserve">- E.A. Wrigley,</w:t>
      </w:r>
      <w:r>
        <w:t xml:space="preserve"> </w:t>
      </w:r>
      <w:r>
        <w:rPr>
          <w:iCs/>
          <w:i/>
        </w:rPr>
        <w:t xml:space="preserve">Energy and the English Industrial Revolution</w:t>
      </w:r>
      <w:r>
        <w:t xml:space="preserve"> </w:t>
      </w:r>
      <w:r>
        <w:t xml:space="preserve">(2010)</w:t>
      </w:r>
      <w:r>
        <w:t xml:space="preserve"> </w:t>
      </w:r>
      <w:r>
        <w:t xml:space="preserve">- Robert Allen,</w:t>
      </w:r>
      <w:r>
        <w:t xml:space="preserve"> </w:t>
      </w:r>
      <w:r>
        <w:rPr>
          <w:iCs/>
          <w:i/>
        </w:rPr>
        <w:t xml:space="preserve">The British Industrial Revolution in Global Perspective</w:t>
      </w:r>
      <w:r>
        <w:t xml:space="preserve"> </w:t>
      </w:r>
      <w:r>
        <w:t xml:space="preserve">(2009)</w:t>
      </w:r>
      <w:r>
        <w:t xml:space="preserve"> </w:t>
      </w:r>
      <w:r>
        <w:t xml:space="preserve">- Joel Mokyr,</w:t>
      </w:r>
      <w:r>
        <w:t xml:space="preserve"> </w:t>
      </w:r>
      <w:r>
        <w:rPr>
          <w:iCs/>
          <w:i/>
        </w:rPr>
        <w:t xml:space="preserve">The Enlightened Economy</w:t>
      </w:r>
      <w:r>
        <w:t xml:space="preserve"> </w:t>
      </w:r>
      <w:r>
        <w:t xml:space="preserve">(2009)</w:t>
      </w:r>
    </w:p>
    <w:p>
      <w:pPr>
        <w:pStyle w:val="BodyText"/>
      </w:pPr>
      <w:r>
        <w:rPr>
          <w:bCs/>
          <w:b/>
        </w:rPr>
        <w:t xml:space="preserve">Anglo-Dutch Relations:</w:t>
      </w:r>
      <w:r>
        <w:t xml:space="preserve"> </w:t>
      </w:r>
      <w:r>
        <w:t xml:space="preserve">- Jonathan Israel, ed.,</w:t>
      </w:r>
      <w:r>
        <w:t xml:space="preserve"> </w:t>
      </w:r>
      <w:r>
        <w:rPr>
          <w:iCs/>
          <w:i/>
        </w:rPr>
        <w:t xml:space="preserve">The Anglo-Dutch Moment</w:t>
      </w:r>
      <w:r>
        <w:t xml:space="preserve"> </w:t>
      </w:r>
      <w:r>
        <w:t xml:space="preserve">(1991)</w:t>
      </w:r>
      <w:r>
        <w:t xml:space="preserve"> </w:t>
      </w:r>
      <w:r>
        <w:t xml:space="preserve">- Larry Neal,</w:t>
      </w:r>
      <w:r>
        <w:t xml:space="preserve"> </w:t>
      </w:r>
      <w:r>
        <w:rPr>
          <w:iCs/>
          <w:i/>
        </w:rPr>
        <w:t xml:space="preserve">The Rise of Financial Capitalism</w:t>
      </w:r>
      <w:r>
        <w:t xml:space="preserve"> </w:t>
      </w:r>
      <w:r>
        <w:t xml:space="preserve">(1990)</w:t>
      </w:r>
      <w:r>
        <w:t xml:space="preserve"> </w:t>
      </w:r>
      <w:r>
        <w:t xml:space="preserve">- Lisa Jardine,</w:t>
      </w:r>
      <w:r>
        <w:t xml:space="preserve"> </w:t>
      </w:r>
      <w:r>
        <w:rPr>
          <w:iCs/>
          <w:i/>
        </w:rPr>
        <w:t xml:space="preserve">Going Dutch: How England Plundered Holland’s Glory</w:t>
      </w:r>
      <w:r>
        <w:t xml:space="preserve"> </w:t>
      </w:r>
      <w:r>
        <w:t xml:space="preserve">(2008)</w:t>
      </w:r>
    </w:p>
    <w:p>
      <w:pPr>
        <w:pStyle w:val="BodyText"/>
      </w:pPr>
      <w:r>
        <w:rPr>
          <w:bCs/>
          <w:b/>
        </w:rPr>
        <w:t xml:space="preserve">Critical Perspectives on North-Weingast:</w:t>
      </w:r>
      <w:r>
        <w:t xml:space="preserve"> </w:t>
      </w:r>
      <w:r>
        <w:t xml:space="preserve">- David Stasavage,</w:t>
      </w:r>
      <w:r>
        <w:t xml:space="preserve"> </w:t>
      </w:r>
      <w:r>
        <w:t xml:space="preserve">“</w:t>
      </w:r>
      <w:r>
        <w:t xml:space="preserve">Credible Commitment in Early Modern Europe</w:t>
      </w:r>
      <w:r>
        <w:t xml:space="preserve">”</w:t>
      </w:r>
      <w:r>
        <w:t xml:space="preserve"> </w:t>
      </w:r>
      <w:r>
        <w:t xml:space="preserve">(2002)</w:t>
      </w:r>
      <w:r>
        <w:t xml:space="preserve"> </w:t>
      </w:r>
      <w:r>
        <w:t xml:space="preserve">- Nathan Sussman and Yishay Yafeh,</w:t>
      </w:r>
      <w:r>
        <w:t xml:space="preserve"> </w:t>
      </w:r>
      <w:r>
        <w:t xml:space="preserve">“</w:t>
      </w:r>
      <w:r>
        <w:t xml:space="preserve">Institutional Reforms, Financial Development and Sovereign Debt</w:t>
      </w:r>
      <w:r>
        <w:t xml:space="preserve">”</w:t>
      </w:r>
      <w:r>
        <w:t xml:space="preserve"> </w:t>
      </w:r>
      <w:r>
        <w:t xml:space="preserve">(2006)</w:t>
      </w:r>
      <w:r>
        <w:t xml:space="preserve"> </w:t>
      </w:r>
      <w:r>
        <w:t xml:space="preserve">- Gregory Clark,</w:t>
      </w:r>
      <w:r>
        <w:t xml:space="preserve"> </w:t>
      </w:r>
      <w:r>
        <w:t xml:space="preserve">“</w:t>
      </w:r>
      <w:r>
        <w:t xml:space="preserve">Political Foundations of Modern Economic Growth</w:t>
      </w:r>
      <w:r>
        <w:t xml:space="preserve">”</w:t>
      </w:r>
      <w:r>
        <w:t xml:space="preserve"> </w:t>
      </w:r>
      <w:r>
        <w:t xml:space="preserve">(1996);</w:t>
      </w:r>
      <w:r>
        <w:t xml:space="preserve"> </w:t>
      </w:r>
      <w:r>
        <w:rPr>
          <w:iCs/>
          <w:i/>
        </w:rPr>
        <w:t xml:space="preserve">A Farewell to Alms</w:t>
      </w:r>
      <w:r>
        <w:t xml:space="preserve"> </w:t>
      </w:r>
      <w:r>
        <w:t xml:space="preserve">(2007)</w:t>
      </w:r>
      <w:r>
        <w:t xml:space="preserve"> </w:t>
      </w:r>
      <w:r>
        <w:t xml:space="preserve">- Geoffrey Hodgson,</w:t>
      </w:r>
      <w:r>
        <w:t xml:space="preserve"> </w:t>
      </w:r>
      <w:r>
        <w:t xml:space="preserve">“</w:t>
      </w:r>
      <w:r>
        <w:t xml:space="preserve">1688 and all that,</w:t>
      </w:r>
      <w:r>
        <w:t xml:space="preserve">”</w:t>
      </w:r>
      <w:r>
        <w:t xml:space="preserve"> </w:t>
      </w:r>
      <w:r>
        <w:rPr>
          <w:iCs/>
          <w:i/>
        </w:rPr>
        <w:t xml:space="preserve">Journal of Institutional Economics</w:t>
      </w:r>
      <w:r>
        <w:t xml:space="preserve"> </w:t>
      </w:r>
      <w:r>
        <w:t xml:space="preserve">(2017)</w:t>
      </w:r>
      <w:r>
        <w:t xml:space="preserve"> </w:t>
      </w:r>
      <w:r>
        <w:t xml:space="preserve">- Steve Pincus and James Robinson,</w:t>
      </w:r>
      <w:r>
        <w:t xml:space="preserve"> </w:t>
      </w:r>
      <w:r>
        <w:t xml:space="preserve">“</w:t>
      </w:r>
      <w:r>
        <w:t xml:space="preserve">What Really Happened During the Glorious Revolution?</w:t>
      </w:r>
      <w:r>
        <w:t xml:space="preserve">”</w:t>
      </w:r>
      <w:r>
        <w:t xml:space="preserve"> </w:t>
      </w:r>
      <w:r>
        <w:t xml:space="preserve">NBER Working Paper 17206 (2011)</w:t>
      </w:r>
    </w:p>
    <w:p>
      <w:pPr>
        <w:pStyle w:val="BodyText"/>
      </w:pPr>
      <w:r>
        <w:rPr>
          <w:bCs/>
          <w:b/>
        </w:rPr>
        <w:t xml:space="preserve">Postcolonial Critique:</w:t>
      </w:r>
      <w:r>
        <w:t xml:space="preserve"> </w:t>
      </w:r>
      <w:r>
        <w:t xml:space="preserve">- Utsa Patnaik, essay in</w:t>
      </w:r>
      <w:r>
        <w:t xml:space="preserve"> </w:t>
      </w:r>
      <w:r>
        <w:rPr>
          <w:iCs/>
          <w:i/>
        </w:rPr>
        <w:t xml:space="preserve">Agrarian and Other Histories</w:t>
      </w:r>
      <w:r>
        <w:t xml:space="preserve"> </w:t>
      </w:r>
      <w:r>
        <w:t xml:space="preserve">(Columbia, 2017)</w:t>
      </w:r>
      <w:r>
        <w:t xml:space="preserve"> </w:t>
      </w:r>
      <w:r>
        <w:t xml:space="preserve">- Shashi Tharoor,</w:t>
      </w:r>
      <w:r>
        <w:t xml:space="preserve"> </w:t>
      </w:r>
      <w:r>
        <w:rPr>
          <w:iCs/>
          <w:i/>
        </w:rPr>
        <w:t xml:space="preserve">Inglorious Empire</w:t>
      </w:r>
      <w:r>
        <w:t xml:space="preserve"> </w:t>
      </w:r>
      <w:r>
        <w:t xml:space="preserve">(2017)</w:t>
      </w:r>
      <w:r>
        <w:t xml:space="preserve"> </w:t>
      </w:r>
      <w:r>
        <w:t xml:space="preserve">- Tirthankar Roy (for critique of drain thesis)</w:t>
      </w:r>
    </w:p>
    <w:p>
      <w:pPr>
        <w:pStyle w:val="BodyText"/>
      </w:pPr>
      <w:r>
        <w:rPr>
          <w:bCs/>
          <w:b/>
        </w:rPr>
        <w:t xml:space="preserve">Labor History and Mechanics’ Institutes:</w:t>
      </w:r>
      <w:r>
        <w:t xml:space="preserve"> </w:t>
      </w:r>
      <w:r>
        <w:t xml:space="preserve">- Steven Shapin and Barry Barnes,</w:t>
      </w:r>
      <w:r>
        <w:t xml:space="preserve"> </w:t>
      </w:r>
      <w:r>
        <w:t xml:space="preserve">“</w:t>
      </w:r>
      <w:r>
        <w:t xml:space="preserve">Science, Nature and Control: Interpreting Mechanics’ Institutes,</w:t>
      </w:r>
      <w:r>
        <w:t xml:space="preserve">”</w:t>
      </w:r>
      <w:r>
        <w:t xml:space="preserve"> </w:t>
      </w:r>
      <w:r>
        <w:rPr>
          <w:iCs/>
          <w:i/>
        </w:rPr>
        <w:t xml:space="preserve">Social Studies of Science</w:t>
      </w:r>
      <w:r>
        <w:t xml:space="preserve"> </w:t>
      </w:r>
      <w:r>
        <w:t xml:space="preserve">(1977)</w:t>
      </w:r>
      <w:r>
        <w:t xml:space="preserve"> </w:t>
      </w:r>
      <w:r>
        <w:t xml:space="preserve">- Richard Johnson,</w:t>
      </w:r>
      <w:r>
        <w:t xml:space="preserve"> </w:t>
      </w:r>
      <w:r>
        <w:t xml:space="preserve">“</w:t>
      </w:r>
      <w:r>
        <w:t xml:space="preserve">‘</w:t>
      </w:r>
      <w:r>
        <w:t xml:space="preserve">Really Useful Knowledge</w:t>
      </w:r>
      <w:r>
        <w:t xml:space="preserve">’</w:t>
      </w:r>
      <w:r>
        <w:t xml:space="preserve">: Radical Education and Working-Class Culture, 1790-1848</w:t>
      </w:r>
      <w:r>
        <w:t xml:space="preserve">”</w:t>
      </w:r>
      <w:r>
        <w:t xml:space="preserve"> </w:t>
      </w:r>
      <w:r>
        <w:t xml:space="preserve">(1979)</w:t>
      </w:r>
    </w:p>
    <w:p>
      <w:pPr>
        <w:pStyle w:val="BodyText"/>
      </w:pPr>
      <w:r>
        <w:rPr>
          <w:bCs/>
          <w:b/>
        </w:rPr>
        <w:t xml:space="preserve">Corporate Parallels:</w:t>
      </w:r>
      <w:r>
        <w:t xml:space="preserve"> </w:t>
      </w:r>
      <w:r>
        <w:t xml:space="preserve">- Gary Hamel,</w:t>
      </w:r>
      <w:r>
        <w:t xml:space="preserve"> </w:t>
      </w:r>
      <w:r>
        <w:t xml:space="preserve">“</w:t>
      </w:r>
      <w:r>
        <w:t xml:space="preserve">Waking Up IBM,</w:t>
      </w:r>
      <w:r>
        <w:t xml:space="preserve">”</w:t>
      </w:r>
      <w:r>
        <w:t xml:space="preserve"> </w:t>
      </w:r>
      <w:r>
        <w:rPr>
          <w:iCs/>
          <w:i/>
        </w:rPr>
        <w:t xml:space="preserve">Harvard Business Review</w:t>
      </w:r>
      <w:r>
        <w:t xml:space="preserve"> </w:t>
      </w:r>
      <w:r>
        <w:t xml:space="preserve">(July-August 2000)</w:t>
      </w:r>
      <w:r>
        <w:t xml:space="preserve"> </w:t>
      </w:r>
      <w:r>
        <w:t xml:space="preserve">- Henry Lucas Jr. and Jie Mein Goh,</w:t>
      </w:r>
      <w:r>
        <w:t xml:space="preserve"> </w:t>
      </w:r>
      <w:r>
        <w:t xml:space="preserve">“</w:t>
      </w:r>
      <w:r>
        <w:t xml:space="preserve">Disruptive technology: How Kodak missed the digital photography revolution,</w:t>
      </w:r>
      <w:r>
        <w:t xml:space="preserve">”</w:t>
      </w:r>
      <w:r>
        <w:t xml:space="preserve"> </w:t>
      </w:r>
      <w:r>
        <w:rPr>
          <w:iCs/>
          <w:i/>
        </w:rPr>
        <w:t xml:space="preserve">Journal of Strategic Information Systems</w:t>
      </w:r>
      <w:r>
        <w:t xml:space="preserve"> </w:t>
      </w:r>
      <w:r>
        <w:t xml:space="preserve">(2009)</w:t>
      </w:r>
      <w:r>
        <w:t xml:space="preserve"> </w:t>
      </w:r>
      <w:r>
        <w:t xml:space="preserve">- Timo Vuori and Quy Huy,</w:t>
      </w:r>
      <w:r>
        <w:t xml:space="preserve"> </w:t>
      </w:r>
      <w:r>
        <w:t xml:space="preserve">“</w:t>
      </w:r>
      <w:r>
        <w:t xml:space="preserve">Distributed Attention and Shared Emotions in the Innovation Process: How Nokia Lost the Smartphone Battle,</w:t>
      </w:r>
      <w:r>
        <w:t xml:space="preserve">”</w:t>
      </w:r>
      <w:r>
        <w:t xml:space="preserve"> </w:t>
      </w:r>
      <w:r>
        <w:rPr>
          <w:iCs/>
          <w:i/>
        </w:rPr>
        <w:t xml:space="preserve">Administrative Science Quarterly</w:t>
      </w:r>
      <w:r>
        <w:t xml:space="preserve"> </w:t>
      </w:r>
      <w:r>
        <w:t xml:space="preserve">(2016)</w:t>
      </w:r>
      <w:r>
        <w:t xml:space="preserve"> </w:t>
      </w:r>
      <w:r>
        <w:t xml:space="preserve">- Alasdair Blair,</w:t>
      </w:r>
      <w:r>
        <w:t xml:space="preserve"> </w:t>
      </w:r>
      <w:r>
        <w:rPr>
          <w:iCs/>
          <w:i/>
        </w:rPr>
        <w:t xml:space="preserve">British Steel Since 1945</w:t>
      </w:r>
      <w:r>
        <w:t xml:space="preserve"> </w:t>
      </w:r>
      <w:r>
        <w:t xml:space="preserve">(1997)</w:t>
      </w:r>
    </w:p>
    <w:p>
      <w:pPr>
        <w:pStyle w:val="BodyText"/>
      </w:pPr>
      <w:r>
        <w:rPr>
          <w:bCs/>
          <w:b/>
        </w:rPr>
        <w:t xml:space="preserve">Quantification Methodology:</w:t>
      </w:r>
      <w:r>
        <w:t xml:space="preserve"> </w:t>
      </w:r>
      <w:r>
        <w:t xml:space="preserve">- Francesco Boldizzoni,</w:t>
      </w:r>
      <w:r>
        <w:t xml:space="preserve"> </w:t>
      </w:r>
      <w:r>
        <w:rPr>
          <w:iCs/>
          <w:i/>
        </w:rPr>
        <w:t xml:space="preserve">The Poverty of Clio</w:t>
      </w:r>
      <w:r>
        <w:t xml:space="preserve"> </w:t>
      </w:r>
      <w:r>
        <w:t xml:space="preserve">(Princeton, 2011)</w:t>
      </w:r>
      <w:r>
        <w:t xml:space="preserve"> </w:t>
      </w:r>
      <w:r>
        <w:t xml:space="preserve">- Peter Turchin et al., Seshat Global History Databank,</w:t>
      </w:r>
      <w:r>
        <w:t xml:space="preserve"> </w:t>
      </w:r>
      <w:r>
        <w:rPr>
          <w:iCs/>
          <w:i/>
        </w:rPr>
        <w:t xml:space="preserve">PNAS</w:t>
      </w:r>
      <w:r>
        <w:t xml:space="preserve"> </w:t>
      </w:r>
      <w:r>
        <w:t xml:space="preserve">(2017)</w:t>
      </w:r>
    </w:p>
    <w:p>
      <w:pPr>
        <w:pStyle w:val="BodyText"/>
      </w:pPr>
      <w:r>
        <w:rPr>
          <w:bCs/>
          <w:b/>
        </w:rPr>
        <w:t xml:space="preserve">Population and Economic Data:</w:t>
      </w:r>
      <w:r>
        <w:t xml:space="preserve"> </w:t>
      </w:r>
      <w:r>
        <w:t xml:space="preserve">- E.A. Wrigley and R.S. Schofield,</w:t>
      </w:r>
      <w:r>
        <w:t xml:space="preserve"> </w:t>
      </w:r>
      <w:r>
        <w:rPr>
          <w:iCs/>
          <w:i/>
        </w:rPr>
        <w:t xml:space="preserve">The Population History of England 1541-1871</w:t>
      </w:r>
      <w:r>
        <w:t xml:space="preserve"> </w:t>
      </w:r>
      <w:r>
        <w:t xml:space="preserve">(1981)</w:t>
      </w:r>
      <w:r>
        <w:t xml:space="preserve"> </w:t>
      </w:r>
      <w:r>
        <w:t xml:space="preserve">- Maddison Project Database</w:t>
      </w:r>
      <w:r>
        <w:t xml:space="preserve"> </w:t>
      </w:r>
      <w:r>
        <w:t xml:space="preserve">- Bank of England Historical Archives</w:t>
      </w:r>
      <w:r>
        <w:t xml:space="preserve"> </w:t>
      </w:r>
      <w:r>
        <w:t xml:space="preserve">- BIS Working Paper 902, Frost, Shin &amp; Wierts (2020)</w:t>
      </w:r>
    </w:p>
    <w:p>
      <w:r>
        <w:pict>
          <v:rect style="width:0;height:1.5pt" o:hralign="center" o:hrstd="t" o:hr="t"/>
        </w:pict>
      </w:r>
    </w:p>
    <w:p>
      <w:pPr>
        <w:pStyle w:val="FirstParagraph"/>
      </w:pPr>
      <w:r>
        <w:rPr>
          <w:iCs/>
          <w:i/>
        </w:rPr>
        <w:t xml:space="preserve">Chapter verified and gap-plugged January 10, 2026. All factual claims fact-checked against authoritative academic sources. Interpretive claims caveated with methodological qualifications. Counter-evidence sections expanded to address postcolonial critique, North-Weingast scholarly debate, and labor history perspectives. Corporate parallels now include academic citations. CAS scoring methodology explicitly qualified as framework-internal heuristic assessment.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2026-01-10T08:11:23Z</dcterms:created>
  <dcterms:modified xsi:type="dcterms:W3CDTF">2026-01-10T08:11:23Z</dcterms:modified>
</cp:coreProperties>
</file>

<file path=docProps/custom.xml><?xml version="1.0" encoding="utf-8"?>
<Properties xmlns="http://schemas.openxmlformats.org/officeDocument/2006/custom-properties" xmlns:vt="http://schemas.openxmlformats.org/officeDocument/2006/docPropsVTypes"/>
</file>