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7B1F1F"/>
          <w:sz w:val="40"/>
          <w:szCs w:val="40"/>
        </w:rPr>
        <w:t xml:space="preserve">LAYER B DATA HARVESTING ADDENDUM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Agent Brief Supplement  •  Keen-Minsky Critical Metrics  •  Version 1.0  •  March 2026</w:t>
      </w:r>
    </w:p>
    <w:p>
      <w:pPr>
        <w:pBdr>
          <w:left w:val="single" w:color="F57C00" w:sz="12" w:space="8"/>
        </w:pBdr>
        <w:shd w:fill="FFF3E0" w:val="clear"/>
        <w:spacing w:before="100" w:after="16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This addendum supplements the main agent brief for all empire research runs. It specifies the additional data requirements that directly feed Layer B (Keen-Minsky Debt Dynamics) of the Infonomics mathematical framework. These metrics must be treated as co-equal deliverables with the qualitative CAS analysis.</w:t>
      </w:r>
    </w:p>
    <w:p>
      <w:pPr>
        <w:pBdr>
          <w:bottom w:val="single" w:color="4A4A8A" w:sz="4" w:space="1"/>
        </w:pBdr>
        <w:spacing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Why Layer B Needs This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B of the Infonomics framework maps Hyman Minsky's financial instability hypothesis and Steve Keen's Credit Accelerator onto information capital dynamics. The structural parallel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Minsky / Keen Concept</w:t>
            </w:r>
          </w:p>
        </w:tc>
        <w:tc>
          <w:tcPr>
            <w:tcW w:type="dxa" w:w="28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Infonomics Layer B Parallel</w:t>
            </w:r>
          </w:p>
        </w:tc>
        <w:tc>
          <w:tcPr>
            <w:tcW w:type="dxa" w:w="41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Hedge financing (income covers debt service)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Well-maintained data (generates value ≥ maintenance cost)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ECO-004, ECO-005, GOV-007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Speculative financing (income covers interest only)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maintained data (value &gt; cost but declining)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ECO-006, ECO-007, ECO-009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Ponzi financing (income &lt; interest payments)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Unmaintained data still relied upon — pure liability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ECO-008, ECO-010, ECO-011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Accelerator: Δ²Debt/dt² drives asset prices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Δ²InfoDebt/dt² drives information capital valuations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ECO-003 second derivative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Minsky Moment — sudden deleveraging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collapse — institutional knowledge crisis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ECO-009, GOV-008, MIL-003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976D2" w:sz="12" w:space="8"/>
        </w:pBdr>
        <w:shd w:fill="E3F2FD" w:val="clear"/>
        <w:spacing w:before="100" w:after="16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The Keen Credit Accelerator equation is: dY/dt ∝ Δ(dD/dt) where D = debt and Y = nominal demand. In Layer B this becomes: dV_info/dt ∝ Δ(dD_data/dt) where D_data = data debt accumulation rate. This requires time-series fiscal and monetary data per empire.</w:t>
      </w:r>
    </w:p>
    <w:p>
      <w:pPr>
        <w:pBdr>
          <w:bottom w:val="single" w:color="4A4A8A" w:sz="4" w:space="1"/>
        </w:pBdr>
        <w:spacing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Priority Metric Harvest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empire × phase (Rise / Peak / Decline), harvest the following. These are ordered by Layer B criticality.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Tier 1 — Essential (must achieve HIGH or MODERATE confidence)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200"/>
        <w:gridCol w:w="2400"/>
        <w:gridCol w:w="3360"/>
      </w:tblGrid>
      <w:tr>
        <w:tc>
          <w:tcPr>
            <w:tcW w:type="dxa" w:w="8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Historical Sources</w:t>
            </w:r>
          </w:p>
        </w:tc>
        <w:tc>
          <w:tcPr>
            <w:tcW w:type="dxa" w:w="33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B Role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debt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GDP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Reinhart &amp; Rogoff (2009); fiscal chronicles; numismatic debasement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debt stock D — directly enters dD/dt equation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GDP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Maddison Project; fiscal records; Scheidel &amp; Friesen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Hedge/Speculative/Ponzi boundary — revenue vs debt service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 growth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annual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Maddison Project Database (primary)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derivative input — Δ²D/GDP for Credit Accelerator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rates (govt)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Homer &amp; Sylla 'A History of Interest Rates'; Zuijderduijn; van Zanden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 service cost — Speculative→Ponzi transition trigger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debasement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silver/gold content change per decade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Spufford 'Money and its use'; numismatic studies; mint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Minsky Phase 3 proxy — monetary stress indicator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Taxation collection efficiency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assessed tax collected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 administrative records; Bang; Hopkins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hedge financing floor — below this = speculative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Tier 2 — Important (achieve MODERATE confidence minimum)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200"/>
        <w:gridCol w:w="2400"/>
        <w:gridCol w:w="3360"/>
      </w:tblGrid>
      <w:tr>
        <w:tc>
          <w:tcPr>
            <w:tcW w:type="dxa" w:w="8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Historical Sources</w:t>
            </w:r>
          </w:p>
        </w:tc>
        <w:tc>
          <w:tcPr>
            <w:tcW w:type="dxa" w:w="33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B Role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interest rates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 Zanden; Gelderblom; Briys &amp; de Varenne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credit acceleration measurement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balance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exports % GDP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Maddison; Flynn &amp; Giráldez for silver flows; de Vries &amp; van der Woude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constraint on debt dynamics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development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scale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Temin; Rosenthal &amp; Wong; Goetzmann &amp; Rouwenhorst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creation capacity — enables Ponzi financing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market 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scale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Neal 'The Rise of Financial Capitalism'; Carlos &amp; Neal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market existence — Ponzi financing enabler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Corruption / institutional decay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scale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SESHAT; Turchin 'Secular Cycles'; Goldstone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decay rate — drives Minsky Phase transitions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Defence spending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Parker 'The Military Revolution'; Lynn; Glete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 stress amplifier — key driver of speculative financing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Tier 3 — Supporting (best effort, LOW confidence acceptable)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200"/>
        <w:gridCol w:w="5360"/>
      </w:tblGrid>
      <w:tr>
        <w:tc>
          <w:tcPr>
            <w:tcW w:type="dxa" w:w="8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53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 estimate (absolute)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1990 Int$ millions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Maddison Project — use with known limitations for pre-1500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 per capita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1990 Int$ per person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Maddison + population estimates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Record-keeping sophistication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scale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for information capital stock I — feeds Layer 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centralisation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scale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for curation rate α in Layer A equations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Bureaucratic levels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for institutional information flow β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4A4A8A" w:sz="4" w:space="1"/>
        </w:pBdr>
        <w:spacing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Phase Transition Timestamp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Layer C (partition function path integrals), the TIME at which each empire transitioned between phases is required as a continuous-time input. For each empire, record: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3760"/>
      </w:tblGrid>
      <w:tr>
        <w:tc>
          <w:tcPr>
            <w:tcW w:type="dxa" w:w="16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6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 Required</w:t>
            </w:r>
          </w:p>
        </w:tc>
        <w:tc>
          <w:tcPr>
            <w:tcW w:type="dxa" w:w="37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(Ottoman)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t_rise_start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clear institutional consolidation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 10 years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~1300 CE (Osman I consolidation)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t_peak_entry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territorial / institutional power reached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 10 years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~1520 CE (Suleiman accession)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t_peak_exit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major irreversible institutional decline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 15 years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~1600 CE (first significant military reversal pattern)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t_decline_end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collapse or terminal fragmentation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 20 years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1922 CE (formal dissolution)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976D2" w:sz="12" w:space="8"/>
        </w:pBdr>
        <w:shd w:fill="E3F2FD" w:val="clear"/>
        <w:spacing w:before="100" w:after="16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These timestamps are the time axis of the path integral in Layer C. Without them, the partition function Z cannot be evaluated. They are therefore critical inputs for both Layer B (Minsky phase timing) AND Layer C (valuation trajectory).</w:t>
      </w:r>
    </w:p>
    <w:p>
      <w:pPr>
        <w:pBdr>
          <w:bottom w:val="single" w:color="4A4A8A" w:sz="4" w:space="1"/>
        </w:pBdr>
        <w:spacing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Cross-Domain Correlation Requirements (Layer D Prep)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empire, identify the sequence in which domains degraded during decline. This feeds the Layer D network adjacency matrix.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Record</w:t>
            </w:r>
          </w:p>
        </w:tc>
        <w:tc>
          <w:tcPr>
            <w:tcW w:type="dxa" w:w="27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domain showed first signs of stress?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name + approximate year + ECO/GOV metric that triggered 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+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was the cascade sequence?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A declined → triggered Domain B within X years → triggered Domain 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list with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Were there any counter-cascade recovery attempts?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institutional reforms that temporarily arrested decline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narrative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was the final failure domain?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last domain to collapse before terminal decline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name + year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4A4A8A" w:sz="4" w:space="1"/>
        </w:pBdr>
        <w:spacing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Agent Instructions for Data Harvest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 Engineer agent (DE-001) should run the following protocol for every empire: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Execute 20–30 targeted searches specifically for fiscal and monetary data (beyond the general 50–70 search protocol)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Tier 1 metric: identify the primary scholarly source, extract the value or estimate range, assign confidence level, and record methodology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metric cannot be found at MODERATE confidence: record as LOW with explanation — do not fabricate or interpolate without flagging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a CSV following the standard schema: metric_id, entity, phase, year, value, unit, confidence, source_primary, source_secondary,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 Data Quality Score calculator: completeness (25%) + source quality (25%) + confidence (20%) + verification (15%) + documentation (15%)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DQS &lt; 60: flag to Research Director for additional targeted searches before advancing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Tier 2 and Tier 3 metrics as best-effort secondary pass — do not sacrifice Tier 1 completeness for Tier 2 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Handling Pre-Modern Data Uncertainty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Track 1 empires (Mongol, Tang, Byzantine, Ottoman, Spanish Habsburg), many metrics will be estimates or ordinal scales rather than hard quantitative values. This is expected and acceptable provided: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estimation methodology is explicitly documented in the notes field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confidence level accurately reflects uncertainty (LOW is better than fabricated HIGH)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scholarly estimates are recorded where they exist (shows the range of scholarly opinion)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Ordinal scale assignments (1–5) reference the scale definition in the main data harvesting spec</w:t>
      </w:r>
    </w:p>
    <w:p>
      <w:pPr>
        <w:pBdr>
          <w:left w:val="single" w:color="F57C00" w:sz="12" w:space="8"/>
        </w:pBdr>
        <w:shd w:fill="FFF3E0" w:val="clear"/>
        <w:spacing w:before="100" w:after="16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Important: ordinal scales plugged into continuous differential equations require a formal ordinal-to-continuous mapping. This is a known methodological challenge. Flag all ordinal-scale inputs with a note: 'Ordinal scale — requires mapping function before use in Layer B/C equations.'</w:t>
      </w:r>
    </w:p>
    <w:p>
      <w:pPr>
        <w:pBdr>
          <w:bottom w:val="single" w:color="4A4A8A" w:sz="4" w:space="1"/>
        </w:pBdr>
        <w:spacing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Pilot Run Checklist — Ottoman Empire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Ottoman Empire is the recommended pilot. Use this checklist to validate the pipeline before scaling.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9 domain qualitative analyses complete across Rise / Peak / Decline?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12 Tier 1 metrics attempted — at least 8 with MODERATE or HIGH confidence?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6 Tier 2 metrics attempted — at least 4 with MODERATE confidence?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transition timestamps (t_rise_start, t_peak_entry, t_peak_exit, t_decline_end) recorded?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cascade sequence documented for decline phase?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Quality Score calculated and ≥60?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Hostile Reviewer has challenged at least 3 major quantitative claims?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Citation Verifier has confirmed Inalcik, Shaw, and Murphey citations are accurate?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CSV generated and structured correctly?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43A047" w:sz="12" w:space="8"/>
        </w:pBdr>
        <w:shd w:fill="E8F5E9" w:val="clear"/>
        <w:spacing w:before="100" w:after="16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If DQS ≥ 80 on the Ottoman pilot: proceed to scale across all Track 1 and Track 2 empires. If DQS 60–79: diagnose the gap, adjust agent briefs, re-run one section before scaling. If DQS &lt; 60: do not scale — escalate to human review.</w:t>
      </w:r>
    </w:p>
    <w:p>
      <w:pPr>
        <w:pBdr>
          <w:bottom w:val="single" w:color="4A4A8A" w:sz="4" w:space="1"/>
        </w:pBdr>
        <w:spacing w:after="180"/>
      </w:pPr>
    </w:p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Version: 1.0  •  Created: March 2026  •  This addendum must be provided to Claude Code alongside CLAUDE.md for all empire CAS rerun sessions.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7B1F1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9B3F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2026-03-14T14:07:54.571Z</dcterms:created>
  <dcterms:modified xsi:type="dcterms:W3CDTF">2026-03-14T14:07:54.571Z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