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1df15c4dcb3a32d079fb98dedac600aa062ed8"/>
    <w:p>
      <w:pPr>
        <w:pStyle w:val="Heading1"/>
      </w:pPr>
      <w:r>
        <w:t xml:space="preserve">AMERICAN HEGEMONY SESSION 4: THE CONTEMPORARY PERIOD (2008-PRESENT)</w:t>
      </w:r>
    </w:p>
    <w:bookmarkStart w:id="21" w:name="X87adb906146a9783640652a80f9cfa5ad987883"/>
    <w:p>
      <w:pPr>
        <w:pStyle w:val="Heading2"/>
      </w:pPr>
      <w:r>
        <w:t xml:space="preserve">A Complex Adaptive Systems Analysis of Crisis, Adaptation, and Contested Decline</w:t>
      </w:r>
    </w:p>
    <w:bookmarkStart w:id="20" w:name="infonomics-project-research-document"/>
    <w:p>
      <w:pPr>
        <w:pStyle w:val="Heading3"/>
      </w:pPr>
      <w:r>
        <w:t xml:space="preserve">Infonomics Project Research Document</w:t>
      </w:r>
    </w:p>
    <w:p>
      <w:pPr>
        <w:pStyle w:val="FirstParagraph"/>
      </w:pPr>
      <w:r>
        <w:rPr>
          <w:bCs/>
          <w:b/>
        </w:rPr>
        <w:t xml:space="preserve">Version:</w:t>
      </w:r>
      <w:r>
        <w:t xml:space="preserve"> </w:t>
      </w:r>
      <w:r>
        <w:t xml:space="preserve">2.1 FINAL CLEAN</w:t>
      </w:r>
      <w:r>
        <w:br/>
      </w:r>
      <w:r>
        <w:rPr>
          <w:bCs/>
          <w:b/>
        </w:rPr>
        <w:t xml:space="preserve">Date:</w:t>
      </w:r>
      <w:r>
        <w:t xml:space="preserve"> </w:t>
      </w:r>
      <w:r>
        <w:t xml:space="preserve">January 17, 2026</w:t>
      </w:r>
      <w:r>
        <w:br/>
      </w:r>
      <w:r>
        <w:rPr>
          <w:bCs/>
          <w:b/>
        </w:rPr>
        <w:t xml:space="preserve">Classification:</w:t>
      </w:r>
      <w:r>
        <w:t xml:space="preserve"> </w:t>
      </w:r>
      <w:r>
        <w:t xml:space="preserve">Track 2 Maritime Hegemonic Empires</w:t>
      </w:r>
      <w:r>
        <w:br/>
      </w:r>
      <w:r>
        <w:rPr>
          <w:bCs/>
          <w:b/>
        </w:rPr>
        <w:t xml:space="preserve">Research Standard:</w:t>
      </w:r>
      <w:r>
        <w:t xml:space="preserve"> </w:t>
      </w:r>
      <w:r>
        <w:t xml:space="preserve">PhD-Level with Full Source Documentation</w:t>
      </w:r>
      <w:r>
        <w:br/>
      </w:r>
      <w:r>
        <w:rPr>
          <w:bCs/>
          <w:b/>
        </w:rPr>
        <w:t xml:space="preserve">Word Count:</w:t>
      </w:r>
      <w:r>
        <w:t xml:space="preserve"> </w:t>
      </w:r>
      <w:r>
        <w:t xml:space="preserve">30,000+ words</w:t>
      </w:r>
    </w:p>
    <w:p>
      <w:r>
        <w:pict>
          <v:rect style="width:0;height:1.5pt" o:hralign="center" o:hrstd="t" o:hr="t"/>
        </w:pict>
      </w:r>
    </w:p>
    <w:bookmarkEnd w:id="20"/>
    <w:bookmarkEnd w:id="21"/>
    <w:bookmarkEnd w:id="22"/>
    <w:bookmarkStart w:id="33" w:name="executive-summary"/>
    <w:p>
      <w:pPr>
        <w:pStyle w:val="Heading1"/>
      </w:pPr>
      <w:r>
        <w:t xml:space="preserve">EXECUTIVE SUMMARY</w:t>
      </w:r>
    </w:p>
    <w:bookmarkStart w:id="23" w:name="document-purpose-and-scope"/>
    <w:p>
      <w:pPr>
        <w:pStyle w:val="Heading2"/>
      </w:pPr>
      <w:r>
        <w:t xml:space="preserve">Document Purpose and Scope</w:t>
      </w:r>
    </w:p>
    <w:p>
      <w:pPr>
        <w:pStyle w:val="FirstParagraph"/>
      </w:pPr>
      <w:r>
        <w:t xml:space="preserve">This document completes Session 4 of the American Hegemony analysis</w:t>
      </w:r>
      <w:r>
        <w:t xml:space="preserve"> </w:t>
      </w:r>
      <w:r>
        <w:t xml:space="preserve">within the Infonomics Project’s Complex Adaptive Systems (CAS)</w:t>
      </w:r>
      <w:r>
        <w:t xml:space="preserve"> </w:t>
      </w:r>
      <w:r>
        <w:t xml:space="preserve">framework. Where Sessions 1-3 traced American hegemonic development from</w:t>
      </w:r>
      <w:r>
        <w:t xml:space="preserve"> </w:t>
      </w:r>
      <w:r>
        <w:t xml:space="preserve">the Civil War through the 2008 Global Financial Crisis—encompassing</w:t>
      </w:r>
      <w:r>
        <w:t xml:space="preserve"> </w:t>
      </w:r>
      <w:r>
        <w:t xml:space="preserve">the Institutional Foundation period (1865-1913), the Hegemonic Ascent</w:t>
      </w:r>
      <w:r>
        <w:t xml:space="preserve"> </w:t>
      </w:r>
      <w:r>
        <w:t xml:space="preserve">(1914-1945), and the Peak Hegemony era (1945-2008)—Session 4 confronts</w:t>
      </w:r>
      <w:r>
        <w:t xml:space="preserve"> </w:t>
      </w:r>
      <w:r>
        <w:t xml:space="preserve">the most analytically challenging period: the contemporary moment from</w:t>
      </w:r>
      <w:r>
        <w:t xml:space="preserve"> </w:t>
      </w:r>
      <w:r>
        <w:t xml:space="preserve">2008 to the present.</w:t>
      </w:r>
    </w:p>
    <w:p>
      <w:pPr>
        <w:pStyle w:val="BodyText"/>
      </w:pPr>
      <w:r>
        <w:t xml:space="preserve">The analytical challenge is distinctive. Unlike the Ottoman</w:t>
      </w:r>
      <w:r>
        <w:t xml:space="preserve"> </w:t>
      </w:r>
      <w:r>
        <w:t xml:space="preserve">capitulations or the Wisselbank collapse, where we benefit from temporal</w:t>
      </w:r>
      <w:r>
        <w:t xml:space="preserve"> </w:t>
      </w:r>
      <w:r>
        <w:t xml:space="preserve">distance and archival depth, the contemporary American system presents a</w:t>
      </w:r>
      <w:r>
        <w:t xml:space="preserve"> </w:t>
      </w:r>
      <w:r>
        <w:t xml:space="preserve">moving target. Events from the past 18 months—Federal Reserve rate</w:t>
      </w:r>
      <w:r>
        <w:t xml:space="preserve"> </w:t>
      </w:r>
      <w:r>
        <w:t xml:space="preserve">decisions, semiconductor export controls, BRICS expansion, the 2024</w:t>
      </w:r>
      <w:r>
        <w:t xml:space="preserve"> </w:t>
      </w:r>
      <w:r>
        <w:t xml:space="preserve">election, and the emerging tariff regime of 2025—continue to reshape</w:t>
      </w:r>
      <w:r>
        <w:t xml:space="preserve"> </w:t>
      </w:r>
      <w:r>
        <w:t xml:space="preserve">the institutional landscape. This document therefore adopts a</w:t>
      </w:r>
      <w:r>
        <w:t xml:space="preserve"> </w:t>
      </w:r>
      <w:r>
        <w:t xml:space="preserve">provisional posture: its conclusions carry confidence weightings that</w:t>
      </w:r>
      <w:r>
        <w:t xml:space="preserve"> </w:t>
      </w:r>
      <w:r>
        <w:t xml:space="preserve">reflect both evidentiary strength and temporal proximity to unfolding</w:t>
      </w:r>
      <w:r>
        <w:t xml:space="preserve"> </w:t>
      </w:r>
      <w:r>
        <w:t xml:space="preserve">events.</w:t>
      </w:r>
    </w:p>
    <w:bookmarkEnd w:id="23"/>
    <w:bookmarkStart w:id="24" w:name="X1b7afdf536055a96370c4c1b9b2ea6c175cd88a"/>
    <w:p>
      <w:pPr>
        <w:pStyle w:val="Heading2"/>
      </w:pPr>
      <w:r>
        <w:t xml:space="preserve">Central Thesis: Signal Crisis, Not Terminal Decline</w:t>
      </w:r>
    </w:p>
    <w:p>
      <w:pPr>
        <w:pStyle w:val="FirstParagraph"/>
      </w:pPr>
      <w:r>
        <w:t xml:space="preserve">The 2008 Global Financial Crisis represented what Giovanni Arrighi</w:t>
      </w:r>
      <w:r>
        <w:t xml:space="preserve"> </w:t>
      </w:r>
      <w:r>
        <w:t xml:space="preserve">termed a</w:t>
      </w:r>
      <w:r>
        <w:t xml:space="preserve"> </w:t>
      </w:r>
      <w:r>
        <w:t xml:space="preserve">“</w:t>
      </w:r>
      <w:r>
        <w:t xml:space="preserve">signal crisis</w:t>
      </w:r>
      <w:r>
        <w:t xml:space="preserve">”</w:t>
      </w:r>
      <w:r>
        <w:t xml:space="preserve">—an event revealing systemic contradictions</w:t>
      </w:r>
      <w:r>
        <w:t xml:space="preserve"> </w:t>
      </w:r>
      <w:r>
        <w:t xml:space="preserve">without necessarily triggering terminal decline. The evidence across all</w:t>
      </w:r>
      <w:r>
        <w:t xml:space="preserve"> </w:t>
      </w:r>
      <w:r>
        <w:t xml:space="preserve">nine CAS domains supports the following assessment:</w:t>
      </w:r>
    </w:p>
    <w:p>
      <w:pPr>
        <w:pStyle w:val="BodyText"/>
      </w:pPr>
      <w:r>
        <w:rPr>
          <w:bCs/>
          <w:b/>
        </w:rPr>
        <w:t xml:space="preserve">American hegemony in the contemporary period (2008-present) exhibits</w:t>
      </w:r>
      <w:r>
        <w:rPr>
          <w:bCs/>
          <w:b/>
        </w:rPr>
        <w:t xml:space="preserve"> </w:t>
      </w:r>
      <w:r>
        <w:rPr>
          <w:bCs/>
          <w:b/>
        </w:rPr>
        <w:t xml:space="preserve">selective domain weakening characteristic of a signal crisis rather than</w:t>
      </w:r>
      <w:r>
        <w:rPr>
          <w:bCs/>
          <w:b/>
        </w:rPr>
        <w:t xml:space="preserve"> </w:t>
      </w:r>
      <w:r>
        <w:rPr>
          <w:bCs/>
          <w:b/>
        </w:rPr>
        <w:t xml:space="preserve">the comprehensive institutional failure observed in terminal hegemonic</w:t>
      </w:r>
      <w:r>
        <w:rPr>
          <w:bCs/>
          <w:b/>
        </w:rPr>
        <w:t xml:space="preserve"> </w:t>
      </w:r>
      <w:r>
        <w:rPr>
          <w:bCs/>
          <w:b/>
        </w:rPr>
        <w:t xml:space="preserve">decline. The financial and governance domains show measurable erosion,</w:t>
      </w:r>
      <w:r>
        <w:rPr>
          <w:bCs/>
          <w:b/>
        </w:rPr>
        <w:t xml:space="preserve"> </w:t>
      </w:r>
      <w:r>
        <w:rPr>
          <w:bCs/>
          <w:b/>
        </w:rPr>
        <w:t xml:space="preserve">while military, technological, and soft power dimensions demonstrate</w:t>
      </w:r>
      <w:r>
        <w:rPr>
          <w:bCs/>
          <w:b/>
        </w:rPr>
        <w:t xml:space="preserve"> </w:t>
      </w:r>
      <w:r>
        <w:rPr>
          <w:bCs/>
          <w:b/>
        </w:rPr>
        <w:t xml:space="preserve">resilience and even renewal. The absence of a credible hegemonic</w:t>
      </w:r>
      <w:r>
        <w:rPr>
          <w:bCs/>
          <w:b/>
        </w:rPr>
        <w:t xml:space="preserve"> </w:t>
      </w:r>
      <w:r>
        <w:rPr>
          <w:bCs/>
          <w:b/>
        </w:rPr>
        <w:t xml:space="preserve">successor—particularly given China’s internal constraints—extends</w:t>
      </w:r>
      <w:r>
        <w:rPr>
          <w:bCs/>
          <w:b/>
        </w:rPr>
        <w:t xml:space="preserve"> </w:t>
      </w:r>
      <w:r>
        <w:rPr>
          <w:bCs/>
          <w:b/>
        </w:rPr>
        <w:t xml:space="preserve">the American unipolar moment beyond what structural theories</w:t>
      </w:r>
      <w:r>
        <w:rPr>
          <w:bCs/>
          <w:b/>
        </w:rPr>
        <w:t xml:space="preserve"> </w:t>
      </w:r>
      <w:r>
        <w:rPr>
          <w:bCs/>
          <w:b/>
        </w:rPr>
        <w:t xml:space="preserve">predicted.</w:t>
      </w:r>
    </w:p>
    <w:p>
      <w:pPr>
        <w:pStyle w:val="BodyText"/>
      </w:pPr>
      <w:r>
        <w:t xml:space="preserve">This thesis carries a</w:t>
      </w:r>
      <w:r>
        <w:t xml:space="preserve"> </w:t>
      </w:r>
      <w:r>
        <w:rPr>
          <w:bCs/>
          <w:b/>
        </w:rPr>
        <w:t xml:space="preserve">HIGH confidence rating</w:t>
      </w:r>
      <w:r>
        <w:t xml:space="preserve"> </w:t>
      </w:r>
      <w:r>
        <w:t xml:space="preserve">for the 2008-2022</w:t>
      </w:r>
      <w:r>
        <w:t xml:space="preserve"> </w:t>
      </w:r>
      <w:r>
        <w:t xml:space="preserve">period and a</w:t>
      </w:r>
      <w:r>
        <w:t xml:space="preserve"> </w:t>
      </w:r>
      <w:r>
        <w:rPr>
          <w:bCs/>
          <w:b/>
        </w:rPr>
        <w:t xml:space="preserve">MODERATE confidence rating</w:t>
      </w:r>
      <w:r>
        <w:t xml:space="preserve"> </w:t>
      </w:r>
      <w:r>
        <w:t xml:space="preserve">for 2022-present, reflecting</w:t>
      </w:r>
      <w:r>
        <w:t xml:space="preserve"> </w:t>
      </w:r>
      <w:r>
        <w:t xml:space="preserve">the accelerating pace of institutional change and the genuinely</w:t>
      </w:r>
      <w:r>
        <w:t xml:space="preserve"> </w:t>
      </w:r>
      <w:r>
        <w:t xml:space="preserve">contested nature of contemporary developments.</w:t>
      </w:r>
    </w:p>
    <w:bookmarkEnd w:id="24"/>
    <w:bookmarkStart w:id="25" w:name="Xeebbac8c3d70261c366a117bf5a3ebf925e2124"/>
    <w:p>
      <w:pPr>
        <w:pStyle w:val="Heading2"/>
      </w:pPr>
      <w:r>
        <w:t xml:space="preserve">Overall CAS Domain Scores: Contemporary Period (2008-Present)</w:t>
      </w:r>
    </w:p>
    <w:tbl>
      <w:tblPr>
        <w:tblStyle w:val="Table"/>
        <w:tblW w:type="pct" w:w="4894"/>
        <w:tblLook w:firstRow="1" w:lastRow="0" w:firstColumn="0" w:lastColumn="0" w:noHBand="0" w:noVBand="0" w:val="0020"/>
        <w:jc w:val="start"/>
      </w:tblPr>
      <w:tblGrid>
        <w:gridCol w:w="2274"/>
        <w:gridCol w:w="1432"/>
        <w:gridCol w:w="1432"/>
        <w:gridCol w:w="926"/>
        <w:gridCol w:w="1685"/>
      </w:tblGrid>
      <w:tr>
        <w:trPr>
          <w:tblHeader w:val="true"/>
        </w:trPr>
        <w:tc>
          <w:tcPr/>
          <w:p>
            <w:pPr>
              <w:pStyle w:val="Compact"/>
              <w:jc w:val="left"/>
            </w:pPr>
            <w:r>
              <w:t xml:space="preserve">Domain</w:t>
            </w:r>
          </w:p>
        </w:tc>
        <w:tc>
          <w:tcPr/>
          <w:p>
            <w:pPr>
              <w:pStyle w:val="Compact"/>
              <w:jc w:val="left"/>
            </w:pPr>
            <w:r>
              <w:t xml:space="preserve">2008 Score</w:t>
            </w:r>
          </w:p>
        </w:tc>
        <w:tc>
          <w:tcPr/>
          <w:p>
            <w:pPr>
              <w:pStyle w:val="Compact"/>
              <w:jc w:val="left"/>
            </w:pPr>
            <w:r>
              <w:t xml:space="preserve">2025 Score</w:t>
            </w:r>
          </w:p>
        </w:tc>
        <w:tc>
          <w:tcPr/>
          <w:p>
            <w:pPr>
              <w:pStyle w:val="Compact"/>
              <w:jc w:val="left"/>
            </w:pPr>
            <w:r>
              <w:t xml:space="preserve">Change</w:t>
            </w:r>
          </w:p>
        </w:tc>
        <w:tc>
          <w:tcPr/>
          <w:p>
            <w:pPr>
              <w:pStyle w:val="Compact"/>
              <w:jc w:val="left"/>
            </w:pPr>
            <w:r>
              <w:t xml:space="preserve">Confidence</w:t>
            </w:r>
          </w:p>
        </w:tc>
      </w:tr>
      <w:tr>
        <w:tc>
          <w:tcPr/>
          <w:p>
            <w:pPr>
              <w:pStyle w:val="Compact"/>
              <w:jc w:val="left"/>
            </w:pPr>
            <w:r>
              <w:t xml:space="preserve">1. Governance/Political</w:t>
            </w:r>
          </w:p>
        </w:tc>
        <w:tc>
          <w:tcPr/>
          <w:p>
            <w:pPr>
              <w:pStyle w:val="Compact"/>
              <w:jc w:val="left"/>
            </w:pPr>
            <w:r>
              <w:t xml:space="preserve">6.0</w:t>
            </w:r>
          </w:p>
        </w:tc>
        <w:tc>
          <w:tcPr/>
          <w:p>
            <w:pPr>
              <w:pStyle w:val="Compact"/>
              <w:jc w:val="left"/>
            </w:pPr>
            <w:r>
              <w:t xml:space="preserve">5.0</w:t>
            </w:r>
          </w:p>
        </w:tc>
        <w:tc>
          <w:tcPr/>
          <w:p>
            <w:pPr>
              <w:pStyle w:val="Compact"/>
              <w:jc w:val="left"/>
            </w:pPr>
            <w:r>
              <w:t xml:space="preserve">-1.0</w:t>
            </w:r>
            <w:r>
              <w:t xml:space="preserve"> </w:t>
            </w:r>
            <w:r>
              <w:t xml:space="preserve">(-17%)</w:t>
            </w:r>
          </w:p>
        </w:tc>
        <w:tc>
          <w:tcPr/>
          <w:p>
            <w:pPr>
              <w:pStyle w:val="Compact"/>
              <w:jc w:val="left"/>
            </w:pPr>
            <w:r>
              <w:t xml:space="preserve">HIGH</w:t>
            </w:r>
          </w:p>
        </w:tc>
      </w:tr>
      <w:tr>
        <w:tc>
          <w:tcPr/>
          <w:p>
            <w:pPr>
              <w:pStyle w:val="Compact"/>
              <w:jc w:val="left"/>
            </w:pPr>
            <w:r>
              <w:t xml:space="preserve">2. Legal/Institutional</w:t>
            </w:r>
          </w:p>
        </w:tc>
        <w:tc>
          <w:tcPr/>
          <w:p>
            <w:pPr>
              <w:pStyle w:val="Compact"/>
              <w:jc w:val="left"/>
            </w:pPr>
            <w:r>
              <w:t xml:space="preserve">6.0</w:t>
            </w:r>
          </w:p>
        </w:tc>
        <w:tc>
          <w:tcPr/>
          <w:p>
            <w:pPr>
              <w:pStyle w:val="Compact"/>
              <w:jc w:val="left"/>
            </w:pPr>
            <w:r>
              <w:t xml:space="preserve">5.5</w:t>
            </w:r>
          </w:p>
        </w:tc>
        <w:tc>
          <w:tcPr/>
          <w:p>
            <w:pPr>
              <w:pStyle w:val="Compact"/>
              <w:jc w:val="left"/>
            </w:pPr>
            <w:r>
              <w:t xml:space="preserve">-0.5 (-8%)</w:t>
            </w:r>
          </w:p>
        </w:tc>
        <w:tc>
          <w:tcPr/>
          <w:p>
            <w:pPr>
              <w:pStyle w:val="Compact"/>
              <w:jc w:val="left"/>
            </w:pPr>
            <w:r>
              <w:t xml:space="preserve">HIGH</w:t>
            </w:r>
          </w:p>
        </w:tc>
      </w:tr>
      <w:tr>
        <w:tc>
          <w:tcPr/>
          <w:p>
            <w:pPr>
              <w:pStyle w:val="Compact"/>
              <w:jc w:val="left"/>
            </w:pPr>
            <w:r>
              <w:t xml:space="preserve">3. Military/Defense</w:t>
            </w:r>
          </w:p>
        </w:tc>
        <w:tc>
          <w:tcPr/>
          <w:p>
            <w:pPr>
              <w:pStyle w:val="Compact"/>
              <w:jc w:val="left"/>
            </w:pPr>
            <w:r>
              <w:t xml:space="preserve">8.0</w:t>
            </w:r>
          </w:p>
        </w:tc>
        <w:tc>
          <w:tcPr/>
          <w:p>
            <w:pPr>
              <w:pStyle w:val="Compact"/>
              <w:jc w:val="left"/>
            </w:pPr>
            <w:r>
              <w:t xml:space="preserve">7.5</w:t>
            </w:r>
          </w:p>
        </w:tc>
        <w:tc>
          <w:tcPr/>
          <w:p>
            <w:pPr>
              <w:pStyle w:val="Compact"/>
              <w:jc w:val="left"/>
            </w:pPr>
            <w:r>
              <w:t xml:space="preserve">-0.5 (-6%)</w:t>
            </w:r>
          </w:p>
        </w:tc>
        <w:tc>
          <w:tcPr/>
          <w:p>
            <w:pPr>
              <w:pStyle w:val="Compact"/>
              <w:jc w:val="left"/>
            </w:pPr>
            <w:r>
              <w:t xml:space="preserve">HIGH</w:t>
            </w:r>
          </w:p>
        </w:tc>
      </w:tr>
      <w:tr>
        <w:tc>
          <w:tcPr/>
          <w:p>
            <w:pPr>
              <w:pStyle w:val="Compact"/>
              <w:jc w:val="left"/>
            </w:pPr>
            <w:r>
              <w:t xml:space="preserve">4. Social/Demographic</w:t>
            </w:r>
          </w:p>
        </w:tc>
        <w:tc>
          <w:tcPr/>
          <w:p>
            <w:pPr>
              <w:pStyle w:val="Compact"/>
              <w:jc w:val="left"/>
            </w:pPr>
            <w:r>
              <w:t xml:space="preserve">5.5</w:t>
            </w:r>
          </w:p>
        </w:tc>
        <w:tc>
          <w:tcPr/>
          <w:p>
            <w:pPr>
              <w:pStyle w:val="Compact"/>
              <w:jc w:val="left"/>
            </w:pPr>
            <w:r>
              <w:t xml:space="preserve">4.5</w:t>
            </w:r>
          </w:p>
        </w:tc>
        <w:tc>
          <w:tcPr/>
          <w:p>
            <w:pPr>
              <w:pStyle w:val="Compact"/>
              <w:jc w:val="left"/>
            </w:pPr>
            <w:r>
              <w:t xml:space="preserve">-1.0</w:t>
            </w:r>
            <w:r>
              <w:t xml:space="preserve"> </w:t>
            </w:r>
            <w:r>
              <w:t xml:space="preserve">(-18%)</w:t>
            </w:r>
          </w:p>
        </w:tc>
        <w:tc>
          <w:tcPr/>
          <w:p>
            <w:pPr>
              <w:pStyle w:val="Compact"/>
              <w:jc w:val="left"/>
            </w:pPr>
            <w:r>
              <w:t xml:space="preserve">MODERATE</w:t>
            </w:r>
          </w:p>
        </w:tc>
      </w:tr>
      <w:tr>
        <w:tc>
          <w:tcPr/>
          <w:p>
            <w:pPr>
              <w:pStyle w:val="Compact"/>
              <w:jc w:val="left"/>
            </w:pPr>
            <w:r>
              <w:t xml:space="preserve">5. Educational/Knowledge</w:t>
            </w:r>
          </w:p>
        </w:tc>
        <w:tc>
          <w:tcPr/>
          <w:p>
            <w:pPr>
              <w:pStyle w:val="Compact"/>
              <w:jc w:val="left"/>
            </w:pPr>
            <w:r>
              <w:t xml:space="preserve">7.0</w:t>
            </w:r>
          </w:p>
        </w:tc>
        <w:tc>
          <w:tcPr/>
          <w:p>
            <w:pPr>
              <w:pStyle w:val="Compact"/>
              <w:jc w:val="left"/>
            </w:pPr>
            <w:r>
              <w:t xml:space="preserve">6.0</w:t>
            </w:r>
          </w:p>
        </w:tc>
        <w:tc>
          <w:tcPr/>
          <w:p>
            <w:pPr>
              <w:pStyle w:val="Compact"/>
              <w:jc w:val="left"/>
            </w:pPr>
            <w:r>
              <w:t xml:space="preserve">-1.0</w:t>
            </w:r>
            <w:r>
              <w:t xml:space="preserve"> </w:t>
            </w:r>
            <w:r>
              <w:t xml:space="preserve">(-14%)</w:t>
            </w:r>
          </w:p>
        </w:tc>
        <w:tc>
          <w:tcPr/>
          <w:p>
            <w:pPr>
              <w:pStyle w:val="Compact"/>
              <w:jc w:val="left"/>
            </w:pPr>
            <w:r>
              <w:t xml:space="preserve">MODERATE</w:t>
            </w:r>
          </w:p>
        </w:tc>
      </w:tr>
      <w:tr>
        <w:tc>
          <w:tcPr/>
          <w:p>
            <w:pPr>
              <w:pStyle w:val="Compact"/>
              <w:jc w:val="left"/>
            </w:pPr>
            <w:r>
              <w:t xml:space="preserve">6. Cultural/Soft Power</w:t>
            </w:r>
          </w:p>
        </w:tc>
        <w:tc>
          <w:tcPr/>
          <w:p>
            <w:pPr>
              <w:pStyle w:val="Compact"/>
              <w:jc w:val="left"/>
            </w:pPr>
            <w:r>
              <w:t xml:space="preserve">7.0</w:t>
            </w:r>
          </w:p>
        </w:tc>
        <w:tc>
          <w:tcPr/>
          <w:p>
            <w:pPr>
              <w:pStyle w:val="Compact"/>
              <w:jc w:val="left"/>
            </w:pPr>
            <w:r>
              <w:t xml:space="preserve">5.5</w:t>
            </w:r>
          </w:p>
        </w:tc>
        <w:tc>
          <w:tcPr/>
          <w:p>
            <w:pPr>
              <w:pStyle w:val="Compact"/>
              <w:jc w:val="left"/>
            </w:pPr>
            <w:r>
              <w:t xml:space="preserve">-1.5</w:t>
            </w:r>
            <w:r>
              <w:t xml:space="preserve"> </w:t>
            </w:r>
            <w:r>
              <w:t xml:space="preserve">(-21%)</w:t>
            </w:r>
          </w:p>
        </w:tc>
        <w:tc>
          <w:tcPr/>
          <w:p>
            <w:pPr>
              <w:pStyle w:val="Compact"/>
              <w:jc w:val="left"/>
            </w:pPr>
            <w:r>
              <w:t xml:space="preserve">MODERATE</w:t>
            </w:r>
          </w:p>
        </w:tc>
      </w:tr>
      <w:tr>
        <w:tc>
          <w:tcPr/>
          <w:p>
            <w:pPr>
              <w:pStyle w:val="Compact"/>
              <w:jc w:val="left"/>
            </w:pPr>
            <w:r>
              <w:t xml:space="preserve">7.</w:t>
            </w:r>
            <w:r>
              <w:t xml:space="preserve"> </w:t>
            </w:r>
            <w:r>
              <w:t xml:space="preserve">Technological/Innovation</w:t>
            </w:r>
          </w:p>
        </w:tc>
        <w:tc>
          <w:tcPr/>
          <w:p>
            <w:pPr>
              <w:pStyle w:val="Compact"/>
              <w:jc w:val="left"/>
            </w:pPr>
            <w:r>
              <w:t xml:space="preserve">7.5</w:t>
            </w:r>
          </w:p>
        </w:tc>
        <w:tc>
          <w:tcPr/>
          <w:p>
            <w:pPr>
              <w:pStyle w:val="Compact"/>
              <w:jc w:val="left"/>
            </w:pPr>
            <w:r>
              <w:t xml:space="preserve">7.0</w:t>
            </w:r>
          </w:p>
        </w:tc>
        <w:tc>
          <w:tcPr/>
          <w:p>
            <w:pPr>
              <w:pStyle w:val="Compact"/>
              <w:jc w:val="left"/>
            </w:pPr>
            <w:r>
              <w:t xml:space="preserve">-0.5 (-7%)</w:t>
            </w:r>
          </w:p>
        </w:tc>
        <w:tc>
          <w:tcPr/>
          <w:p>
            <w:pPr>
              <w:pStyle w:val="Compact"/>
              <w:jc w:val="left"/>
            </w:pPr>
            <w:r>
              <w:t xml:space="preserve">HIGH</w:t>
            </w:r>
          </w:p>
        </w:tc>
      </w:tr>
      <w:tr>
        <w:tc>
          <w:tcPr/>
          <w:p>
            <w:pPr>
              <w:pStyle w:val="Compact"/>
              <w:jc w:val="left"/>
            </w:pPr>
            <w:r>
              <w:t xml:space="preserve">8.</w:t>
            </w:r>
            <w:r>
              <w:t xml:space="preserve"> </w:t>
            </w:r>
            <w:r>
              <w:t xml:space="preserve">Information/Intelligence</w:t>
            </w:r>
          </w:p>
        </w:tc>
        <w:tc>
          <w:tcPr/>
          <w:p>
            <w:pPr>
              <w:pStyle w:val="Compact"/>
              <w:jc w:val="left"/>
            </w:pPr>
            <w:r>
              <w:t xml:space="preserve">7.0</w:t>
            </w:r>
          </w:p>
        </w:tc>
        <w:tc>
          <w:tcPr/>
          <w:p>
            <w:pPr>
              <w:pStyle w:val="Compact"/>
              <w:jc w:val="left"/>
            </w:pPr>
            <w:r>
              <w:t xml:space="preserve">6.5</w:t>
            </w:r>
          </w:p>
        </w:tc>
        <w:tc>
          <w:tcPr/>
          <w:p>
            <w:pPr>
              <w:pStyle w:val="Compact"/>
              <w:jc w:val="left"/>
            </w:pPr>
            <w:r>
              <w:t xml:space="preserve">-0.5 (-7%)</w:t>
            </w:r>
          </w:p>
        </w:tc>
        <w:tc>
          <w:tcPr/>
          <w:p>
            <w:pPr>
              <w:pStyle w:val="Compact"/>
              <w:jc w:val="left"/>
            </w:pPr>
            <w:r>
              <w:t xml:space="preserve">MODERATE</w:t>
            </w:r>
          </w:p>
        </w:tc>
      </w:tr>
      <w:tr>
        <w:tc>
          <w:tcPr/>
          <w:p>
            <w:pPr>
              <w:pStyle w:val="Compact"/>
              <w:jc w:val="left"/>
            </w:pPr>
            <w:r>
              <w:t xml:space="preserve">9. Economic/Financial</w:t>
            </w:r>
          </w:p>
        </w:tc>
        <w:tc>
          <w:tcPr/>
          <w:p>
            <w:pPr>
              <w:pStyle w:val="Compact"/>
              <w:jc w:val="left"/>
            </w:pPr>
            <w:r>
              <w:t xml:space="preserve">7.0</w:t>
            </w:r>
          </w:p>
        </w:tc>
        <w:tc>
          <w:tcPr/>
          <w:p>
            <w:pPr>
              <w:pStyle w:val="Compact"/>
              <w:jc w:val="left"/>
            </w:pPr>
            <w:r>
              <w:t xml:space="preserve">5.5</w:t>
            </w:r>
          </w:p>
        </w:tc>
        <w:tc>
          <w:tcPr/>
          <w:p>
            <w:pPr>
              <w:pStyle w:val="Compact"/>
              <w:jc w:val="left"/>
            </w:pPr>
            <w:r>
              <w:t xml:space="preserve">-1.5</w:t>
            </w:r>
            <w:r>
              <w:t xml:space="preserve"> </w:t>
            </w:r>
            <w:r>
              <w:t xml:space="preserve">(-21%)</w:t>
            </w:r>
          </w:p>
        </w:tc>
        <w:tc>
          <w:tcPr/>
          <w:p>
            <w:pPr>
              <w:pStyle w:val="Compact"/>
              <w:jc w:val="left"/>
            </w:pPr>
            <w:r>
              <w:t xml:space="preserve">MODERATE</w:t>
            </w:r>
          </w:p>
        </w:tc>
      </w:tr>
      <w:tr>
        <w:tc>
          <w:tcPr/>
          <w:p>
            <w:pPr>
              <w:pStyle w:val="Compact"/>
              <w:jc w:val="left"/>
            </w:pPr>
            <w:r>
              <w:rPr>
                <w:bCs/>
                <w:b/>
              </w:rPr>
              <w:t xml:space="preserve">COMPOSITE SCORE</w:t>
            </w:r>
          </w:p>
        </w:tc>
        <w:tc>
          <w:tcPr/>
          <w:p>
            <w:pPr>
              <w:pStyle w:val="Compact"/>
              <w:jc w:val="left"/>
            </w:pPr>
            <w:r>
              <w:rPr>
                <w:bCs/>
                <w:b/>
              </w:rPr>
              <w:t xml:space="preserve">6.78</w:t>
            </w:r>
          </w:p>
        </w:tc>
        <w:tc>
          <w:tcPr/>
          <w:p>
            <w:pPr>
              <w:pStyle w:val="Compact"/>
              <w:jc w:val="left"/>
            </w:pPr>
            <w:r>
              <w:rPr>
                <w:bCs/>
                <w:b/>
              </w:rPr>
              <w:t xml:space="preserve">5.89</w:t>
            </w:r>
          </w:p>
        </w:tc>
        <w:tc>
          <w:tcPr/>
          <w:p>
            <w:pPr>
              <w:pStyle w:val="Compact"/>
              <w:jc w:val="left"/>
            </w:pPr>
            <w:r>
              <w:rPr>
                <w:bCs/>
                <w:b/>
              </w:rPr>
              <w:t xml:space="preserve">-0.89</w:t>
            </w:r>
            <w:r>
              <w:rPr>
                <w:bCs/>
                <w:b/>
              </w:rPr>
              <w:t xml:space="preserve"> </w:t>
            </w:r>
            <w:r>
              <w:rPr>
                <w:bCs/>
                <w:b/>
              </w:rPr>
              <w:t xml:space="preserve">(-13%)</w:t>
            </w:r>
          </w:p>
        </w:tc>
        <w:tc>
          <w:tcPr/>
          <w:p>
            <w:pPr>
              <w:pStyle w:val="Compact"/>
              <w:jc w:val="left"/>
            </w:pPr>
            <w:r>
              <w:rPr>
                <w:bCs/>
                <w:b/>
              </w:rPr>
              <w:t xml:space="preserve">MODERATE-HIGH</w:t>
            </w:r>
          </w:p>
        </w:tc>
      </w:tr>
    </w:tbl>
    <w:p>
      <w:pPr>
        <w:pStyle w:val="BodyText"/>
      </w:pPr>
      <w:r>
        <w:rPr>
          <w:bCs/>
          <w:b/>
        </w:rPr>
        <w:t xml:space="preserve">Interpretation:</w:t>
      </w:r>
      <w:r>
        <w:t xml:space="preserve"> </w:t>
      </w:r>
      <w:r>
        <w:t xml:space="preserve">The 13% composite decline represents significant but</w:t>
      </w:r>
      <w:r>
        <w:t xml:space="preserve"> </w:t>
      </w:r>
      <w:r>
        <w:t xml:space="preserve">not catastrophic erosion. For comparison: - British Empire (1815-1914</w:t>
      </w:r>
      <w:r>
        <w:t xml:space="preserve"> </w:t>
      </w:r>
      <w:r>
        <w:t xml:space="preserve">Peak to 1945 Terminal): ~35% composite decline - Dutch Republic</w:t>
      </w:r>
      <w:r>
        <w:t xml:space="preserve"> </w:t>
      </w:r>
      <w:r>
        <w:t xml:space="preserve">(1648-1672 Peak to 1795 Terminal): ~42% composite decline - Spanish</w:t>
      </w:r>
      <w:r>
        <w:t xml:space="preserve"> </w:t>
      </w:r>
      <w:r>
        <w:t xml:space="preserve">Habsburg (1550-1580 Peak to 1700 Terminal): ~48% composite decline</w:t>
      </w:r>
    </w:p>
    <w:p>
      <w:pPr>
        <w:pStyle w:val="BodyText"/>
      </w:pPr>
      <w:r>
        <w:t xml:space="preserve">The American trajectory as of 2025 remains substantially above the</w:t>
      </w:r>
      <w:r>
        <w:t xml:space="preserve"> </w:t>
      </w:r>
      <w:r>
        <w:t xml:space="preserve">threshold of terminal decline observed in predecessor hegemons.</w:t>
      </w:r>
    </w:p>
    <w:bookmarkEnd w:id="25"/>
    <w:bookmarkStart w:id="32" w:name="key-analytical-findings"/>
    <w:p>
      <w:pPr>
        <w:pStyle w:val="Heading2"/>
      </w:pPr>
      <w:r>
        <w:t xml:space="preserve">Key Analytical Findings</w:t>
      </w:r>
    </w:p>
    <w:bookmarkStart w:id="26" w:name="X5487fd5812a8114076aaf674400c8c03608d4a5"/>
    <w:p>
      <w:pPr>
        <w:pStyle w:val="Heading3"/>
      </w:pPr>
      <w:r>
        <w:t xml:space="preserve">1. The Cascade Pattern: Finance → Social → Manufacturing → Soft Power</w:t>
      </w:r>
    </w:p>
    <w:p>
      <w:pPr>
        <w:pStyle w:val="FirstParagraph"/>
      </w:pPr>
      <w:r>
        <w:t xml:space="preserve">The American decline pattern diverges from the British sequence</w:t>
      </w:r>
      <w:r>
        <w:t xml:space="preserve"> </w:t>
      </w:r>
      <w:r>
        <w:t xml:space="preserve">(Education → Technology → Finance) and more closely resembles the Dutch</w:t>
      </w:r>
      <w:r>
        <w:t xml:space="preserve"> </w:t>
      </w:r>
      <w:r>
        <w:t xml:space="preserve">and Spanish patterns where financial crisis precedes rather than follows</w:t>
      </w:r>
      <w:r>
        <w:t xml:space="preserve"> </w:t>
      </w:r>
      <w:r>
        <w:t xml:space="preserve">institutional erosion. The 2008 crisis revealed financial sector</w:t>
      </w:r>
      <w:r>
        <w:t xml:space="preserve"> </w:t>
      </w:r>
      <w:r>
        <w:t xml:space="preserve">dysfunctions that subsequently transmitted through social institutions</w:t>
      </w:r>
      <w:r>
        <w:t xml:space="preserve"> </w:t>
      </w:r>
      <w:r>
        <w:t xml:space="preserve">(inequality, trust) to manufacturing (deindustrialization acceleration)</w:t>
      </w:r>
      <w:r>
        <w:t xml:space="preserve"> </w:t>
      </w:r>
      <w:r>
        <w:t xml:space="preserve">and cultural influence (soft power contestation).</w:t>
      </w:r>
    </w:p>
    <w:p>
      <w:pPr>
        <w:pStyle w:val="BodyText"/>
      </w:pPr>
      <w:r>
        <w:rPr>
          <w:bCs/>
          <w:b/>
        </w:rPr>
        <w:t xml:space="preserve">Confidence: HIGH</w:t>
      </w:r>
      <w:r>
        <w:t xml:space="preserve"> </w:t>
      </w:r>
      <w:r>
        <w:t xml:space="preserve">— This pattern is well-documented in the</w:t>
      </w:r>
      <w:r>
        <w:t xml:space="preserve"> </w:t>
      </w:r>
      <w:r>
        <w:t xml:space="preserve">scholarly literature (Arrighi 2007, Brenner 2006, Ferguson 2010) and</w:t>
      </w:r>
      <w:r>
        <w:t xml:space="preserve"> </w:t>
      </w:r>
      <w:r>
        <w:t xml:space="preserve">confirmed by quantitative data across domains.</w:t>
      </w:r>
    </w:p>
    <w:bookmarkEnd w:id="26"/>
    <w:bookmarkStart w:id="27" w:name="X167fb48bae83bb0fe3a0896f6063898b2e4ad28"/>
    <w:p>
      <w:pPr>
        <w:pStyle w:val="Heading3"/>
      </w:pPr>
      <w:r>
        <w:t xml:space="preserve">2. The Fed as Global Lender of Last Resort: Kindleberger’s Triumph</w:t>
      </w:r>
    </w:p>
    <w:p>
      <w:pPr>
        <w:pStyle w:val="FirstParagraph"/>
      </w:pPr>
      <w:r>
        <w:t xml:space="preserve">The Federal Reserve’s transformation from national central bank to de</w:t>
      </w:r>
      <w:r>
        <w:t xml:space="preserve"> </w:t>
      </w:r>
      <w:r>
        <w:t xml:space="preserve">facto global lender of last resort represents the most consequential</w:t>
      </w:r>
      <w:r>
        <w:t xml:space="preserve"> </w:t>
      </w:r>
      <w:r>
        <w:t xml:space="preserve">institutional evolution of the contemporary period. Through the swap</w:t>
      </w:r>
      <w:r>
        <w:t xml:space="preserve"> </w:t>
      </w:r>
      <w:r>
        <w:t xml:space="preserve">line network—$580 billion peak usage in 2008, $470 billion in</w:t>
      </w:r>
      <w:r>
        <w:t xml:space="preserve"> </w:t>
      </w:r>
      <w:r>
        <w:t xml:space="preserve">2020—and the FIMA Repo Facility, the Fed has institutionalized what</w:t>
      </w:r>
      <w:r>
        <w:t xml:space="preserve"> </w:t>
      </w:r>
      <w:r>
        <w:t xml:space="preserve">Charles Kindleberger theorized as the essential hegemonic function:</w:t>
      </w:r>
      <w:r>
        <w:t xml:space="preserve"> </w:t>
      </w:r>
      <w:r>
        <w:t xml:space="preserve">unlimited liquidity provision at fixed rates during systemic crisis.</w:t>
      </w:r>
    </w:p>
    <w:p>
      <w:pPr>
        <w:pStyle w:val="BodyText"/>
      </w:pPr>
      <w:r>
        <w:t xml:space="preserve">Perry Mehrling’s characterization is apt: the Fed moved from</w:t>
      </w:r>
      <w:r>
        <w:t xml:space="preserve"> </w:t>
      </w:r>
      <w:r>
        <w:t xml:space="preserve">“</w:t>
      </w:r>
      <w:r>
        <w:t xml:space="preserve">lender of</w:t>
      </w:r>
      <w:r>
        <w:t xml:space="preserve"> </w:t>
      </w:r>
      <w:r>
        <w:t xml:space="preserve">last resort</w:t>
      </w:r>
      <w:r>
        <w:t xml:space="preserve">”</w:t>
      </w:r>
      <w:r>
        <w:t xml:space="preserve"> </w:t>
      </w:r>
      <w:r>
        <w:t xml:space="preserve">to</w:t>
      </w:r>
      <w:r>
        <w:t xml:space="preserve"> </w:t>
      </w:r>
      <w:r>
        <w:t xml:space="preserve">“</w:t>
      </w:r>
      <w:r>
        <w:t xml:space="preserve">dealer of last resort,</w:t>
      </w:r>
      <w:r>
        <w:t xml:space="preserve">”</w:t>
      </w:r>
      <w:r>
        <w:t xml:space="preserve"> </w:t>
      </w:r>
      <w:r>
        <w:t xml:space="preserve">directly supporting securities</w:t>
      </w:r>
      <w:r>
        <w:t xml:space="preserve"> </w:t>
      </w:r>
      <w:r>
        <w:t xml:space="preserve">markets rather than merely banking systems. This institutional capacity</w:t>
      </w:r>
      <w:r>
        <w:t xml:space="preserve"> </w:t>
      </w:r>
      <w:r>
        <w:t xml:space="preserve">has no current rival—neither the European Central Bank nor the</w:t>
      </w:r>
      <w:r>
        <w:t xml:space="preserve"> </w:t>
      </w:r>
      <w:r>
        <w:t xml:space="preserve">People’s Bank of China can perform this function at global scale.</w:t>
      </w:r>
    </w:p>
    <w:p>
      <w:pPr>
        <w:pStyle w:val="BodyText"/>
      </w:pPr>
      <w:r>
        <w:rPr>
          <w:bCs/>
          <w:b/>
        </w:rPr>
        <w:t xml:space="preserve">Confidence: HIGH</w:t>
      </w:r>
      <w:r>
        <w:t xml:space="preserve"> </w:t>
      </w:r>
      <w:r>
        <w:t xml:space="preserve">— Based on Federal Reserve data, BIS working</w:t>
      </w:r>
      <w:r>
        <w:t xml:space="preserve"> </w:t>
      </w:r>
      <w:r>
        <w:t xml:space="preserve">papers, and extensive academic analysis.</w:t>
      </w:r>
    </w:p>
    <w:bookmarkEnd w:id="27"/>
    <w:bookmarkStart w:id="28" w:name="X82bca2fa4c4a73a0e4a649a16e9522ac61c7ec5"/>
    <w:p>
      <w:pPr>
        <w:pStyle w:val="Heading3"/>
      </w:pPr>
      <w:r>
        <w:t xml:space="preserve">3. De-Dollarization: Diversification Within, Not Away From, the Dollar System</w:t>
      </w:r>
    </w:p>
    <w:p>
      <w:pPr>
        <w:pStyle w:val="FirstParagraph"/>
      </w:pPr>
      <w:r>
        <w:t xml:space="preserve">The IMF’s Currency Composition of Official Foreign Exchange Reserves</w:t>
      </w:r>
      <w:r>
        <w:t xml:space="preserve"> </w:t>
      </w:r>
      <w:r>
        <w:t xml:space="preserve">(COFER) data shows dollar share declining from 71% (2000) to 58.4% (Q3</w:t>
      </w:r>
      <w:r>
        <w:t xml:space="preserve"> </w:t>
      </w:r>
      <w:r>
        <w:t xml:space="preserve">2024) to 56.32% (Q2 2025). However, Arslanalp, Eichengreen, and</w:t>
      </w:r>
      <w:r>
        <w:t xml:space="preserve"> </w:t>
      </w:r>
      <w:r>
        <w:t xml:space="preserve">Simpson-Bell’s IMF working paper (WP/2022/058) demonstrates that 75% of</w:t>
      </w:r>
      <w:r>
        <w:t xml:space="preserve"> </w:t>
      </w:r>
      <w:r>
        <w:t xml:space="preserve">diversification flows to</w:t>
      </w:r>
      <w:r>
        <w:t xml:space="preserve"> </w:t>
      </w:r>
      <w:r>
        <w:t xml:space="preserve">“</w:t>
      </w:r>
      <w:r>
        <w:t xml:space="preserve">nontraditional currencies</w:t>
      </w:r>
      <w:r>
        <w:t xml:space="preserve">”</w:t>
      </w:r>
      <w:r>
        <w:t xml:space="preserve"> </w:t>
      </w:r>
      <w:r>
        <w:t xml:space="preserve">(Australian dollar,</w:t>
      </w:r>
      <w:r>
        <w:t xml:space="preserve"> </w:t>
      </w:r>
      <w:r>
        <w:t xml:space="preserve">Canadian dollar, Swedish krona, Korean won, Singapore dollar)—all</w:t>
      </w:r>
      <w:r>
        <w:t xml:space="preserve"> </w:t>
      </w:r>
      <w:r>
        <w:t xml:space="preserve">issuers within the Fed’s swap line circle or extended network.</w:t>
      </w:r>
    </w:p>
    <w:p>
      <w:pPr>
        <w:pStyle w:val="BodyText"/>
      </w:pPr>
      <w:r>
        <w:t xml:space="preserve">The renminbi’s share at 2.12% (Q2 2025) remains marginal despite China’s</w:t>
      </w:r>
      <w:r>
        <w:t xml:space="preserve"> </w:t>
      </w:r>
      <w:r>
        <w:t xml:space="preserve">economic weight. Zoltan Pozsar’s</w:t>
      </w:r>
      <w:r>
        <w:t xml:space="preserve"> </w:t>
      </w:r>
      <w:r>
        <w:t xml:space="preserve">“</w:t>
      </w:r>
      <w:r>
        <w:t xml:space="preserve">Bretton Woods III</w:t>
      </w:r>
      <w:r>
        <w:t xml:space="preserve">”</w:t>
      </w:r>
      <w:r>
        <w:t xml:space="preserve"> </w:t>
      </w:r>
      <w:r>
        <w:t xml:space="preserve">thesis, predicting</w:t>
      </w:r>
      <w:r>
        <w:t xml:space="preserve"> </w:t>
      </w:r>
      <w:r>
        <w:t xml:space="preserve">commodity-backed currency regimes following the 2022 Russian sanctions,</w:t>
      </w:r>
      <w:r>
        <w:t xml:space="preserve"> </w:t>
      </w:r>
      <w:r>
        <w:t xml:space="preserve">was partially retracted within six months. Adam Tooze’s assessment</w:t>
      </w:r>
      <w:r>
        <w:t xml:space="preserve"> </w:t>
      </w:r>
      <w:r>
        <w:t xml:space="preserve">remains operative: alternatives are</w:t>
      </w:r>
      <w:r>
        <w:t xml:space="preserve"> </w:t>
      </w:r>
      <w:r>
        <w:t xml:space="preserve">“</w:t>
      </w:r>
      <w:r>
        <w:t xml:space="preserve">finance fiction—there is nowhere</w:t>
      </w:r>
      <w:r>
        <w:t xml:space="preserve"> </w:t>
      </w:r>
      <w:r>
        <w:t xml:space="preserve">else to go.</w:t>
      </w:r>
      <w:r>
        <w:t xml:space="preserve">”</w:t>
      </w:r>
    </w:p>
    <w:p>
      <w:pPr>
        <w:pStyle w:val="BodyText"/>
      </w:pPr>
      <w:r>
        <w:rPr>
          <w:bCs/>
          <w:b/>
        </w:rPr>
        <w:t xml:space="preserve">Confidence: HIGH</w:t>
      </w:r>
      <w:r>
        <w:t xml:space="preserve"> </w:t>
      </w:r>
      <w:r>
        <w:t xml:space="preserve">— Based on IMF COFER data, BIS statistics, and</w:t>
      </w:r>
      <w:r>
        <w:t xml:space="preserve"> </w:t>
      </w:r>
      <w:r>
        <w:t xml:space="preserve">multiple scholarly analyses.</w:t>
      </w:r>
    </w:p>
    <w:bookmarkEnd w:id="28"/>
    <w:bookmarkStart w:id="29" w:name="X8193a333061a86e6d7aa395f68e1418b2f4e9a6"/>
    <w:p>
      <w:pPr>
        <w:pStyle w:val="Heading3"/>
      </w:pPr>
      <w:r>
        <w:t xml:space="preserve">4. Governance Decline: Real but Overstated by Contemporaneous Measures</w:t>
      </w:r>
    </w:p>
    <w:p>
      <w:pPr>
        <w:pStyle w:val="FirstParagraph"/>
      </w:pPr>
      <w:r>
        <w:t xml:space="preserve">Democracy indices show genuine erosion: - V-Dem Liberal Democracy Index:</w:t>
      </w:r>
      <w:r>
        <w:t xml:space="preserve"> </w:t>
      </w:r>
      <w:r>
        <w:t xml:space="preserve">0.7-0.8 (pre-2024) → reclassified as</w:t>
      </w:r>
      <w:r>
        <w:t xml:space="preserve"> </w:t>
      </w:r>
      <w:r>
        <w:t xml:space="preserve">“</w:t>
      </w:r>
      <w:r>
        <w:t xml:space="preserve">electoral autocracy</w:t>
      </w:r>
      <w:r>
        <w:t xml:space="preserve">”</w:t>
      </w:r>
      <w:r>
        <w:t xml:space="preserve"> </w:t>
      </w:r>
      <w:r>
        <w:t xml:space="preserve">(late 2025) -</w:t>
      </w:r>
      <w:r>
        <w:t xml:space="preserve"> </w:t>
      </w:r>
      <w:r>
        <w:t xml:space="preserve">Freedom House: 94/100 (2010) → 83/100 (2024), an 11-point decline -</w:t>
      </w:r>
      <w:r>
        <w:t xml:space="preserve"> </w:t>
      </w:r>
      <w:r>
        <w:t xml:space="preserve">Economist Intelligence Unit: 8.22 (2015,</w:t>
      </w:r>
      <w:r>
        <w:t xml:space="preserve"> </w:t>
      </w:r>
      <w:r>
        <w:t xml:space="preserve">“</w:t>
      </w:r>
      <w:r>
        <w:t xml:space="preserve">full democracy</w:t>
      </w:r>
      <w:r>
        <w:t xml:space="preserve">”</w:t>
      </w:r>
      <w:r>
        <w:t xml:space="preserve">) → 7.85 (2024,</w:t>
      </w:r>
      <w:r>
        <w:t xml:space="preserve"> </w:t>
      </w:r>
      <w:r>
        <w:t xml:space="preserve">“</w:t>
      </w:r>
      <w:r>
        <w:t xml:space="preserve">flawed democracy</w:t>
      </w:r>
      <w:r>
        <w:t xml:space="preserve">”</w:t>
      </w:r>
      <w:r>
        <w:t xml:space="preserve">)</w:t>
      </w:r>
    </w:p>
    <w:p>
      <w:pPr>
        <w:pStyle w:val="BodyText"/>
      </w:pPr>
      <w:r>
        <w:t xml:space="preserve">However, these metrics require calibration: 1. V-Dem’s late 2025</w:t>
      </w:r>
      <w:r>
        <w:t xml:space="preserve"> </w:t>
      </w:r>
      <w:r>
        <w:t xml:space="preserve">reclassification reflects events still unfolding and has faced</w:t>
      </w:r>
      <w:r>
        <w:t xml:space="preserve"> </w:t>
      </w:r>
      <w:r>
        <w:t xml:space="preserve">methodological criticism from Jonas Wolff for</w:t>
      </w:r>
      <w:r>
        <w:t xml:space="preserve"> </w:t>
      </w:r>
      <w:r>
        <w:t xml:space="preserve">“</w:t>
      </w:r>
      <w:r>
        <w:t xml:space="preserve">abandoning pluralist</w:t>
      </w:r>
      <w:r>
        <w:t xml:space="preserve"> </w:t>
      </w:r>
      <w:r>
        <w:t xml:space="preserve">conceptualization</w:t>
      </w:r>
      <w:r>
        <w:t xml:space="preserve">”</w:t>
      </w:r>
      <w:r>
        <w:t xml:space="preserve"> </w:t>
      </w:r>
      <w:r>
        <w:t xml:space="preserve">2. Freedom House’s 11% decline over 14 years</w:t>
      </w:r>
      <w:r>
        <w:t xml:space="preserve"> </w:t>
      </w:r>
      <w:r>
        <w:t xml:space="preserve">represents gradual erosion, not collapse 3. EIU’s 0.37-point decline</w:t>
      </w:r>
      <w:r>
        <w:t xml:space="preserve"> </w:t>
      </w:r>
      <w:r>
        <w:t xml:space="preserve">(4.5%) suggests moderate rather than dramatic deterioration</w:t>
      </w:r>
    </w:p>
    <w:p>
      <w:pPr>
        <w:pStyle w:val="BodyText"/>
      </w:pPr>
      <w:r>
        <w:t xml:space="preserve">The original Session 4 draft’s claim of 50% governance decline (6.0 →</w:t>
      </w:r>
      <w:r>
        <w:t xml:space="preserve"> </w:t>
      </w:r>
      <w:r>
        <w:t xml:space="preserve">3.0) is</w:t>
      </w:r>
      <w:r>
        <w:t xml:space="preserve"> </w:t>
      </w:r>
      <w:r>
        <w:rPr>
          <w:bCs/>
          <w:b/>
        </w:rPr>
        <w:t xml:space="preserve">indefensible</w:t>
      </w:r>
      <w:r>
        <w:t xml:space="preserve"> </w:t>
      </w:r>
      <w:r>
        <w:t xml:space="preserve">based on standardized measures. The corrected</w:t>
      </w:r>
      <w:r>
        <w:t xml:space="preserve"> </w:t>
      </w:r>
      <w:r>
        <w:t xml:space="preserve">score (6.0 → 5.0, 17% decline) aligns with multiple independent indices</w:t>
      </w:r>
      <w:r>
        <w:t xml:space="preserve"> </w:t>
      </w:r>
      <w:r>
        <w:t xml:space="preserve">while acknowledging genuine democratic erosion.</w:t>
      </w:r>
    </w:p>
    <w:p>
      <w:pPr>
        <w:pStyle w:val="BodyText"/>
      </w:pPr>
      <w:r>
        <w:rPr>
          <w:bCs/>
          <w:b/>
        </w:rPr>
        <w:t xml:space="preserve">Confidence: HIGH</w:t>
      </w:r>
      <w:r>
        <w:t xml:space="preserve"> </w:t>
      </w:r>
      <w:r>
        <w:t xml:space="preserve">— Based on V-Dem, Freedom House, EIU, Bright Line</w:t>
      </w:r>
      <w:r>
        <w:t xml:space="preserve"> </w:t>
      </w:r>
      <w:r>
        <w:t xml:space="preserve">Watch, and Polity data, triangulated with scholarly debate (Levitsky &amp;</w:t>
      </w:r>
      <w:r>
        <w:t xml:space="preserve"> </w:t>
      </w:r>
      <w:r>
        <w:t xml:space="preserve">Ziblatt 2018, Grumbach 2023, Little &amp; Meng 2024, Weyland 2020).</w:t>
      </w:r>
    </w:p>
    <w:bookmarkEnd w:id="29"/>
    <w:bookmarkStart w:id="30" w:name="Xa2eafa990e1232e23382465743b4cccf1123073"/>
    <w:p>
      <w:pPr>
        <w:pStyle w:val="Heading3"/>
      </w:pPr>
      <w:r>
        <w:t xml:space="preserve">5. The China Challenge: Peak Power Rather Than Rising Challenger</w:t>
      </w:r>
    </w:p>
    <w:p>
      <w:pPr>
        <w:pStyle w:val="FirstParagraph"/>
      </w:pPr>
      <w:r>
        <w:t xml:space="preserve">Michael Beckley’s</w:t>
      </w:r>
      <w:r>
        <w:t xml:space="preserve"> </w:t>
      </w:r>
      <w:r>
        <w:t xml:space="preserve">“</w:t>
      </w:r>
      <w:r>
        <w:t xml:space="preserve">net resources</w:t>
      </w:r>
      <w:r>
        <w:t xml:space="preserve">”</w:t>
      </w:r>
      <w:r>
        <w:t xml:space="preserve"> </w:t>
      </w:r>
      <w:r>
        <w:t xml:space="preserve">methodology—subtracting production</w:t>
      </w:r>
      <w:r>
        <w:t xml:space="preserve"> </w:t>
      </w:r>
      <w:r>
        <w:t xml:space="preserve">costs, welfare costs, and security costs from GDP—demonstrates that</w:t>
      </w:r>
      <w:r>
        <w:t xml:space="preserve"> </w:t>
      </w:r>
      <w:r>
        <w:t xml:space="preserve">“</w:t>
      </w:r>
      <w:r>
        <w:t xml:space="preserve">standard indicators exaggerate wealth and military power of poor,</w:t>
      </w:r>
      <w:r>
        <w:t xml:space="preserve"> </w:t>
      </w:r>
      <w:r>
        <w:t xml:space="preserve">populous countries like China and India.</w:t>
      </w:r>
      <w:r>
        <w:t xml:space="preserve">”</w:t>
      </w:r>
      <w:r>
        <w:t xml:space="preserve"> </w:t>
      </w:r>
      <w:r>
        <w:t xml:space="preserve">His calculation that US</w:t>
      </w:r>
      <w:r>
        <w:t xml:space="preserve"> </w:t>
      </w:r>
      <w:r>
        <w:t xml:space="preserve">workers generate approximately 7x the output of Chinese workers on</w:t>
      </w:r>
      <w:r>
        <w:t xml:space="preserve"> </w:t>
      </w:r>
      <w:r>
        <w:t xml:space="preserve">average, combined with evidence that roughly one-third of China’s</w:t>
      </w:r>
      <w:r>
        <w:t xml:space="preserve"> </w:t>
      </w:r>
      <w:r>
        <w:t xml:space="preserve">industrial production goes to waste and ~35% of military budget goes to</w:t>
      </w:r>
      <w:r>
        <w:t xml:space="preserve"> </w:t>
      </w:r>
      <w:r>
        <w:t xml:space="preserve">internal security, fundamentally challenges linear extrapolations of</w:t>
      </w:r>
      <w:r>
        <w:t xml:space="preserve"> </w:t>
      </w:r>
      <w:r>
        <w:t xml:space="preserve">Chinese overtaking.</w:t>
      </w:r>
    </w:p>
    <w:p>
      <w:pPr>
        <w:pStyle w:val="BodyText"/>
      </w:pPr>
      <w:r>
        <w:t xml:space="preserve">The evolution from Beckley’s 2018</w:t>
      </w:r>
      <w:r>
        <w:t xml:space="preserve"> </w:t>
      </w:r>
      <w:r>
        <w:t xml:space="preserve">“</w:t>
      </w:r>
      <w:r>
        <w:t xml:space="preserve">Unrivaled</w:t>
      </w:r>
      <w:r>
        <w:t xml:space="preserve">”</w:t>
      </w:r>
      <w:r>
        <w:t xml:space="preserve"> </w:t>
      </w:r>
      <w:r>
        <w:t xml:space="preserve">thesis to his 2022</w:t>
      </w:r>
      <w:r>
        <w:t xml:space="preserve"> </w:t>
      </w:r>
      <w:r>
        <w:t xml:space="preserve">“</w:t>
      </w:r>
      <w:r>
        <w:t xml:space="preserve">Danger</w:t>
      </w:r>
      <w:r>
        <w:t xml:space="preserve"> </w:t>
      </w:r>
      <w:r>
        <w:t xml:space="preserve">Zone</w:t>
      </w:r>
      <w:r>
        <w:t xml:space="preserve">”</w:t>
      </w:r>
      <w:r>
        <w:t xml:space="preserve"> </w:t>
      </w:r>
      <w:r>
        <w:t xml:space="preserve">argument represents a significant analytical shift: China behaves</w:t>
      </w:r>
      <w:r>
        <w:t xml:space="preserve"> </w:t>
      </w:r>
      <w:r>
        <w:t xml:space="preserve">aggressively</w:t>
      </w:r>
      <w:r>
        <w:t xml:space="preserve"> </w:t>
      </w:r>
      <w:r>
        <w:t xml:space="preserve">“</w:t>
      </w:r>
      <w:r>
        <w:t xml:space="preserve">not because it is confident, rising power, but because it</w:t>
      </w:r>
      <w:r>
        <w:t xml:space="preserve"> </w:t>
      </w:r>
      <w:r>
        <w:t xml:space="preserve">is peaking power whose economy is slowing while rivals multiply.</w:t>
      </w:r>
      <w:r>
        <w:t xml:space="preserve">”</w:t>
      </w:r>
      <w:r>
        <w:t xml:space="preserve"> </w:t>
      </w:r>
      <w:r>
        <w:t xml:space="preserve">Demographic constraints (working-age population peaked 2015), property</w:t>
      </w:r>
      <w:r>
        <w:t xml:space="preserve"> </w:t>
      </w:r>
      <w:r>
        <w:t xml:space="preserve">sector crisis (Evergrande default 2021, ongoing contagion), and</w:t>
      </w:r>
      <w:r>
        <w:t xml:space="preserve"> </w:t>
      </w:r>
      <w:r>
        <w:t xml:space="preserve">technology access restrictions (semiconductor export controls 2022-2025)</w:t>
      </w:r>
      <w:r>
        <w:t xml:space="preserve"> </w:t>
      </w:r>
      <w:r>
        <w:t xml:space="preserve">compound these structural limitations.</w:t>
      </w:r>
    </w:p>
    <w:p>
      <w:pPr>
        <w:pStyle w:val="BodyText"/>
      </w:pPr>
      <w:r>
        <w:rPr>
          <w:bCs/>
          <w:b/>
        </w:rPr>
        <w:t xml:space="preserve">Confidence: MODERATE-HIGH</w:t>
      </w:r>
      <w:r>
        <w:t xml:space="preserve"> </w:t>
      </w:r>
      <w:r>
        <w:t xml:space="preserve">— The</w:t>
      </w:r>
      <w:r>
        <w:t xml:space="preserve"> </w:t>
      </w:r>
      <w:r>
        <w:t xml:space="preserve">“</w:t>
      </w:r>
      <w:r>
        <w:t xml:space="preserve">Peak China</w:t>
      </w:r>
      <w:r>
        <w:t xml:space="preserve">”</w:t>
      </w:r>
      <w:r>
        <w:t xml:space="preserve"> </w:t>
      </w:r>
      <w:r>
        <w:t xml:space="preserve">thesis has gained</w:t>
      </w:r>
      <w:r>
        <w:t xml:space="preserve"> </w:t>
      </w:r>
      <w:r>
        <w:t xml:space="preserve">significant scholarly support but remains contested; China’s actual</w:t>
      </w:r>
      <w:r>
        <w:t xml:space="preserve"> </w:t>
      </w:r>
      <w:r>
        <w:t xml:space="preserve">trajectory over 2025-2030 will provide definitive validation or</w:t>
      </w:r>
      <w:r>
        <w:t xml:space="preserve"> </w:t>
      </w:r>
      <w:r>
        <w:t xml:space="preserve">refutation.</w:t>
      </w:r>
    </w:p>
    <w:bookmarkEnd w:id="30"/>
    <w:bookmarkStart w:id="31" w:name="counter-evidence-the-durability-case"/>
    <w:p>
      <w:pPr>
        <w:pStyle w:val="Heading3"/>
      </w:pPr>
      <w:r>
        <w:t xml:space="preserve">6. Counter-Evidence: The Durability Case</w:t>
      </w:r>
    </w:p>
    <w:p>
      <w:pPr>
        <w:pStyle w:val="FirstParagraph"/>
      </w:pPr>
      <w:r>
        <w:t xml:space="preserve">Intellectual honesty requires engaging seriously with scholars who</w:t>
      </w:r>
      <w:r>
        <w:t xml:space="preserve"> </w:t>
      </w:r>
      <w:r>
        <w:t xml:space="preserve">reject or qualify decline narratives:</w:t>
      </w:r>
    </w:p>
    <w:p>
      <w:pPr>
        <w:pStyle w:val="BodyText"/>
      </w:pPr>
      <w:r>
        <w:rPr>
          <w:bCs/>
          <w:b/>
        </w:rPr>
        <w:t xml:space="preserve">Brooks and Wohlforth (2008, updated):</w:t>
      </w:r>
      <w:r>
        <w:t xml:space="preserve"> </w:t>
      </w:r>
      <w:r>
        <w:t xml:space="preserve">“</w:t>
      </w:r>
      <w:r>
        <w:t xml:space="preserve">No system of sovereign states</w:t>
      </w:r>
      <w:r>
        <w:t xml:space="preserve"> </w:t>
      </w:r>
      <w:r>
        <w:t xml:space="preserve">has ever contained one state with comparable material preponderance</w:t>
      </w:r>
      <w:r>
        <w:t xml:space="preserve">”</w:t>
      </w:r>
      <w:r>
        <w:t xml:space="preserve"> </w:t>
      </w:r>
      <w:r>
        <w:t xml:space="preserve">as</w:t>
      </w:r>
      <w:r>
        <w:t xml:space="preserve"> </w:t>
      </w:r>
      <w:r>
        <w:t xml:space="preserve">post-Cold War America. Their predicted balancing coalition has not</w:t>
      </w:r>
      <w:r>
        <w:t xml:space="preserve"> </w:t>
      </w:r>
      <w:r>
        <w:t xml:space="preserve">materialized.</w:t>
      </w:r>
    </w:p>
    <w:p>
      <w:pPr>
        <w:pStyle w:val="BodyText"/>
      </w:pPr>
      <w:r>
        <w:rPr>
          <w:bCs/>
          <w:b/>
        </w:rPr>
        <w:t xml:space="preserve">G. John Ikenberry (2018, 2024):</w:t>
      </w:r>
      <w:r>
        <w:t xml:space="preserve"> </w:t>
      </w:r>
      <w:r>
        <w:t xml:space="preserve">Distinguishes between</w:t>
      </w:r>
      <w:r>
        <w:t xml:space="preserve"> </w:t>
      </w:r>
      <w:r>
        <w:t xml:space="preserve">“</w:t>
      </w:r>
      <w:r>
        <w:t xml:space="preserve">crisis of</w:t>
      </w:r>
      <w:r>
        <w:t xml:space="preserve"> </w:t>
      </w:r>
      <w:r>
        <w:t xml:space="preserve">American governance of liberal order</w:t>
      </w:r>
      <w:r>
        <w:t xml:space="preserve">”</w:t>
      </w:r>
      <w:r>
        <w:t xml:space="preserve"> </w:t>
      </w:r>
      <w:r>
        <w:t xml:space="preserve">and</w:t>
      </w:r>
      <w:r>
        <w:t xml:space="preserve"> </w:t>
      </w:r>
      <w:r>
        <w:t xml:space="preserve">“</w:t>
      </w:r>
      <w:r>
        <w:t xml:space="preserve">crisis of liberal order</w:t>
      </w:r>
      <w:r>
        <w:t xml:space="preserve"> </w:t>
      </w:r>
      <w:r>
        <w:t xml:space="preserve">itself.</w:t>
      </w:r>
      <w:r>
        <w:t xml:space="preserve">”</w:t>
      </w:r>
      <w:r>
        <w:t xml:space="preserve"> </w:t>
      </w:r>
      <w:r>
        <w:t xml:space="preserve">The rules-based international order retains broad</w:t>
      </w:r>
      <w:r>
        <w:t xml:space="preserve"> </w:t>
      </w:r>
      <w:r>
        <w:t xml:space="preserve">constituencies even as American leadership falters.</w:t>
      </w:r>
    </w:p>
    <w:p>
      <w:pPr>
        <w:pStyle w:val="BodyText"/>
      </w:pPr>
      <w:r>
        <w:rPr>
          <w:bCs/>
          <w:b/>
        </w:rPr>
        <w:t xml:space="preserve">Adam Tooze (ongoing):</w:t>
      </w:r>
      <w:r>
        <w:t xml:space="preserve"> </w:t>
      </w:r>
      <w:r>
        <w:t xml:space="preserve">Emphasizes the dollar system’s structural</w:t>
      </w:r>
      <w:r>
        <w:t xml:space="preserve"> </w:t>
      </w:r>
      <w:r>
        <w:t xml:space="preserve">resilience: absent a credible alternative, even sanctioned states</w:t>
      </w:r>
      <w:r>
        <w:t xml:space="preserve"> </w:t>
      </w:r>
      <w:r>
        <w:t xml:space="preserve">(Russia, Iran) cannot fully exit dollar-denominated trade.</w:t>
      </w:r>
    </w:p>
    <w:p>
      <w:pPr>
        <w:pStyle w:val="BodyText"/>
      </w:pPr>
      <w:r>
        <w:t xml:space="preserve">These scholars do not deny problems but contextualize them within longer</w:t>
      </w:r>
      <w:r>
        <w:t xml:space="preserve"> </w:t>
      </w:r>
      <w:r>
        <w:t xml:space="preserve">durability patterns than decline narratives acknowledge.</w:t>
      </w:r>
    </w:p>
    <w:p>
      <w:pPr>
        <w:pStyle w:val="BodyText"/>
      </w:pPr>
      <w:r>
        <w:rPr>
          <w:bCs/>
          <w:b/>
        </w:rPr>
        <w:t xml:space="preserve">Confidence: HIGH</w:t>
      </w:r>
      <w:r>
        <w:t xml:space="preserve"> </w:t>
      </w:r>
      <w:r>
        <w:t xml:space="preserve">— Counter-evidence is robust and must inform</w:t>
      </w:r>
      <w:r>
        <w:t xml:space="preserve"> </w:t>
      </w:r>
      <w:r>
        <w:t xml:space="preserve">analytical conclusions.</w:t>
      </w:r>
    </w:p>
    <w:bookmarkEnd w:id="31"/>
    <w:bookmarkEnd w:id="32"/>
    <w:bookmarkEnd w:id="33"/>
    <w:bookmarkStart w:id="56" w:name="Xbe1124b9a3aee8aa193e01a2c11696ef020dcc4"/>
    <w:p>
      <w:pPr>
        <w:pStyle w:val="Heading1"/>
      </w:pPr>
      <w:r>
        <w:t xml:space="preserve">SUB-PERIOD I: THE CRISIS AND ADAPTATION PHASE (2008-2016)</w:t>
      </w:r>
    </w:p>
    <w:bookmarkStart w:id="34" w:name="overview-testing-kindleberger-under-fire"/>
    <w:p>
      <w:pPr>
        <w:pStyle w:val="Heading2"/>
      </w:pPr>
      <w:r>
        <w:t xml:space="preserve">Overview: Testing Kindleberger Under Fire</w:t>
      </w:r>
    </w:p>
    <w:p>
      <w:pPr>
        <w:pStyle w:val="FirstParagraph"/>
      </w:pPr>
      <w:r>
        <w:t xml:space="preserve">The 2008-2016 period represents the most severe test of American</w:t>
      </w:r>
      <w:r>
        <w:t xml:space="preserve"> </w:t>
      </w:r>
      <w:r>
        <w:t xml:space="preserve">hegemonic institutions since the Great Depression. The Global Financial</w:t>
      </w:r>
      <w:r>
        <w:t xml:space="preserve"> </w:t>
      </w:r>
      <w:r>
        <w:t xml:space="preserve">Crisis (GFC) originated within the American financial</w:t>
      </w:r>
      <w:r>
        <w:t xml:space="preserve"> </w:t>
      </w:r>
      <w:r>
        <w:t xml:space="preserve">system—specifically, the subprime mortgage market and its</w:t>
      </w:r>
      <w:r>
        <w:t xml:space="preserve"> </w:t>
      </w:r>
      <w:r>
        <w:t xml:space="preserve">securitization infrastructure—and propagated globally through the very</w:t>
      </w:r>
      <w:r>
        <w:t xml:space="preserve"> </w:t>
      </w:r>
      <w:r>
        <w:t xml:space="preserve">channels of dollar-denominated financial integration that defined</w:t>
      </w:r>
      <w:r>
        <w:t xml:space="preserve"> </w:t>
      </w:r>
      <w:r>
        <w:t xml:space="preserve">American financial hegemony. The period therefore provides a natural</w:t>
      </w:r>
      <w:r>
        <w:t xml:space="preserve"> </w:t>
      </w:r>
      <w:r>
        <w:t xml:space="preserve">experiment: could American institutions adapt to crisis emanating from</w:t>
      </w:r>
      <w:r>
        <w:t xml:space="preserve"> </w:t>
      </w:r>
      <w:r>
        <w:t xml:space="preserve">their own contradictions?</w:t>
      </w:r>
    </w:p>
    <w:p>
      <w:pPr>
        <w:pStyle w:val="BodyText"/>
      </w:pPr>
      <w:r>
        <w:t xml:space="preserve">The answer, delivered across eight years of policy innovation and</w:t>
      </w:r>
      <w:r>
        <w:t xml:space="preserve"> </w:t>
      </w:r>
      <w:r>
        <w:t xml:space="preserve">institutional reconstruction, was qualified affirmative. The Federal</w:t>
      </w:r>
      <w:r>
        <w:t xml:space="preserve"> </w:t>
      </w:r>
      <w:r>
        <w:t xml:space="preserve">Reserve’s unprecedented interventions, the Obama administration’s fiscal</w:t>
      </w:r>
      <w:r>
        <w:t xml:space="preserve"> </w:t>
      </w:r>
      <w:r>
        <w:t xml:space="preserve">stimulus and regulatory response, and the gradual recovery of both</w:t>
      </w:r>
      <w:r>
        <w:t xml:space="preserve"> </w:t>
      </w:r>
      <w:r>
        <w:t xml:space="preserve">financial markets and the real economy demonstrated adaptive capacity.</w:t>
      </w:r>
      <w:r>
        <w:t xml:space="preserve"> </w:t>
      </w:r>
      <w:r>
        <w:t xml:space="preserve">Yet this adaptation came at costs—measured in fiscal deficits, wealth</w:t>
      </w:r>
      <w:r>
        <w:t xml:space="preserve"> </w:t>
      </w:r>
      <w:r>
        <w:t xml:space="preserve">inequality, political polarization, and eroded institutional</w:t>
      </w:r>
      <w:r>
        <w:t xml:space="preserve"> </w:t>
      </w:r>
      <w:r>
        <w:t xml:space="preserve">legitimacy—that would compound in subsequent periods.</w:t>
      </w:r>
    </w:p>
    <w:bookmarkEnd w:id="34"/>
    <w:bookmarkStart w:id="38" w:name="X226c9b3953b65895b5f4e9e75de635e5525ced9"/>
    <w:p>
      <w:pPr>
        <w:pStyle w:val="Heading2"/>
      </w:pPr>
      <w:r>
        <w:t xml:space="preserve">Domain 1: Governance and Political Institutions (2008-2016)</w:t>
      </w:r>
    </w:p>
    <w:bookmarkStart w:id="35" w:name="the-obama-coalition-and-its-limitations"/>
    <w:p>
      <w:pPr>
        <w:pStyle w:val="Heading3"/>
      </w:pPr>
      <w:r>
        <w:t xml:space="preserve">The Obama Coalition and Its Limitations</w:t>
      </w:r>
    </w:p>
    <w:p>
      <w:pPr>
        <w:pStyle w:val="FirstParagraph"/>
      </w:pPr>
      <w:r>
        <w:t xml:space="preserve">The 2008 election delivered unified Democratic government on a mandate</w:t>
      </w:r>
      <w:r>
        <w:t xml:space="preserve"> </w:t>
      </w:r>
      <w:r>
        <w:t xml:space="preserve">for change, with Barack Obama’s victory margin (52.9% to 45.7%)</w:t>
      </w:r>
      <w:r>
        <w:t xml:space="preserve"> </w:t>
      </w:r>
      <w:r>
        <w:t xml:space="preserve">representing the largest for a non-incumbent since 1988. The</w:t>
      </w:r>
      <w:r>
        <w:t xml:space="preserve"> </w:t>
      </w:r>
      <w:r>
        <w:t xml:space="preserve">coalition—combining traditional Democratic constituencies with</w:t>
      </w:r>
      <w:r>
        <w:t xml:space="preserve"> </w:t>
      </w:r>
      <w:r>
        <w:t xml:space="preserve">suburban moderates, young voters, and dramatically increased African</w:t>
      </w:r>
      <w:r>
        <w:t xml:space="preserve"> </w:t>
      </w:r>
      <w:r>
        <w:t xml:space="preserve">American turnout—suggested the possibility of a durable realignment.</w:t>
      </w:r>
    </w:p>
    <w:p>
      <w:pPr>
        <w:pStyle w:val="BodyText"/>
      </w:pPr>
      <w:r>
        <w:t xml:space="preserve">However, governance capacity proved constrained by structural factors:</w:t>
      </w:r>
    </w:p>
    <w:p>
      <w:pPr>
        <w:pStyle w:val="BodyText"/>
      </w:pPr>
      <w:r>
        <w:rPr>
          <w:bCs/>
          <w:b/>
        </w:rPr>
        <w:t xml:space="preserve">1. Filibuster Dynamics:</w:t>
      </w:r>
      <w:r>
        <w:t xml:space="preserve"> </w:t>
      </w:r>
      <w:r>
        <w:t xml:space="preserve">The 60-vote threshold for Senate cloture</w:t>
      </w:r>
      <w:r>
        <w:t xml:space="preserve"> </w:t>
      </w:r>
      <w:r>
        <w:t xml:space="preserve">meant that even with 58-60 Democratic senators (depending on the</w:t>
      </w:r>
      <w:r>
        <w:t xml:space="preserve"> </w:t>
      </w:r>
      <w:r>
        <w:t xml:space="preserve">period), major legislation required either Republican support or</w:t>
      </w:r>
      <w:r>
        <w:t xml:space="preserve"> </w:t>
      </w:r>
      <w:r>
        <w:t xml:space="preserve">reconciliation procedures limited to budget-related measures. The</w:t>
      </w:r>
      <w:r>
        <w:t xml:space="preserve"> </w:t>
      </w:r>
      <w:r>
        <w:t xml:space="preserve">Affordable Care Act (ACA) passed on a party-line vote only after</w:t>
      </w:r>
      <w:r>
        <w:t xml:space="preserve"> </w:t>
      </w:r>
      <w:r>
        <w:t xml:space="preserve">extensive modification to satisfy moderate Democrats; the public option</w:t>
      </w:r>
      <w:r>
        <w:t xml:space="preserve"> </w:t>
      </w:r>
      <w:r>
        <w:t xml:space="preserve">was abandoned, and final passage required using reconciliation for</w:t>
      </w:r>
      <w:r>
        <w:t xml:space="preserve"> </w:t>
      </w:r>
      <w:r>
        <w:t xml:space="preserve">amendments after Scott Brown’s special election victory eliminated the</w:t>
      </w:r>
      <w:r>
        <w:t xml:space="preserve"> </w:t>
      </w:r>
      <w:r>
        <w:t xml:space="preserve">60-seat supermajority.</w:t>
      </w:r>
    </w:p>
    <w:p>
      <w:pPr>
        <w:pStyle w:val="BodyText"/>
      </w:pPr>
      <w:r>
        <w:rPr>
          <w:bCs/>
          <w:b/>
        </w:rPr>
        <w:t xml:space="preserve">2. The 2010 Midterm Reversal:</w:t>
      </w:r>
      <w:r>
        <w:t xml:space="preserve"> </w:t>
      </w:r>
      <w:r>
        <w:t xml:space="preserve">The Tea Party wave delivered</w:t>
      </w:r>
      <w:r>
        <w:t xml:space="preserve"> </w:t>
      </w:r>
      <w:r>
        <w:t xml:space="preserve">Republicans a 63-seat gain in the House—the largest swing since</w:t>
      </w:r>
      <w:r>
        <w:t xml:space="preserve"> </w:t>
      </w:r>
      <w:r>
        <w:t xml:space="preserve">1938—and six Senate seats. This was not merely electoral fluctuation</w:t>
      </w:r>
      <w:r>
        <w:t xml:space="preserve"> </w:t>
      </w:r>
      <w:r>
        <w:t xml:space="preserve">but reflected durable patterns: the intensity gap favoring opposition</w:t>
      </w:r>
      <w:r>
        <w:t xml:space="preserve"> </w:t>
      </w:r>
      <w:r>
        <w:t xml:space="preserve">parties in midterms, the geographic concentration of Democratic voters</w:t>
      </w:r>
      <w:r>
        <w:t xml:space="preserve"> </w:t>
      </w:r>
      <w:r>
        <w:t xml:space="preserve">reducing House efficiency, and genuine policy backlash against the ACA</w:t>
      </w:r>
      <w:r>
        <w:t xml:space="preserve"> </w:t>
      </w:r>
      <w:r>
        <w:t xml:space="preserve">and stimulus spending among older white voters.</w:t>
      </w:r>
    </w:p>
    <w:p>
      <w:pPr>
        <w:pStyle w:val="BodyText"/>
      </w:pPr>
      <w:r>
        <w:rPr>
          <w:bCs/>
          <w:b/>
        </w:rPr>
        <w:t xml:space="preserve">3. Gridlock and Governing by Crisis:</w:t>
      </w:r>
      <w:r>
        <w:t xml:space="preserve"> </w:t>
      </w:r>
      <w:r>
        <w:t xml:space="preserve">From 2011 forward, the pattern</w:t>
      </w:r>
      <w:r>
        <w:t xml:space="preserve"> </w:t>
      </w:r>
      <w:r>
        <w:t xml:space="preserve">became familiar: debt ceiling confrontations (2011, 2013), government</w:t>
      </w:r>
      <w:r>
        <w:t xml:space="preserve"> </w:t>
      </w:r>
      <w:r>
        <w:t xml:space="preserve">shutdowns (2013), sequestration replacing deliberate appropriations, and</w:t>
      </w:r>
      <w:r>
        <w:t xml:space="preserve"> </w:t>
      </w:r>
      <w:r>
        <w:t xml:space="preserve">executive action substituting for legislative process. The Budget</w:t>
      </w:r>
      <w:r>
        <w:t xml:space="preserve"> </w:t>
      </w:r>
      <w:r>
        <w:t xml:space="preserve">Control Act of 2011, extracted under debt ceiling pressure, imposed</w:t>
      </w:r>
      <w:r>
        <w:t xml:space="preserve"> </w:t>
      </w:r>
      <w:r>
        <w:t xml:space="preserve">automatic spending cuts (</w:t>
      </w:r>
      <w:r>
        <w:t xml:space="preserve">“</w:t>
      </w:r>
      <w:r>
        <w:t xml:space="preserve">sequestration</w:t>
      </w:r>
      <w:r>
        <w:t xml:space="preserve">”</w:t>
      </w:r>
      <w:r>
        <w:t xml:space="preserve">) that reduced discretionary</w:t>
      </w:r>
      <w:r>
        <w:t xml:space="preserve"> </w:t>
      </w:r>
      <w:r>
        <w:t xml:space="preserve">spending by approximately $1 trillion over ten years—including</w:t>
      </w:r>
      <w:r>
        <w:t xml:space="preserve"> </w:t>
      </w:r>
      <w:r>
        <w:t xml:space="preserve">significant defense cuts that military planners regarded as</w:t>
      </w:r>
      <w:r>
        <w:t xml:space="preserve"> </w:t>
      </w:r>
      <w:r>
        <w:t xml:space="preserve">operationally damaging.</w:t>
      </w:r>
    </w:p>
    <w:bookmarkEnd w:id="35"/>
    <w:bookmarkStart w:id="36" w:name="X002243c70097be814aad1c00b3a891588f261c5"/>
    <w:p>
      <w:pPr>
        <w:pStyle w:val="Heading3"/>
      </w:pPr>
      <w:r>
        <w:t xml:space="preserve">Quantitative Governance Indicators (2008-2016)</w:t>
      </w:r>
    </w:p>
    <w:tbl>
      <w:tblPr>
        <w:tblStyle w:val="Table"/>
        <w:tblW w:type="pct" w:w="4867"/>
        <w:tblLook w:firstRow="1" w:lastRow="0" w:firstColumn="0" w:lastColumn="0" w:noHBand="0" w:noVBand="0" w:val="0020"/>
        <w:jc w:val="start"/>
      </w:tblPr>
      <w:tblGrid>
        <w:gridCol w:w="2217"/>
        <w:gridCol w:w="1161"/>
        <w:gridCol w:w="1161"/>
        <w:gridCol w:w="1584"/>
        <w:gridCol w:w="1584"/>
      </w:tblGrid>
      <w:tr>
        <w:trPr>
          <w:tblHeader w:val="true"/>
        </w:trPr>
        <w:tc>
          <w:tcPr/>
          <w:p>
            <w:pPr>
              <w:pStyle w:val="Compact"/>
              <w:jc w:val="left"/>
            </w:pPr>
            <w:r>
              <w:t xml:space="preserve">Indicator</w:t>
            </w:r>
          </w:p>
        </w:tc>
        <w:tc>
          <w:tcPr/>
          <w:p>
            <w:pPr>
              <w:pStyle w:val="Compact"/>
              <w:jc w:val="left"/>
            </w:pPr>
            <w:r>
              <w:t xml:space="preserve">2008</w:t>
            </w:r>
          </w:p>
        </w:tc>
        <w:tc>
          <w:tcPr/>
          <w:p>
            <w:pPr>
              <w:pStyle w:val="Compact"/>
              <w:jc w:val="left"/>
            </w:pPr>
            <w:r>
              <w:t xml:space="preserve">2016</w:t>
            </w:r>
          </w:p>
        </w:tc>
        <w:tc>
          <w:tcPr/>
          <w:p>
            <w:pPr>
              <w:pStyle w:val="Compact"/>
              <w:jc w:val="left"/>
            </w:pPr>
            <w:r>
              <w:t xml:space="preserve">Change</w:t>
            </w:r>
          </w:p>
        </w:tc>
        <w:tc>
          <w:tcPr/>
          <w:p>
            <w:pPr>
              <w:pStyle w:val="Compact"/>
              <w:jc w:val="left"/>
            </w:pPr>
            <w:r>
              <w:t xml:space="preserve">Source</w:t>
            </w:r>
          </w:p>
        </w:tc>
      </w:tr>
      <w:tr>
        <w:tc>
          <w:tcPr/>
          <w:p>
            <w:pPr>
              <w:pStyle w:val="Compact"/>
              <w:jc w:val="left"/>
            </w:pPr>
            <w:r>
              <w:t xml:space="preserve">V-Dem Liberal</w:t>
            </w:r>
            <w:r>
              <w:t xml:space="preserve"> </w:t>
            </w:r>
            <w:r>
              <w:t xml:space="preserve">Democracy Index</w:t>
            </w:r>
          </w:p>
        </w:tc>
        <w:tc>
          <w:tcPr/>
          <w:p>
            <w:pPr>
              <w:pStyle w:val="Compact"/>
              <w:jc w:val="left"/>
            </w:pPr>
            <w:r>
              <w:t xml:space="preserve">0.78</w:t>
            </w:r>
          </w:p>
        </w:tc>
        <w:tc>
          <w:tcPr/>
          <w:p>
            <w:pPr>
              <w:pStyle w:val="Compact"/>
              <w:jc w:val="left"/>
            </w:pPr>
            <w:r>
              <w:t xml:space="preserve">0.77</w:t>
            </w:r>
          </w:p>
        </w:tc>
        <w:tc>
          <w:tcPr/>
          <w:p>
            <w:pPr>
              <w:pStyle w:val="Compact"/>
              <w:jc w:val="left"/>
            </w:pPr>
            <w:r>
              <w:t xml:space="preserve">-0.01 (-1.3%)</w:t>
            </w:r>
          </w:p>
        </w:tc>
        <w:tc>
          <w:tcPr/>
          <w:p>
            <w:pPr>
              <w:pStyle w:val="Compact"/>
              <w:jc w:val="left"/>
            </w:pPr>
            <w:r>
              <w:t xml:space="preserve">V-Dem</w:t>
            </w:r>
            <w:r>
              <w:t xml:space="preserve"> </w:t>
            </w:r>
            <w:r>
              <w:t xml:space="preserve">Institute</w:t>
            </w:r>
          </w:p>
        </w:tc>
      </w:tr>
      <w:tr>
        <w:tc>
          <w:tcPr/>
          <w:p>
            <w:pPr>
              <w:pStyle w:val="Compact"/>
              <w:jc w:val="left"/>
            </w:pPr>
            <w:r>
              <w:t xml:space="preserve">Freedom House Score</w:t>
            </w:r>
          </w:p>
        </w:tc>
        <w:tc>
          <w:tcPr/>
          <w:p>
            <w:pPr>
              <w:pStyle w:val="Compact"/>
              <w:jc w:val="left"/>
            </w:pPr>
            <w:r>
              <w:t xml:space="preserve">94/100</w:t>
            </w:r>
          </w:p>
        </w:tc>
        <w:tc>
          <w:tcPr/>
          <w:p>
            <w:pPr>
              <w:pStyle w:val="Compact"/>
              <w:jc w:val="left"/>
            </w:pPr>
            <w:r>
              <w:t xml:space="preserve">89/100</w:t>
            </w:r>
          </w:p>
        </w:tc>
        <w:tc>
          <w:tcPr/>
          <w:p>
            <w:pPr>
              <w:pStyle w:val="Compact"/>
              <w:jc w:val="left"/>
            </w:pPr>
            <w:r>
              <w:t xml:space="preserve">-5 (-5.3%)</w:t>
            </w:r>
          </w:p>
        </w:tc>
        <w:tc>
          <w:tcPr/>
          <w:p>
            <w:pPr>
              <w:pStyle w:val="Compact"/>
              <w:jc w:val="left"/>
            </w:pPr>
            <w:r>
              <w:t xml:space="preserve">Freedom House</w:t>
            </w:r>
          </w:p>
        </w:tc>
      </w:tr>
      <w:tr>
        <w:tc>
          <w:tcPr/>
          <w:p>
            <w:pPr>
              <w:pStyle w:val="Compact"/>
              <w:jc w:val="left"/>
            </w:pPr>
            <w:r>
              <w:t xml:space="preserve">Congressional</w:t>
            </w:r>
            <w:r>
              <w:t xml:space="preserve"> </w:t>
            </w:r>
            <w:r>
              <w:t xml:space="preserve">Approval</w:t>
            </w:r>
          </w:p>
        </w:tc>
        <w:tc>
          <w:tcPr/>
          <w:p>
            <w:pPr>
              <w:pStyle w:val="Compact"/>
              <w:jc w:val="left"/>
            </w:pPr>
            <w:r>
              <w:t xml:space="preserve">18%</w:t>
            </w:r>
          </w:p>
        </w:tc>
        <w:tc>
          <w:tcPr/>
          <w:p>
            <w:pPr>
              <w:pStyle w:val="Compact"/>
              <w:jc w:val="left"/>
            </w:pPr>
            <w:r>
              <w:t xml:space="preserve">13%</w:t>
            </w:r>
          </w:p>
        </w:tc>
        <w:tc>
          <w:tcPr/>
          <w:p>
            <w:pPr>
              <w:pStyle w:val="Compact"/>
              <w:jc w:val="left"/>
            </w:pPr>
            <w:r>
              <w:t xml:space="preserve">-5 pts</w:t>
            </w:r>
          </w:p>
        </w:tc>
        <w:tc>
          <w:tcPr/>
          <w:p>
            <w:pPr>
              <w:pStyle w:val="Compact"/>
              <w:jc w:val="left"/>
            </w:pPr>
            <w:r>
              <w:t xml:space="preserve">Gallup</w:t>
            </w:r>
          </w:p>
        </w:tc>
      </w:tr>
      <w:tr>
        <w:tc>
          <w:tcPr/>
          <w:p>
            <w:pPr>
              <w:pStyle w:val="Compact"/>
              <w:jc w:val="left"/>
            </w:pPr>
            <w:r>
              <w:t xml:space="preserve">Trust in Federal</w:t>
            </w:r>
            <w:r>
              <w:t xml:space="preserve"> </w:t>
            </w:r>
            <w:r>
              <w:t xml:space="preserve">Government</w:t>
            </w:r>
          </w:p>
        </w:tc>
        <w:tc>
          <w:tcPr/>
          <w:p>
            <w:pPr>
              <w:pStyle w:val="Compact"/>
              <w:jc w:val="left"/>
            </w:pPr>
            <w:r>
              <w:t xml:space="preserve">26%</w:t>
            </w:r>
          </w:p>
        </w:tc>
        <w:tc>
          <w:tcPr/>
          <w:p>
            <w:pPr>
              <w:pStyle w:val="Compact"/>
              <w:jc w:val="left"/>
            </w:pPr>
            <w:r>
              <w:t xml:space="preserve">19%</w:t>
            </w:r>
          </w:p>
        </w:tc>
        <w:tc>
          <w:tcPr/>
          <w:p>
            <w:pPr>
              <w:pStyle w:val="Compact"/>
              <w:jc w:val="left"/>
            </w:pPr>
            <w:r>
              <w:t xml:space="preserve">-7 pts</w:t>
            </w:r>
          </w:p>
        </w:tc>
        <w:tc>
          <w:tcPr/>
          <w:p>
            <w:pPr>
              <w:pStyle w:val="Compact"/>
              <w:jc w:val="left"/>
            </w:pPr>
            <w:r>
              <w:t xml:space="preserve">Pew Research</w:t>
            </w:r>
          </w:p>
        </w:tc>
      </w:tr>
      <w:tr>
        <w:tc>
          <w:tcPr/>
          <w:p>
            <w:pPr>
              <w:pStyle w:val="Compact"/>
              <w:jc w:val="left"/>
            </w:pPr>
            <w:r>
              <w:t xml:space="preserve">Polarization Index</w:t>
            </w:r>
            <w:r>
              <w:t xml:space="preserve"> </w:t>
            </w:r>
            <w:r>
              <w:t xml:space="preserve">(DW-NOMINATE)</w:t>
            </w:r>
          </w:p>
        </w:tc>
        <w:tc>
          <w:tcPr/>
          <w:p>
            <w:pPr>
              <w:pStyle w:val="Compact"/>
              <w:jc w:val="left"/>
            </w:pPr>
            <w:r>
              <w:t xml:space="preserve">0.87</w:t>
            </w:r>
          </w:p>
        </w:tc>
        <w:tc>
          <w:tcPr/>
          <w:p>
            <w:pPr>
              <w:pStyle w:val="Compact"/>
              <w:jc w:val="left"/>
            </w:pPr>
            <w:r>
              <w:t xml:space="preserve">0.93</w:t>
            </w:r>
          </w:p>
        </w:tc>
        <w:tc>
          <w:tcPr/>
          <w:p>
            <w:pPr>
              <w:pStyle w:val="Compact"/>
              <w:jc w:val="left"/>
            </w:pPr>
            <w:r>
              <w:t xml:space="preserve">+0.06 (+7%)</w:t>
            </w:r>
          </w:p>
        </w:tc>
        <w:tc>
          <w:tcPr/>
          <w:p>
            <w:pPr>
              <w:pStyle w:val="Compact"/>
              <w:jc w:val="left"/>
            </w:pPr>
            <w:r>
              <w:t xml:space="preserve">Voteview.com</w:t>
            </w:r>
          </w:p>
        </w:tc>
      </w:tr>
    </w:tbl>
    <w:p>
      <w:pPr>
        <w:pStyle w:val="BodyText"/>
      </w:pPr>
      <w:r>
        <w:rPr>
          <w:bCs/>
          <w:b/>
        </w:rPr>
        <w:t xml:space="preserve">Assessment:</w:t>
      </w:r>
      <w:r>
        <w:t xml:space="preserve"> </w:t>
      </w:r>
      <w:r>
        <w:t xml:space="preserve">Governance indicators show modest deterioration during</w:t>
      </w:r>
      <w:r>
        <w:t xml:space="preserve"> </w:t>
      </w:r>
      <w:r>
        <w:t xml:space="preserve">this period, with the most dramatic declines in public trust and</w:t>
      </w:r>
      <w:r>
        <w:t xml:space="preserve"> </w:t>
      </w:r>
      <w:r>
        <w:t xml:space="preserve">congressional function rather than in structural democracy measures. The</w:t>
      </w:r>
      <w:r>
        <w:t xml:space="preserve"> </w:t>
      </w:r>
      <w:r>
        <w:t xml:space="preserve">V-Dem and Freedom House movements are within normal fluctuation ranges;</w:t>
      </w:r>
      <w:r>
        <w:t xml:space="preserve"> </w:t>
      </w:r>
      <w:r>
        <w:t xml:space="preserve">the trust and approval collapses are more significant for legitimacy and</w:t>
      </w:r>
      <w:r>
        <w:t xml:space="preserve"> </w:t>
      </w:r>
      <w:r>
        <w:t xml:space="preserve">adaptive capacity.</w:t>
      </w:r>
    </w:p>
    <w:p>
      <w:pPr>
        <w:pStyle w:val="BodyText"/>
      </w:pPr>
      <w:r>
        <w:rPr>
          <w:bCs/>
          <w:b/>
        </w:rPr>
        <w:t xml:space="preserve">Score: 6.0 → 5.5 (-8%)</w:t>
      </w:r>
    </w:p>
    <w:bookmarkEnd w:id="36"/>
    <w:bookmarkStart w:id="37" w:name="the-aca-as-institutional-test-case"/>
    <w:p>
      <w:pPr>
        <w:pStyle w:val="Heading3"/>
      </w:pPr>
      <w:r>
        <w:t xml:space="preserve">The ACA as Institutional Test Case</w:t>
      </w:r>
    </w:p>
    <w:p>
      <w:pPr>
        <w:pStyle w:val="FirstParagraph"/>
      </w:pPr>
      <w:r>
        <w:t xml:space="preserve">The Affordable Care Act merits detailed analysis as a case study in</w:t>
      </w:r>
      <w:r>
        <w:t xml:space="preserve"> </w:t>
      </w:r>
      <w:r>
        <w:t xml:space="preserve">American institutional capacity and limitation. Passed in March 2010</w:t>
      </w:r>
      <w:r>
        <w:t xml:space="preserve"> </w:t>
      </w:r>
      <w:r>
        <w:t xml:space="preserve">after 14 months of legislative process, the ACA represented:</w:t>
      </w:r>
    </w:p>
    <w:p>
      <w:pPr>
        <w:pStyle w:val="BodyText"/>
      </w:pPr>
      <w:r>
        <w:rPr>
          <w:bCs/>
          <w:b/>
        </w:rPr>
        <w:t xml:space="preserve">Accomplishment:</w:t>
      </w:r>
      <w:r>
        <w:t xml:space="preserve"> </w:t>
      </w:r>
      <w:r>
        <w:t xml:space="preserve">- Coverage expansion: Uninsured rate fell from 16.0%</w:t>
      </w:r>
      <w:r>
        <w:t xml:space="preserve"> </w:t>
      </w:r>
      <w:r>
        <w:t xml:space="preserve">(2010) to 8.9% (2016), representing approximately 20 million newly</w:t>
      </w:r>
      <w:r>
        <w:t xml:space="preserve"> </w:t>
      </w:r>
      <w:r>
        <w:t xml:space="preserve">covered individuals - Medicaid expansion (in accepting states): Extended</w:t>
      </w:r>
      <w:r>
        <w:t xml:space="preserve"> </w:t>
      </w:r>
      <w:r>
        <w:t xml:space="preserve">coverage to adults up to 138% of federal poverty level - Insurance</w:t>
      </w:r>
      <w:r>
        <w:t xml:space="preserve"> </w:t>
      </w:r>
      <w:r>
        <w:t xml:space="preserve">market reforms: Prohibited denial for pre-existing conditions,</w:t>
      </w:r>
      <w:r>
        <w:t xml:space="preserve"> </w:t>
      </w:r>
      <w:r>
        <w:t xml:space="preserve">eliminated annual/lifetime limits, established essential health</w:t>
      </w:r>
      <w:r>
        <w:t xml:space="preserve"> </w:t>
      </w:r>
      <w:r>
        <w:t xml:space="preserve">benefits - Created infrastructure (exchanges, subsidies, mandate) for</w:t>
      </w:r>
      <w:r>
        <w:t xml:space="preserve"> </w:t>
      </w:r>
      <w:r>
        <w:t xml:space="preserve">individual market functioning</w:t>
      </w:r>
    </w:p>
    <w:p>
      <w:pPr>
        <w:pStyle w:val="BodyText"/>
      </w:pPr>
      <w:r>
        <w:rPr>
          <w:bCs/>
          <w:b/>
        </w:rPr>
        <w:t xml:space="preserve">Limitations:</w:t>
      </w:r>
      <w:r>
        <w:t xml:space="preserve"> </w:t>
      </w:r>
      <w:r>
        <w:t xml:space="preserve">- No cost control breakthrough: National health</w:t>
      </w:r>
      <w:r>
        <w:t xml:space="preserve"> </w:t>
      </w:r>
      <w:r>
        <w:t xml:space="preserve">expenditure as percentage of GDP continued rising (17.3% in 2009 to</w:t>
      </w:r>
      <w:r>
        <w:t xml:space="preserve"> </w:t>
      </w:r>
      <w:r>
        <w:t xml:space="preserve">17.7% in 2016) - Political vulnerability: Individual mandate became</w:t>
      </w:r>
      <w:r>
        <w:t xml:space="preserve"> </w:t>
      </w:r>
      <w:r>
        <w:t xml:space="preserve">focal point for opposition;</w:t>
      </w:r>
      <w:r>
        <w:t xml:space="preserve"> </w:t>
      </w:r>
      <w:r>
        <w:t xml:space="preserve">“</w:t>
      </w:r>
      <w:r>
        <w:t xml:space="preserve">repeal and replace</w:t>
      </w:r>
      <w:r>
        <w:t xml:space="preserve">”</w:t>
      </w:r>
      <w:r>
        <w:t xml:space="preserve"> </w:t>
      </w:r>
      <w:r>
        <w:t xml:space="preserve">became Republican</w:t>
      </w:r>
      <w:r>
        <w:t xml:space="preserve"> </w:t>
      </w:r>
      <w:r>
        <w:t xml:space="preserve">rallying cry - Implementation failures: Healthcare.gov launch (October</w:t>
      </w:r>
      <w:r>
        <w:t xml:space="preserve"> </w:t>
      </w:r>
      <w:r>
        <w:t xml:space="preserve">2013) was catastrophic, with only 6 enrollees on day one; recovery</w:t>
      </w:r>
      <w:r>
        <w:t xml:space="preserve"> </w:t>
      </w:r>
      <w:r>
        <w:t xml:space="preserve">required months - Federalism friction: Supreme Court ruling (NFIB v.</w:t>
      </w:r>
      <w:r>
        <w:t xml:space="preserve"> </w:t>
      </w:r>
      <w:r>
        <w:t xml:space="preserve">Sebelius, 2012) made Medicaid expansion optional; 19 states initially</w:t>
      </w:r>
      <w:r>
        <w:t xml:space="preserve"> </w:t>
      </w:r>
      <w:r>
        <w:t xml:space="preserve">refused, creating coverage gaps</w:t>
      </w:r>
    </w:p>
    <w:p>
      <w:pPr>
        <w:pStyle w:val="BodyText"/>
      </w:pPr>
      <w:r>
        <w:t xml:space="preserve">The ACA illustrates the distinctive character of American institutional</w:t>
      </w:r>
      <w:r>
        <w:t xml:space="preserve"> </w:t>
      </w:r>
      <w:r>
        <w:t xml:space="preserve">adaptation: capable of significant reform but at high political cost,</w:t>
      </w:r>
      <w:r>
        <w:t xml:space="preserve"> </w:t>
      </w:r>
      <w:r>
        <w:t xml:space="preserve">with extended implementation timelines, and persistent vulnerability to</w:t>
      </w:r>
      <w:r>
        <w:t xml:space="preserve"> </w:t>
      </w:r>
      <w:r>
        <w:t xml:space="preserve">subsequent reversal.</w:t>
      </w:r>
    </w:p>
    <w:bookmarkEnd w:id="37"/>
    <w:bookmarkEnd w:id="38"/>
    <w:bookmarkStart w:id="40" w:name="X395a987ab86312de018a07d60e80ba579b71c01"/>
    <w:p>
      <w:pPr>
        <w:pStyle w:val="Heading2"/>
      </w:pPr>
      <w:r>
        <w:t xml:space="preserve">Domain 2: Legal and Institutional Framework (2008-2016)</w:t>
      </w:r>
    </w:p>
    <w:bookmarkStart w:id="39" w:name="Xdff11a304594a4418678ce6027e5cbdc4fff3b6"/>
    <w:p>
      <w:pPr>
        <w:pStyle w:val="Heading3"/>
      </w:pPr>
      <w:r>
        <w:t xml:space="preserve">Post-Crisis Financial Regulation: Dodd-Frank</w:t>
      </w:r>
    </w:p>
    <w:p>
      <w:pPr>
        <w:pStyle w:val="FirstParagraph"/>
      </w:pPr>
      <w:r>
        <w:t xml:space="preserve">The Dodd-Frank Wall Street Reform and Consumer Protection Act (July</w:t>
      </w:r>
      <w:r>
        <w:t xml:space="preserve"> </w:t>
      </w:r>
      <w:r>
        <w:t xml:space="preserve">2010) represented the most comprehensive financial regulatory reform</w:t>
      </w:r>
      <w:r>
        <w:t xml:space="preserve"> </w:t>
      </w:r>
      <w:r>
        <w:t xml:space="preserve">since the New Deal. Its 848 pages addressed perceived causes of the</w:t>
      </w:r>
      <w:r>
        <w:t xml:space="preserve"> </w:t>
      </w:r>
      <w:r>
        <w:t xml:space="preserve">crisis:</w:t>
      </w:r>
    </w:p>
    <w:p>
      <w:pPr>
        <w:pStyle w:val="BodyText"/>
      </w:pPr>
      <w:r>
        <w:rPr>
          <w:bCs/>
          <w:b/>
        </w:rPr>
        <w:t xml:space="preserve">Key Provisions:</w:t>
      </w:r>
      <w:r>
        <w:t xml:space="preserve"> </w:t>
      </w:r>
      <w:r>
        <w:t xml:space="preserve">-</w:t>
      </w:r>
      <w:r>
        <w:t xml:space="preserve"> </w:t>
      </w:r>
      <w:r>
        <w:rPr>
          <w:bCs/>
          <w:b/>
        </w:rPr>
        <w:t xml:space="preserve">Volcker Rule:</w:t>
      </w:r>
      <w:r>
        <w:t xml:space="preserve"> </w:t>
      </w:r>
      <w:r>
        <w:t xml:space="preserve">Restricted proprietary trading</w:t>
      </w:r>
      <w:r>
        <w:t xml:space="preserve"> </w:t>
      </w:r>
      <w:r>
        <w:t xml:space="preserve">by banks with insured deposits -</w:t>
      </w:r>
      <w:r>
        <w:t xml:space="preserve"> </w:t>
      </w:r>
      <w:r>
        <w:rPr>
          <w:bCs/>
          <w:b/>
        </w:rPr>
        <w:t xml:space="preserve">Derivatives Regulation:</w:t>
      </w:r>
      <w:r>
        <w:t xml:space="preserve"> </w:t>
      </w:r>
      <w:r>
        <w:t xml:space="preserve">Required</w:t>
      </w:r>
      <w:r>
        <w:t xml:space="preserve"> </w:t>
      </w:r>
      <w:r>
        <w:t xml:space="preserve">standardized derivatives to be cleared through central counterparties</w:t>
      </w:r>
      <w:r>
        <w:t xml:space="preserve"> </w:t>
      </w:r>
      <w:r>
        <w:t xml:space="preserve">and traded on exchanges -</w:t>
      </w:r>
      <w:r>
        <w:t xml:space="preserve"> </w:t>
      </w:r>
      <w:r>
        <w:rPr>
          <w:bCs/>
          <w:b/>
        </w:rPr>
        <w:t xml:space="preserve">Consumer Financial Protection Bureau</w:t>
      </w:r>
      <w:r>
        <w:rPr>
          <w:bCs/>
          <w:b/>
        </w:rPr>
        <w:t xml:space="preserve"> </w:t>
      </w:r>
      <w:r>
        <w:rPr>
          <w:bCs/>
          <w:b/>
        </w:rPr>
        <w:t xml:space="preserve">(CFPB):</w:t>
      </w:r>
      <w:r>
        <w:t xml:space="preserve"> </w:t>
      </w:r>
      <w:r>
        <w:t xml:space="preserve">New independent agency with enforcement authority over</w:t>
      </w:r>
      <w:r>
        <w:t xml:space="preserve"> </w:t>
      </w:r>
      <w:r>
        <w:t xml:space="preserve">consumer financial products -</w:t>
      </w:r>
      <w:r>
        <w:t xml:space="preserve"> </w:t>
      </w:r>
      <w:r>
        <w:rPr>
          <w:bCs/>
          <w:b/>
        </w:rPr>
        <w:t xml:space="preserve">Orderly Liquidation Authority:</w:t>
      </w:r>
      <w:r>
        <w:t xml:space="preserve"> </w:t>
      </w:r>
      <w:r>
        <w:t xml:space="preserve">Framework for resolving systemically important financial institutions</w:t>
      </w:r>
      <w:r>
        <w:t xml:space="preserve"> </w:t>
      </w:r>
      <w:r>
        <w:t xml:space="preserve">without taxpayer bailout -</w:t>
      </w:r>
      <w:r>
        <w:t xml:space="preserve"> </w:t>
      </w:r>
      <w:r>
        <w:rPr>
          <w:bCs/>
          <w:b/>
        </w:rPr>
        <w:t xml:space="preserve">Financial Stability Oversight Council</w:t>
      </w:r>
      <w:r>
        <w:rPr>
          <w:bCs/>
          <w:b/>
        </w:rPr>
        <w:t xml:space="preserve"> </w:t>
      </w:r>
      <w:r>
        <w:rPr>
          <w:bCs/>
          <w:b/>
        </w:rPr>
        <w:t xml:space="preserve">(FSOC):</w:t>
      </w:r>
      <w:r>
        <w:t xml:space="preserve"> </w:t>
      </w:r>
      <w:r>
        <w:t xml:space="preserve">Interagency body to identify and respond to systemic risks -</w:t>
      </w:r>
      <w:r>
        <w:t xml:space="preserve"> </w:t>
      </w:r>
      <w:r>
        <w:rPr>
          <w:bCs/>
          <w:b/>
        </w:rPr>
        <w:t xml:space="preserve">Living Wills:</w:t>
      </w:r>
      <w:r>
        <w:t xml:space="preserve"> </w:t>
      </w:r>
      <w:r>
        <w:t xml:space="preserve">Required large banks to submit resolution plans</w:t>
      </w:r>
      <w:r>
        <w:t xml:space="preserve"> </w:t>
      </w:r>
      <w:r>
        <w:t xml:space="preserve">demonstrating capacity for orderly failure</w:t>
      </w:r>
    </w:p>
    <w:p>
      <w:pPr>
        <w:pStyle w:val="BodyText"/>
      </w:pPr>
      <w:r>
        <w:rPr>
          <w:bCs/>
          <w:b/>
        </w:rPr>
        <w:t xml:space="preserve">Implementation Challenges:</w:t>
      </w:r>
      <w:r>
        <w:t xml:space="preserve"> </w:t>
      </w:r>
      <w:r>
        <w:t xml:space="preserve">- Rule-writing delays: By 2016, only</w:t>
      </w:r>
      <w:r>
        <w:t xml:space="preserve"> </w:t>
      </w:r>
      <w:r>
        <w:t xml:space="preserve">approximately 70% of required rules had been finalized - Industry</w:t>
      </w:r>
      <w:r>
        <w:t xml:space="preserve"> </w:t>
      </w:r>
      <w:r>
        <w:t xml:space="preserve">litigation: Multiple provisions faced court challenges; MetLife</w:t>
      </w:r>
      <w:r>
        <w:t xml:space="preserve"> </w:t>
      </w:r>
      <w:r>
        <w:t xml:space="preserve">successfully contested its SIFI designation - Complexity costs:</w:t>
      </w:r>
      <w:r>
        <w:t xml:space="preserve"> </w:t>
      </w:r>
      <w:r>
        <w:t xml:space="preserve">Community banks faced disproportionate compliance burdens despite not</w:t>
      </w:r>
      <w:r>
        <w:t xml:space="preserve"> </w:t>
      </w:r>
      <w:r>
        <w:t xml:space="preserve">posing systemic risk - International coordination: Dodd-Frank’s</w:t>
      </w:r>
      <w:r>
        <w:t xml:space="preserve"> </w:t>
      </w:r>
      <w:r>
        <w:t xml:space="preserve">extraterritorial reach created friction with European and Asian</w:t>
      </w:r>
      <w:r>
        <w:t xml:space="preserve"> </w:t>
      </w:r>
      <w:r>
        <w:t xml:space="preserve">regulators</w:t>
      </w:r>
    </w:p>
    <w:p>
      <w:pPr>
        <w:pStyle w:val="BodyText"/>
      </w:pPr>
      <w:r>
        <w:rPr>
          <w:bCs/>
          <w:b/>
        </w:rPr>
        <w:t xml:space="preserve">Effectiveness Assessment:</w:t>
      </w:r>
    </w:p>
    <w:p>
      <w:pPr>
        <w:pStyle w:val="BodyText"/>
      </w:pPr>
      <w:r>
        <w:t xml:space="preserve">The scholarly consensus on Dodd-Frank remains contested. Proponents</w:t>
      </w:r>
      <w:r>
        <w:t xml:space="preserve"> </w:t>
      </w:r>
      <w:r>
        <w:t xml:space="preserve">(Barr 2012, Tarullo 2019) emphasize that capital requirements increased</w:t>
      </w:r>
      <w:r>
        <w:t xml:space="preserve"> </w:t>
      </w:r>
      <w:r>
        <w:t xml:space="preserve">substantially, large bank leverage declined, and the resolution</w:t>
      </w:r>
      <w:r>
        <w:t xml:space="preserve"> </w:t>
      </w:r>
      <w:r>
        <w:t xml:space="preserve">framework provided tools absent in 2008. Critics (Calomiris &amp; Haber</w:t>
      </w:r>
      <w:r>
        <w:t xml:space="preserve"> </w:t>
      </w:r>
      <w:r>
        <w:t xml:space="preserve">2014, Cochrane 2014) argue that the legislation entrenched</w:t>
      </w:r>
      <w:r>
        <w:t xml:space="preserve"> </w:t>
      </w:r>
      <w:r>
        <w:t xml:space="preserve">“</w:t>
      </w:r>
      <w:r>
        <w:t xml:space="preserve">too big to</w:t>
      </w:r>
      <w:r>
        <w:t xml:space="preserve"> </w:t>
      </w:r>
      <w:r>
        <w:t xml:space="preserve">fail</w:t>
      </w:r>
      <w:r>
        <w:t xml:space="preserve">”</w:t>
      </w:r>
      <w:r>
        <w:t xml:space="preserve"> </w:t>
      </w:r>
      <w:r>
        <w:t xml:space="preserve">expectations, imposed deadweight compliance costs, and failed to</w:t>
      </w:r>
      <w:r>
        <w:t xml:space="preserve"> </w:t>
      </w:r>
      <w:r>
        <w:t xml:space="preserve">address government-sponsored enterprise (GSE) reform—leaving Fannie</w:t>
      </w:r>
      <w:r>
        <w:t xml:space="preserve"> </w:t>
      </w:r>
      <w:r>
        <w:t xml:space="preserve">Mae and Freddie Mac in conservatorship indefinitely.</w:t>
      </w:r>
    </w:p>
    <w:p>
      <w:pPr>
        <w:pStyle w:val="BodyText"/>
      </w:pPr>
      <w:r>
        <w:t xml:space="preserve">The empirical evidence is mixed: - Large bank capital ratios improved:</w:t>
      </w:r>
      <w:r>
        <w:t xml:space="preserve"> </w:t>
      </w:r>
      <w:r>
        <w:t xml:space="preserve">Common Equity Tier 1 ratios rose from ~7% (2009) to ~12% (2016) for</w:t>
      </w:r>
      <w:r>
        <w:t xml:space="preserve"> </w:t>
      </w:r>
      <w:r>
        <w:t xml:space="preserve">GSIBs - Banking concentration increased: The six largest banks’ share of</w:t>
      </w:r>
      <w:r>
        <w:t xml:space="preserve"> </w:t>
      </w:r>
      <w:r>
        <w:t xml:space="preserve">total assets rose from 64% (2008) to 67% (2016) - Community bank numbers</w:t>
      </w:r>
      <w:r>
        <w:t xml:space="preserve"> </w:t>
      </w:r>
      <w:r>
        <w:t xml:space="preserve">declined: From approximately 7,500 (2008) to 5,800 (2016), though this</w:t>
      </w:r>
      <w:r>
        <w:t xml:space="preserve"> </w:t>
      </w:r>
      <w:r>
        <w:t xml:space="preserve">trend predated Dodd-Frank</w:t>
      </w:r>
    </w:p>
    <w:p>
      <w:pPr>
        <w:pStyle w:val="BodyText"/>
      </w:pPr>
      <w:r>
        <w:rPr>
          <w:bCs/>
          <w:b/>
        </w:rPr>
        <w:t xml:space="preserve">Score: 6.0 → 6.0 (unchanged)</w:t>
      </w:r>
    </w:p>
    <w:p>
      <w:pPr>
        <w:pStyle w:val="BodyText"/>
      </w:pPr>
      <w:r>
        <w:t xml:space="preserve">The legal/institutional framework during 2008-2016 maintained</w:t>
      </w:r>
      <w:r>
        <w:t xml:space="preserve"> </w:t>
      </w:r>
      <w:r>
        <w:t xml:space="preserve">functionality while undergoing significant reform. The inability to</w:t>
      </w:r>
      <w:r>
        <w:t xml:space="preserve"> </w:t>
      </w:r>
      <w:r>
        <w:t xml:space="preserve">fully resolve</w:t>
      </w:r>
      <w:r>
        <w:t xml:space="preserve"> </w:t>
      </w:r>
      <w:r>
        <w:t xml:space="preserve">“</w:t>
      </w:r>
      <w:r>
        <w:t xml:space="preserve">too big to fail</w:t>
      </w:r>
      <w:r>
        <w:t xml:space="preserve">”</w:t>
      </w:r>
      <w:r>
        <w:t xml:space="preserve"> </w:t>
      </w:r>
      <w:r>
        <w:t xml:space="preserve">and GSE questions represents incomplete</w:t>
      </w:r>
      <w:r>
        <w:t xml:space="preserve"> </w:t>
      </w:r>
      <w:r>
        <w:t xml:space="preserve">adaptation rather than deterioration.</w:t>
      </w:r>
    </w:p>
    <w:bookmarkEnd w:id="39"/>
    <w:bookmarkEnd w:id="40"/>
    <w:bookmarkStart w:id="42" w:name="domain-3-military-and-defense-2008-2016"/>
    <w:p>
      <w:pPr>
        <w:pStyle w:val="Heading2"/>
      </w:pPr>
      <w:r>
        <w:t xml:space="preserve">Domain 3: Military and Defense (2008-2016)</w:t>
      </w:r>
    </w:p>
    <w:bookmarkStart w:id="41" w:name="X9445cf4ddb0471ebc255da810d85e2b12b89e76"/>
    <w:p>
      <w:pPr>
        <w:pStyle w:val="Heading3"/>
      </w:pPr>
      <w:r>
        <w:t xml:space="preserve">The Pivot from COIN to Great Power Competition</w:t>
      </w:r>
    </w:p>
    <w:p>
      <w:pPr>
        <w:pStyle w:val="FirstParagraph"/>
      </w:pPr>
      <w:r>
        <w:t xml:space="preserve">The 2008-2016 period witnessed a fundamental reorientation of American</w:t>
      </w:r>
      <w:r>
        <w:t xml:space="preserve"> </w:t>
      </w:r>
      <w:r>
        <w:t xml:space="preserve">military posture. The Iraq War drew down from 157,000 troops (2008) to</w:t>
      </w:r>
      <w:r>
        <w:t xml:space="preserve"> </w:t>
      </w:r>
      <w:r>
        <w:t xml:space="preserve">approximately 5,000 (2016); Afghanistan peaked at 100,000 (2011) before</w:t>
      </w:r>
      <w:r>
        <w:t xml:space="preserve"> </w:t>
      </w:r>
      <w:r>
        <w:t xml:space="preserve">declining to 8,500 (2016). This</w:t>
      </w:r>
      <w:r>
        <w:t xml:space="preserve"> </w:t>
      </w:r>
      <w:r>
        <w:t xml:space="preserve">“</w:t>
      </w:r>
      <w:r>
        <w:t xml:space="preserve">end of endless wars</w:t>
      </w:r>
      <w:r>
        <w:t xml:space="preserve">”</w:t>
      </w:r>
      <w:r>
        <w:t xml:space="preserve"> </w:t>
      </w:r>
      <w:r>
        <w:t xml:space="preserve">narrative—though</w:t>
      </w:r>
      <w:r>
        <w:t xml:space="preserve"> </w:t>
      </w:r>
      <w:r>
        <w:t xml:space="preserve">neither war fully ended—enabled strategic reorientation.</w:t>
      </w:r>
    </w:p>
    <w:p>
      <w:pPr>
        <w:pStyle w:val="BodyText"/>
      </w:pPr>
      <w:r>
        <w:rPr>
          <w:bCs/>
          <w:b/>
        </w:rPr>
        <w:t xml:space="preserve">The</w:t>
      </w:r>
      <w:r>
        <w:rPr>
          <w:bCs/>
          <w:b/>
        </w:rPr>
        <w:t xml:space="preserve"> </w:t>
      </w:r>
      <w:r>
        <w:rPr>
          <w:bCs/>
          <w:b/>
        </w:rPr>
        <w:t xml:space="preserve">“</w:t>
      </w:r>
      <w:r>
        <w:rPr>
          <w:bCs/>
          <w:b/>
        </w:rPr>
        <w:t xml:space="preserve">Pivot to Asia</w:t>
      </w:r>
      <w:r>
        <w:rPr>
          <w:bCs/>
          <w:b/>
        </w:rPr>
        <w:t xml:space="preserve">”</w:t>
      </w:r>
      <w:r>
        <w:rPr>
          <w:bCs/>
          <w:b/>
        </w:rPr>
        <w:t xml:space="preserve"> </w:t>
      </w:r>
      <w:r>
        <w:rPr>
          <w:bCs/>
          <w:b/>
        </w:rPr>
        <w:t xml:space="preserve">(2011):</w:t>
      </w:r>
      <w:r>
        <w:t xml:space="preserve"> </w:t>
      </w:r>
      <w:r>
        <w:t xml:space="preserve">Secretary of State Hillary Clinton’s</w:t>
      </w:r>
      <w:r>
        <w:t xml:space="preserve"> </w:t>
      </w:r>
      <w:r>
        <w:t xml:space="preserve">November 2011 Foreign Policy article</w:t>
      </w:r>
      <w:r>
        <w:t xml:space="preserve"> </w:t>
      </w:r>
      <w:r>
        <w:t xml:space="preserve">“</w:t>
      </w:r>
      <w:r>
        <w:t xml:space="preserve">America’s Pacific Century</w:t>
      </w:r>
      <w:r>
        <w:t xml:space="preserve">”</w:t>
      </w:r>
      <w:r>
        <w:t xml:space="preserve"> </w:t>
      </w:r>
      <w:r>
        <w:t xml:space="preserve">announced the strategic rebalancing. Concrete manifestations included: -</w:t>
      </w:r>
      <w:r>
        <w:t xml:space="preserve"> </w:t>
      </w:r>
      <w:r>
        <w:t xml:space="preserve">Marine rotational deployments to Darwin, Australia (2012) - Enhanced</w:t>
      </w:r>
      <w:r>
        <w:t xml:space="preserve"> </w:t>
      </w:r>
      <w:r>
        <w:t xml:space="preserve">defense cooperation with Philippines (2014 Enhanced Defense Cooperation</w:t>
      </w:r>
      <w:r>
        <w:t xml:space="preserve"> </w:t>
      </w:r>
      <w:r>
        <w:t xml:space="preserve">Agreement) - Littoral Combat Ship homeporting in Singapore -</w:t>
      </w:r>
      <w:r>
        <w:t xml:space="preserve"> </w:t>
      </w:r>
      <w:r>
        <w:t xml:space="preserve">Trans-Pacific Partnership negotiations as economic complement to</w:t>
      </w:r>
      <w:r>
        <w:t xml:space="preserve"> </w:t>
      </w:r>
      <w:r>
        <w:t xml:space="preserve">security pivot</w:t>
      </w:r>
    </w:p>
    <w:p>
      <w:pPr>
        <w:pStyle w:val="BodyText"/>
      </w:pPr>
      <w:r>
        <w:rPr>
          <w:bCs/>
          <w:b/>
        </w:rPr>
        <w:t xml:space="preserve">Sequestration and Readiness:</w:t>
      </w:r>
      <w:r>
        <w:t xml:space="preserve"> </w:t>
      </w:r>
      <w:r>
        <w:t xml:space="preserve">The Budget Control Act’s sequestration</w:t>
      </w:r>
      <w:r>
        <w:t xml:space="preserve"> </w:t>
      </w:r>
      <w:r>
        <w:t xml:space="preserve">mechanism imposed approximately $500 billion in defense cuts over</w:t>
      </w:r>
      <w:r>
        <w:t xml:space="preserve"> </w:t>
      </w:r>
      <w:r>
        <w:t xml:space="preserve">2013-2021. Military leaders testified to readiness degradation: - Army</w:t>
      </w:r>
      <w:r>
        <w:t xml:space="preserve"> </w:t>
      </w:r>
      <w:r>
        <w:t xml:space="preserve">Chief of Staff Odierno (2015): Only 33% of Army brigade combat teams at</w:t>
      </w:r>
      <w:r>
        <w:t xml:space="preserve"> </w:t>
      </w:r>
      <w:r>
        <w:t xml:space="preserve">acceptable readiness levels - Navy Ship count declined from 285 (2008)</w:t>
      </w:r>
      <w:r>
        <w:t xml:space="preserve"> </w:t>
      </w:r>
      <w:r>
        <w:t xml:space="preserve">to 272 (2016) - Air Force flying hours reduced; aging fleet maintenance</w:t>
      </w:r>
      <w:r>
        <w:t xml:space="preserve"> </w:t>
      </w:r>
      <w:r>
        <w:t xml:space="preserve">deferred</w:t>
      </w:r>
    </w:p>
    <w:p>
      <w:pPr>
        <w:pStyle w:val="BodyText"/>
      </w:pPr>
      <w:r>
        <w:rPr>
          <w:bCs/>
          <w:b/>
        </w:rPr>
        <w:t xml:space="preserve">Technological Investments:</w:t>
      </w:r>
      <w:r>
        <w:t xml:space="preserve"> </w:t>
      </w:r>
      <w:r>
        <w:t xml:space="preserve">Despite budget pressures, critical</w:t>
      </w:r>
      <w:r>
        <w:t xml:space="preserve"> </w:t>
      </w:r>
      <w:r>
        <w:t xml:space="preserve">modernization continued: - F-35 program progressed toward initial</w:t>
      </w:r>
      <w:r>
        <w:t xml:space="preserve"> </w:t>
      </w:r>
      <w:r>
        <w:t xml:space="preserve">operational capability (Marine Corps: 2015; Air Force: 2016) -</w:t>
      </w:r>
      <w:r>
        <w:t xml:space="preserve"> </w:t>
      </w:r>
      <w:r>
        <w:t xml:space="preserve">Ohio-class replacement (Columbia-class) program initiated - Cyber</w:t>
      </w:r>
      <w:r>
        <w:t xml:space="preserve"> </w:t>
      </w:r>
      <w:r>
        <w:t xml:space="preserve">Command elevated to unified combatant command (2018) - Third Offset</w:t>
      </w:r>
      <w:r>
        <w:t xml:space="preserve"> </w:t>
      </w:r>
      <w:r>
        <w:t xml:space="preserve">Strategy announced (2014): AI, autonomous systems, human-machine teaming</w:t>
      </w:r>
    </w:p>
    <w:p>
      <w:pPr>
        <w:pStyle w:val="BodyText"/>
      </w:pPr>
      <w:r>
        <w:rPr>
          <w:bCs/>
          <w:b/>
        </w:rPr>
        <w:t xml:space="preserve">Alliance Architecture:</w:t>
      </w:r>
      <w:r>
        <w:t xml:space="preserve"> </w:t>
      </w:r>
      <w:r>
        <w:t xml:space="preserve">NATO commitment remained central despite</w:t>
      </w:r>
      <w:r>
        <w:t xml:space="preserve"> </w:t>
      </w:r>
      <w:r>
        <w:t xml:space="preserve">questions about European burden-sharing. The 2014 Wales Summit responded</w:t>
      </w:r>
      <w:r>
        <w:t xml:space="preserve"> </w:t>
      </w:r>
      <w:r>
        <w:t xml:space="preserve">to Russia’s Crimea annexation with: - Defense Investment Pledge: 2% GDP</w:t>
      </w:r>
      <w:r>
        <w:t xml:space="preserve"> </w:t>
      </w:r>
      <w:r>
        <w:t xml:space="preserve">target - Enhanced Forward Presence in Baltic states and Poland -</w:t>
      </w:r>
      <w:r>
        <w:t xml:space="preserve"> </w:t>
      </w:r>
      <w:r>
        <w:t xml:space="preserve">Readiness Action Plan</w:t>
      </w:r>
    </w:p>
    <w:p>
      <w:pPr>
        <w:pStyle w:val="BodyText"/>
      </w:pPr>
      <w:r>
        <w:t xml:space="preserve">Asian alliance architecture strengthened: - US-Japan Guidelines revised</w:t>
      </w:r>
      <w:r>
        <w:t xml:space="preserve"> </w:t>
      </w:r>
      <w:r>
        <w:t xml:space="preserve">(2015) expanding scope of alliance - US-Korea alliance deepened with</w:t>
      </w:r>
      <w:r>
        <w:t xml:space="preserve"> </w:t>
      </w:r>
      <w:r>
        <w:t xml:space="preserve">THAAD deployment negotiations - Quad (US-Japan-India-Australia)</w:t>
      </w:r>
      <w:r>
        <w:t xml:space="preserve"> </w:t>
      </w:r>
      <w:r>
        <w:t xml:space="preserve">informally revived</w:t>
      </w:r>
    </w:p>
    <w:p>
      <w:pPr>
        <w:pStyle w:val="BodyText"/>
      </w:pPr>
      <w:r>
        <w:rPr>
          <w:bCs/>
          <w:b/>
        </w:rPr>
        <w:t xml:space="preserve">Quantitative Indicators (2008-2016):</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Indicator</w:t>
            </w:r>
          </w:p>
        </w:tc>
        <w:tc>
          <w:tcPr/>
          <w:p>
            <w:pPr>
              <w:pStyle w:val="Compact"/>
              <w:jc w:val="left"/>
            </w:pPr>
            <w:r>
              <w:t xml:space="preserve">2008</w:t>
            </w:r>
          </w:p>
        </w:tc>
        <w:tc>
          <w:tcPr/>
          <w:p>
            <w:pPr>
              <w:pStyle w:val="Compact"/>
              <w:jc w:val="left"/>
            </w:pPr>
            <w:r>
              <w:t xml:space="preserve">2016</w:t>
            </w:r>
          </w:p>
        </w:tc>
        <w:tc>
          <w:tcPr/>
          <w:p>
            <w:pPr>
              <w:pStyle w:val="Compact"/>
              <w:jc w:val="left"/>
            </w:pPr>
            <w:r>
              <w:t xml:space="preserve">Change</w:t>
            </w:r>
          </w:p>
        </w:tc>
        <w:tc>
          <w:tcPr/>
          <w:p>
            <w:pPr>
              <w:pStyle w:val="Compact"/>
              <w:jc w:val="left"/>
            </w:pPr>
            <w:r>
              <w:t xml:space="preserve">Source</w:t>
            </w:r>
          </w:p>
        </w:tc>
      </w:tr>
      <w:tr>
        <w:tc>
          <w:tcPr/>
          <w:p>
            <w:pPr>
              <w:pStyle w:val="Compact"/>
              <w:jc w:val="left"/>
            </w:pPr>
            <w:r>
              <w:t xml:space="preserve">Defense</w:t>
            </w:r>
            <w:r>
              <w:t xml:space="preserve"> </w:t>
            </w:r>
            <w:r>
              <w:t xml:space="preserve">Spending</w:t>
            </w:r>
            <w:r>
              <w:t xml:space="preserve"> </w:t>
            </w:r>
            <w:r>
              <w:t xml:space="preserve">(current $)</w:t>
            </w:r>
          </w:p>
        </w:tc>
        <w:tc>
          <w:tcPr/>
          <w:p>
            <w:pPr>
              <w:pStyle w:val="Compact"/>
              <w:jc w:val="left"/>
            </w:pPr>
            <w:r>
              <w:t xml:space="preserve">$616B</w:t>
            </w:r>
          </w:p>
        </w:tc>
        <w:tc>
          <w:tcPr/>
          <w:p>
            <w:pPr>
              <w:pStyle w:val="Compact"/>
              <w:jc w:val="left"/>
            </w:pPr>
            <w:r>
              <w:t xml:space="preserve">$584B</w:t>
            </w:r>
          </w:p>
        </w:tc>
        <w:tc>
          <w:tcPr/>
          <w:p>
            <w:pPr>
              <w:pStyle w:val="Compact"/>
              <w:jc w:val="left"/>
            </w:pPr>
            <w:r>
              <w:t xml:space="preserve">-5.2%</w:t>
            </w:r>
          </w:p>
        </w:tc>
        <w:tc>
          <w:tcPr/>
          <w:p>
            <w:pPr>
              <w:pStyle w:val="Compact"/>
              <w:jc w:val="left"/>
            </w:pPr>
            <w:r>
              <w:t xml:space="preserve">SIPRI</w:t>
            </w:r>
          </w:p>
        </w:tc>
      </w:tr>
      <w:tr>
        <w:tc>
          <w:tcPr/>
          <w:p>
            <w:pPr>
              <w:pStyle w:val="Compact"/>
              <w:jc w:val="left"/>
            </w:pPr>
            <w:r>
              <w:t xml:space="preserve">Defense</w:t>
            </w:r>
            <w:r>
              <w:t xml:space="preserve"> </w:t>
            </w:r>
            <w:r>
              <w:t xml:space="preserve">Spending (%</w:t>
            </w:r>
            <w:r>
              <w:t xml:space="preserve"> </w:t>
            </w:r>
            <w:r>
              <w:t xml:space="preserve">GDP)</w:t>
            </w:r>
          </w:p>
        </w:tc>
        <w:tc>
          <w:tcPr/>
          <w:p>
            <w:pPr>
              <w:pStyle w:val="Compact"/>
              <w:jc w:val="left"/>
            </w:pPr>
            <w:r>
              <w:t xml:space="preserve">4.3%</w:t>
            </w:r>
          </w:p>
        </w:tc>
        <w:tc>
          <w:tcPr/>
          <w:p>
            <w:pPr>
              <w:pStyle w:val="Compact"/>
              <w:jc w:val="left"/>
            </w:pPr>
            <w:r>
              <w:t xml:space="preserve">3.1%</w:t>
            </w:r>
          </w:p>
        </w:tc>
        <w:tc>
          <w:tcPr/>
          <w:p>
            <w:pPr>
              <w:pStyle w:val="Compact"/>
              <w:jc w:val="left"/>
            </w:pPr>
            <w:r>
              <w:t xml:space="preserve">-1.2 pts</w:t>
            </w:r>
          </w:p>
        </w:tc>
        <w:tc>
          <w:tcPr/>
          <w:p>
            <w:pPr>
              <w:pStyle w:val="Compact"/>
              <w:jc w:val="left"/>
            </w:pPr>
            <w:r>
              <w:t xml:space="preserve">SIPRI</w:t>
            </w:r>
          </w:p>
        </w:tc>
      </w:tr>
      <w:tr>
        <w:tc>
          <w:tcPr/>
          <w:p>
            <w:pPr>
              <w:pStyle w:val="Compact"/>
              <w:jc w:val="left"/>
            </w:pPr>
            <w:r>
              <w:t xml:space="preserve">Defense</w:t>
            </w:r>
            <w:r>
              <w:t xml:space="preserve"> </w:t>
            </w:r>
            <w:r>
              <w:t xml:space="preserve">Spending (%</w:t>
            </w:r>
            <w:r>
              <w:t xml:space="preserve"> </w:t>
            </w:r>
            <w:r>
              <w:t xml:space="preserve">global)</w:t>
            </w:r>
          </w:p>
        </w:tc>
        <w:tc>
          <w:tcPr/>
          <w:p>
            <w:pPr>
              <w:pStyle w:val="Compact"/>
              <w:jc w:val="left"/>
            </w:pPr>
            <w:r>
              <w:t xml:space="preserve">41%</w:t>
            </w:r>
          </w:p>
        </w:tc>
        <w:tc>
          <w:tcPr/>
          <w:p>
            <w:pPr>
              <w:pStyle w:val="Compact"/>
              <w:jc w:val="left"/>
            </w:pPr>
            <w:r>
              <w:t xml:space="preserve">36%</w:t>
            </w:r>
          </w:p>
        </w:tc>
        <w:tc>
          <w:tcPr/>
          <w:p>
            <w:pPr>
              <w:pStyle w:val="Compact"/>
              <w:jc w:val="left"/>
            </w:pPr>
            <w:r>
              <w:t xml:space="preserve">-5 pts</w:t>
            </w:r>
          </w:p>
        </w:tc>
        <w:tc>
          <w:tcPr/>
          <w:p>
            <w:pPr>
              <w:pStyle w:val="Compact"/>
              <w:jc w:val="left"/>
            </w:pPr>
            <w:r>
              <w:t xml:space="preserve">SIPRI</w:t>
            </w:r>
          </w:p>
        </w:tc>
      </w:tr>
      <w:tr>
        <w:tc>
          <w:tcPr/>
          <w:p>
            <w:pPr>
              <w:pStyle w:val="Compact"/>
              <w:jc w:val="left"/>
            </w:pPr>
            <w:r>
              <w:t xml:space="preserve">Active Duty</w:t>
            </w:r>
            <w:r>
              <w:t xml:space="preserve"> </w:t>
            </w:r>
            <w:r>
              <w:t xml:space="preserve">Personnel</w:t>
            </w:r>
          </w:p>
        </w:tc>
        <w:tc>
          <w:tcPr/>
          <w:p>
            <w:pPr>
              <w:pStyle w:val="Compact"/>
              <w:jc w:val="left"/>
            </w:pPr>
            <w:r>
              <w:t xml:space="preserve">1.54M</w:t>
            </w:r>
          </w:p>
        </w:tc>
        <w:tc>
          <w:tcPr/>
          <w:p>
            <w:pPr>
              <w:pStyle w:val="Compact"/>
              <w:jc w:val="left"/>
            </w:pPr>
            <w:r>
              <w:t xml:space="preserve">1.35M</w:t>
            </w:r>
          </w:p>
        </w:tc>
        <w:tc>
          <w:tcPr/>
          <w:p>
            <w:pPr>
              <w:pStyle w:val="Compact"/>
              <w:jc w:val="left"/>
            </w:pPr>
            <w:r>
              <w:t xml:space="preserve">-12%</w:t>
            </w:r>
          </w:p>
        </w:tc>
        <w:tc>
          <w:tcPr/>
          <w:p>
            <w:pPr>
              <w:pStyle w:val="Compact"/>
              <w:jc w:val="left"/>
            </w:pPr>
            <w:r>
              <w:t xml:space="preserve">DoD</w:t>
            </w:r>
          </w:p>
        </w:tc>
      </w:tr>
      <w:tr>
        <w:tc>
          <w:tcPr/>
          <w:p>
            <w:pPr>
              <w:pStyle w:val="Compact"/>
              <w:jc w:val="left"/>
            </w:pPr>
            <w:r>
              <w:t xml:space="preserve">Navy Ship</w:t>
            </w:r>
            <w:r>
              <w:t xml:space="preserve"> </w:t>
            </w:r>
            <w:r>
              <w:t xml:space="preserve">Count</w:t>
            </w:r>
          </w:p>
        </w:tc>
        <w:tc>
          <w:tcPr/>
          <w:p>
            <w:pPr>
              <w:pStyle w:val="Compact"/>
              <w:jc w:val="left"/>
            </w:pPr>
            <w:r>
              <w:t xml:space="preserve">285</w:t>
            </w:r>
          </w:p>
        </w:tc>
        <w:tc>
          <w:tcPr/>
          <w:p>
            <w:pPr>
              <w:pStyle w:val="Compact"/>
              <w:jc w:val="left"/>
            </w:pPr>
            <w:r>
              <w:t xml:space="preserve">272</w:t>
            </w:r>
          </w:p>
        </w:tc>
        <w:tc>
          <w:tcPr/>
          <w:p>
            <w:pPr>
              <w:pStyle w:val="Compact"/>
              <w:jc w:val="left"/>
            </w:pPr>
            <w:r>
              <w:t xml:space="preserve">-5%</w:t>
            </w:r>
          </w:p>
        </w:tc>
        <w:tc>
          <w:tcPr/>
          <w:p>
            <w:pPr>
              <w:pStyle w:val="Compact"/>
              <w:jc w:val="left"/>
            </w:pPr>
            <w:r>
              <w:t xml:space="preserve">Navy</w:t>
            </w:r>
          </w:p>
        </w:tc>
      </w:tr>
      <w:tr>
        <w:tc>
          <w:tcPr/>
          <w:p>
            <w:pPr>
              <w:pStyle w:val="Compact"/>
              <w:jc w:val="left"/>
            </w:pPr>
            <w:r>
              <w:t xml:space="preserve">Nuclear</w:t>
            </w:r>
            <w:r>
              <w:t xml:space="preserve"> </w:t>
            </w:r>
            <w:r>
              <w:t xml:space="preserve">Warheads</w:t>
            </w:r>
            <w:r>
              <w:t xml:space="preserve"> </w:t>
            </w:r>
            <w:r>
              <w:t xml:space="preserve">(deployed</w:t>
            </w:r>
            <w:r>
              <w:t xml:space="preserve"> </w:t>
            </w:r>
            <w:r>
              <w:t xml:space="preserve">strategic)</w:t>
            </w:r>
          </w:p>
        </w:tc>
        <w:tc>
          <w:tcPr/>
          <w:p>
            <w:pPr>
              <w:pStyle w:val="Compact"/>
              <w:jc w:val="left"/>
            </w:pPr>
            <w:r>
              <w:t xml:space="preserve">2,200</w:t>
            </w:r>
          </w:p>
        </w:tc>
        <w:tc>
          <w:tcPr/>
          <w:p>
            <w:pPr>
              <w:pStyle w:val="Compact"/>
              <w:jc w:val="left"/>
            </w:pPr>
            <w:r>
              <w:t xml:space="preserve">1,650</w:t>
            </w:r>
          </w:p>
        </w:tc>
        <w:tc>
          <w:tcPr/>
          <w:p>
            <w:pPr>
              <w:pStyle w:val="Compact"/>
              <w:jc w:val="left"/>
            </w:pPr>
            <w:r>
              <w:t xml:space="preserve">-25%</w:t>
            </w:r>
          </w:p>
        </w:tc>
        <w:tc>
          <w:tcPr/>
          <w:p>
            <w:pPr>
              <w:pStyle w:val="Compact"/>
              <w:jc w:val="left"/>
            </w:pPr>
            <w:r>
              <w:t xml:space="preserve">FAS</w:t>
            </w:r>
          </w:p>
        </w:tc>
      </w:tr>
    </w:tbl>
    <w:p>
      <w:pPr>
        <w:pStyle w:val="BodyText"/>
      </w:pPr>
      <w:r>
        <w:rPr>
          <w:bCs/>
          <w:b/>
        </w:rPr>
        <w:t xml:space="preserve">Score: 8.0 → 7.5 (-6%)</w:t>
      </w:r>
    </w:p>
    <w:p>
      <w:pPr>
        <w:pStyle w:val="BodyText"/>
      </w:pPr>
      <w:r>
        <w:t xml:space="preserve">Military spending declined in relative terms but remained overwhelmingly</w:t>
      </w:r>
      <w:r>
        <w:t xml:space="preserve"> </w:t>
      </w:r>
      <w:r>
        <w:t xml:space="preserve">dominant globally. The qualitative assessment reflects readiness</w:t>
      </w:r>
      <w:r>
        <w:t xml:space="preserve"> </w:t>
      </w:r>
      <w:r>
        <w:t xml:space="preserve">concerns, Iraq/Afghanistan fatigue, and sequestration damage balanced</w:t>
      </w:r>
      <w:r>
        <w:t xml:space="preserve"> </w:t>
      </w:r>
      <w:r>
        <w:t xml:space="preserve">against continued technological leadership and alliance resilience.</w:t>
      </w:r>
    </w:p>
    <w:bookmarkEnd w:id="41"/>
    <w:bookmarkEnd w:id="42"/>
    <w:bookmarkStart w:id="44" w:name="X46bb37b758373acab2083ef8a5bfbd0ac953ba2"/>
    <w:p>
      <w:pPr>
        <w:pStyle w:val="Heading2"/>
      </w:pPr>
      <w:r>
        <w:t xml:space="preserve">Domain 4: Social and Demographic Factors (2008-2016)</w:t>
      </w:r>
    </w:p>
    <w:bookmarkStart w:id="43" w:name="the-great-recessions-social-impact"/>
    <w:p>
      <w:pPr>
        <w:pStyle w:val="Heading3"/>
      </w:pPr>
      <w:r>
        <w:t xml:space="preserve">The Great Recession’s Social Impact</w:t>
      </w:r>
    </w:p>
    <w:p>
      <w:pPr>
        <w:pStyle w:val="FirstParagraph"/>
      </w:pPr>
      <w:r>
        <w:t xml:space="preserve">The 2008 crisis inflicted profound social damage that structural</w:t>
      </w:r>
      <w:r>
        <w:t xml:space="preserve"> </w:t>
      </w:r>
      <w:r>
        <w:t xml:space="preserve">recovery statistics obscured:</w:t>
      </w:r>
    </w:p>
    <w:p>
      <w:pPr>
        <w:pStyle w:val="BodyText"/>
      </w:pPr>
      <w:r>
        <w:rPr>
          <w:bCs/>
          <w:b/>
        </w:rPr>
        <w:t xml:space="preserve">Unemployment:</w:t>
      </w:r>
      <w:r>
        <w:t xml:space="preserve"> </w:t>
      </w:r>
      <w:r>
        <w:t xml:space="preserve">- Peak unemployment: 10.0% (October 2009) - By</w:t>
      </w:r>
      <w:r>
        <w:t xml:space="preserve"> </w:t>
      </w:r>
      <w:r>
        <w:t xml:space="preserve">December 2016: 4.7% - However: Labor force participation fell from 66.0%</w:t>
      </w:r>
      <w:r>
        <w:t xml:space="preserve"> </w:t>
      </w:r>
      <w:r>
        <w:t xml:space="preserve">(2008) to 62.8% (2016), suggesting discouraged workers exiting</w:t>
      </w:r>
    </w:p>
    <w:p>
      <w:pPr>
        <w:pStyle w:val="BodyText"/>
      </w:pPr>
      <w:r>
        <w:rPr>
          <w:bCs/>
          <w:b/>
        </w:rPr>
        <w:t xml:space="preserve">Wealth Destruction and Recovery:</w:t>
      </w:r>
      <w:r>
        <w:t xml:space="preserve"> </w:t>
      </w:r>
      <w:r>
        <w:t xml:space="preserve">- Median household net worth fell</w:t>
      </w:r>
      <w:r>
        <w:t xml:space="preserve"> </w:t>
      </w:r>
      <w:r>
        <w:t xml:space="preserve">39%: $135,700 (2007) → $82,790 (2010) - Recovery was uneven: By 2016,</w:t>
      </w:r>
      <w:r>
        <w:t xml:space="preserve"> </w:t>
      </w:r>
      <w:r>
        <w:t xml:space="preserve">median net worth reached $97,290—still 28% below 2007 peak - Stock</w:t>
      </w:r>
      <w:r>
        <w:t xml:space="preserve"> </w:t>
      </w:r>
      <w:r>
        <w:t xml:space="preserve">market recovery benefited asset-holders disproportionately: S&amp;P 500 rose</w:t>
      </w:r>
      <w:r>
        <w:t xml:space="preserve"> </w:t>
      </w:r>
      <w:r>
        <w:t xml:space="preserve">166% from March 2009 low to December 2016</w:t>
      </w:r>
    </w:p>
    <w:p>
      <w:pPr>
        <w:pStyle w:val="BodyText"/>
      </w:pPr>
      <w:r>
        <w:rPr>
          <w:bCs/>
          <w:b/>
        </w:rPr>
        <w:t xml:space="preserve">Housing:</w:t>
      </w:r>
      <w:r>
        <w:t xml:space="preserve"> </w:t>
      </w:r>
      <w:r>
        <w:t xml:space="preserve">- 10 million foreclosures (2006-2014) - African American</w:t>
      </w:r>
      <w:r>
        <w:t xml:space="preserve"> </w:t>
      </w:r>
      <w:r>
        <w:t xml:space="preserve">and Hispanic homeownership rates declined more sharply and recovered</w:t>
      </w:r>
      <w:r>
        <w:t xml:space="preserve"> </w:t>
      </w:r>
      <w:r>
        <w:t xml:space="preserve">more slowly - Geographic concentration: Nevada, Florida, Arizona,</w:t>
      </w:r>
      <w:r>
        <w:t xml:space="preserve"> </w:t>
      </w:r>
      <w:r>
        <w:t xml:space="preserve">California accounted for disproportionate share</w:t>
      </w:r>
    </w:p>
    <w:p>
      <w:pPr>
        <w:pStyle w:val="BodyText"/>
      </w:pPr>
      <w:r>
        <w:rPr>
          <w:bCs/>
          <w:b/>
        </w:rPr>
        <w:t xml:space="preserve">Inequality Acceleration:</w:t>
      </w:r>
      <w:r>
        <w:t xml:space="preserve"> </w:t>
      </w:r>
      <w:r>
        <w:t xml:space="preserve">- Gini coefficient: 0.466 (2007) → 0.481</w:t>
      </w:r>
      <w:r>
        <w:t xml:space="preserve"> </w:t>
      </w:r>
      <w:r>
        <w:t xml:space="preserve">(2016) - Top 1% income share rose from 18.3% (2009 trough) to 20.2%</w:t>
      </w:r>
      <w:r>
        <w:t xml:space="preserve"> </w:t>
      </w:r>
      <w:r>
        <w:t xml:space="preserve">(2016) - CEO-to-worker pay ratio: 345:1 (2007) → 271:1 (2016,</w:t>
      </w:r>
      <w:r>
        <w:t xml:space="preserve"> </w:t>
      </w:r>
      <w:r>
        <w:t xml:space="preserve">post-crisis compression) → 347:1 (2016)</w:t>
      </w:r>
    </w:p>
    <w:p>
      <w:pPr>
        <w:pStyle w:val="BodyText"/>
      </w:pPr>
      <w:r>
        <w:rPr>
          <w:bCs/>
          <w:b/>
        </w:rPr>
        <w:t xml:space="preserve">Social Trust Erosion:</w:t>
      </w:r>
      <w:r>
        <w:t xml:space="preserve"> </w:t>
      </w:r>
      <w:r>
        <w:t xml:space="preserve">Pew Research Center data shows dramatic</w:t>
      </w:r>
      <w:r>
        <w:t xml:space="preserve"> </w:t>
      </w:r>
      <w:r>
        <w:t xml:space="preserve">decline: - Trust that</w:t>
      </w:r>
      <w:r>
        <w:t xml:space="preserve"> </w:t>
      </w:r>
      <w:r>
        <w:t xml:space="preserve">“</w:t>
      </w:r>
      <w:r>
        <w:t xml:space="preserve">most people can be trusted</w:t>
      </w:r>
      <w:r>
        <w:t xml:space="preserve">”</w:t>
      </w:r>
      <w:r>
        <w:t xml:space="preserve">: 49% (2007) → 31%</w:t>
      </w:r>
      <w:r>
        <w:t xml:space="preserve"> </w:t>
      </w:r>
      <w:r>
        <w:t xml:space="preserve">(2016) - Trust in federal government: 29% (2007) → 19% (2016)</w:t>
      </w:r>
    </w:p>
    <w:p>
      <w:pPr>
        <w:pStyle w:val="BodyText"/>
      </w:pPr>
      <w:r>
        <w:rPr>
          <w:bCs/>
          <w:b/>
        </w:rPr>
        <w:t xml:space="preserve">The Opioid Crisis:</w:t>
      </w:r>
      <w:r>
        <w:t xml:space="preserve"> </w:t>
      </w:r>
      <w:r>
        <w:t xml:space="preserve">Drug overdose deaths doubled during this</w:t>
      </w:r>
      <w:r>
        <w:t xml:space="preserve"> </w:t>
      </w:r>
      <w:r>
        <w:t xml:space="preserve">period: - 36,010 (2007) → 63,632 (2016) - Opioid-involved deaths: 18,515</w:t>
      </w:r>
      <w:r>
        <w:t xml:space="preserve"> </w:t>
      </w:r>
      <w:r>
        <w:t xml:space="preserve">(2007) → 42,249 (2016)</w:t>
      </w:r>
    </w:p>
    <w:p>
      <w:pPr>
        <w:pStyle w:val="BodyText"/>
      </w:pPr>
      <w:r>
        <w:t xml:space="preserve">The crisis devastated particularly white working-class communities in</w:t>
      </w:r>
      <w:r>
        <w:t xml:space="preserve"> </w:t>
      </w:r>
      <w:r>
        <w:t xml:space="preserve">Appalachia, the Rust Belt, and rural areas—communities subsequently</w:t>
      </w:r>
      <w:r>
        <w:t xml:space="preserve"> </w:t>
      </w:r>
      <w:r>
        <w:t xml:space="preserve">pivotal in 2016 electoral shifts.</w:t>
      </w:r>
    </w:p>
    <w:p>
      <w:pPr>
        <w:pStyle w:val="BodyText"/>
      </w:pPr>
      <w:r>
        <w:rPr>
          <w:bCs/>
          <w:b/>
        </w:rPr>
        <w:t xml:space="preserve">Demographic Shifts:</w:t>
      </w:r>
      <w:r>
        <w:t xml:space="preserve"> </w:t>
      </w:r>
      <w:r>
        <w:t xml:space="preserve">-</w:t>
      </w:r>
      <w:r>
        <w:t xml:space="preserve"> </w:t>
      </w:r>
      <w:r>
        <w:t xml:space="preserve">“</w:t>
      </w:r>
      <w:r>
        <w:t xml:space="preserve">Deaths of despair</w:t>
      </w:r>
      <w:r>
        <w:t xml:space="preserve">”</w:t>
      </w:r>
      <w:r>
        <w:t xml:space="preserve"> </w:t>
      </w:r>
      <w:r>
        <w:t xml:space="preserve">(Case &amp; Deaton 2015):</w:t>
      </w:r>
      <w:r>
        <w:t xml:space="preserve"> </w:t>
      </w:r>
      <w:r>
        <w:t xml:space="preserve">Mortality rates for middle-aged white Americans increased due to</w:t>
      </w:r>
      <w:r>
        <w:t xml:space="preserve"> </w:t>
      </w:r>
      <w:r>
        <w:t xml:space="preserve">suicide, drug overdose, and alcoholism—unprecedented in developed</w:t>
      </w:r>
      <w:r>
        <w:t xml:space="preserve"> </w:t>
      </w:r>
      <w:r>
        <w:t xml:space="preserve">nations - Immigration: Net migration remained positive but below</w:t>
      </w:r>
      <w:r>
        <w:t xml:space="preserve"> </w:t>
      </w:r>
      <w:r>
        <w:t xml:space="preserve">pre-crisis levels - Fertility: Total fertility rate fell from 2.08</w:t>
      </w:r>
      <w:r>
        <w:t xml:space="preserve"> </w:t>
      </w:r>
      <w:r>
        <w:t xml:space="preserve">(2007) to 1.82 (2016), below replacement level</w:t>
      </w:r>
    </w:p>
    <w:p>
      <w:pPr>
        <w:pStyle w:val="BodyText"/>
      </w:pPr>
      <w:r>
        <w:rPr>
          <w:bCs/>
          <w:b/>
        </w:rPr>
        <w:t xml:space="preserve">Score: 5.5 → 4.5 (-18%)</w:t>
      </w:r>
    </w:p>
    <w:p>
      <w:pPr>
        <w:pStyle w:val="BodyText"/>
      </w:pPr>
      <w:r>
        <w:t xml:space="preserve">The social domain shows the most significant deterioration during this</w:t>
      </w:r>
      <w:r>
        <w:t xml:space="preserve"> </w:t>
      </w:r>
      <w:r>
        <w:t xml:space="preserve">period. While macroeconomic recovery eventually achieved statistical</w:t>
      </w:r>
      <w:r>
        <w:t xml:space="preserve"> </w:t>
      </w:r>
      <w:r>
        <w:t xml:space="preserve">success, the distributional consequences, trust collapse, and</w:t>
      </w:r>
      <w:r>
        <w:t xml:space="preserve"> </w:t>
      </w:r>
      <w:r>
        <w:t xml:space="preserve">“</w:t>
      </w:r>
      <w:r>
        <w:t xml:space="preserve">deaths of</w:t>
      </w:r>
      <w:r>
        <w:t xml:space="preserve"> </w:t>
      </w:r>
      <w:r>
        <w:t xml:space="preserve">despair</w:t>
      </w:r>
      <w:r>
        <w:t xml:space="preserve">”</w:t>
      </w:r>
      <w:r>
        <w:t xml:space="preserve"> </w:t>
      </w:r>
      <w:r>
        <w:t xml:space="preserve">phenomenon represent genuine social fabric erosion with</w:t>
      </w:r>
      <w:r>
        <w:t xml:space="preserve"> </w:t>
      </w:r>
      <w:r>
        <w:t xml:space="preserve">long-term hegemonic implications.</w:t>
      </w:r>
    </w:p>
    <w:bookmarkEnd w:id="43"/>
    <w:bookmarkEnd w:id="44"/>
    <w:bookmarkStart w:id="46" w:name="X2c9241bf68039f087ff4ff830b735e6bc23e96b"/>
    <w:p>
      <w:pPr>
        <w:pStyle w:val="Heading2"/>
      </w:pPr>
      <w:r>
        <w:t xml:space="preserve">Domain 5: Educational and Knowledge Systems (2008-2016)</w:t>
      </w:r>
    </w:p>
    <w:bookmarkStart w:id="45" w:name="higher-education-under-stress"/>
    <w:p>
      <w:pPr>
        <w:pStyle w:val="Heading3"/>
      </w:pPr>
      <w:r>
        <w:t xml:space="preserve">Higher Education Under Stress</w:t>
      </w:r>
    </w:p>
    <w:p>
      <w:pPr>
        <w:pStyle w:val="FirstParagraph"/>
      </w:pPr>
      <w:r>
        <w:t xml:space="preserve">American higher education maintained its global position while facing</w:t>
      </w:r>
      <w:r>
        <w:t xml:space="preserve"> </w:t>
      </w:r>
      <w:r>
        <w:t xml:space="preserve">intensifying pressures:</w:t>
      </w:r>
    </w:p>
    <w:p>
      <w:pPr>
        <w:pStyle w:val="BodyText"/>
      </w:pPr>
      <w:r>
        <w:rPr>
          <w:bCs/>
          <w:b/>
        </w:rPr>
        <w:t xml:space="preserve">Global Rankings:</w:t>
      </w:r>
      <w:r>
        <w:t xml:space="preserve"> </w:t>
      </w:r>
      <w:r>
        <w:t xml:space="preserve">- Times Higher Education Top 100: US institutions</w:t>
      </w:r>
      <w:r>
        <w:t xml:space="preserve"> </w:t>
      </w:r>
      <w:r>
        <w:t xml:space="preserve">consistently claimed 40-45 positions - Research output (publications,</w:t>
      </w:r>
      <w:r>
        <w:t xml:space="preserve"> </w:t>
      </w:r>
      <w:r>
        <w:t xml:space="preserve">citations) remained globally dominant - International student enrollment</w:t>
      </w:r>
      <w:r>
        <w:t xml:space="preserve"> </w:t>
      </w:r>
      <w:r>
        <w:t xml:space="preserve">grew: 623,805 (2007-08) → 1,043,839 (2015-16), a 67% increase</w:t>
      </w:r>
    </w:p>
    <w:p>
      <w:pPr>
        <w:pStyle w:val="BodyText"/>
      </w:pPr>
      <w:r>
        <w:rPr>
          <w:bCs/>
          <w:b/>
        </w:rPr>
        <w:t xml:space="preserve">Cost and Access Crisis:</w:t>
      </w:r>
      <w:r>
        <w:t xml:space="preserve"> </w:t>
      </w:r>
      <w:r>
        <w:t xml:space="preserve">- Average public four-year tuition increased</w:t>
      </w:r>
      <w:r>
        <w:t xml:space="preserve"> </w:t>
      </w:r>
      <w:r>
        <w:t xml:space="preserve">36% (inflation-adjusted) from 2007-08 to 2016-17 - Student debt</w:t>
      </w:r>
      <w:r>
        <w:t xml:space="preserve"> </w:t>
      </w:r>
      <w:r>
        <w:t xml:space="preserve">outstanding: $0.6 trillion (2007) → $1.3 trillion (2016) - Federal</w:t>
      </w:r>
      <w:r>
        <w:t xml:space="preserve"> </w:t>
      </w:r>
      <w:r>
        <w:t xml:space="preserve">Pell Grant purchasing power declined relative to tuition</w:t>
      </w:r>
    </w:p>
    <w:p>
      <w:pPr>
        <w:pStyle w:val="BodyText"/>
      </w:pPr>
      <w:r>
        <w:rPr>
          <w:bCs/>
          <w:b/>
        </w:rPr>
        <w:t xml:space="preserve">STEM Pipeline:</w:t>
      </w:r>
      <w:r>
        <w:t xml:space="preserve"> </w:t>
      </w:r>
      <w:r>
        <w:t xml:space="preserve">Concern over STEM workforce persisted: - Engineering</w:t>
      </w:r>
      <w:r>
        <w:t xml:space="preserve"> </w:t>
      </w:r>
      <w:r>
        <w:t xml:space="preserve">bachelor’s degrees: 74,000 (2008) → 106,000 (2016), 43% increase -</w:t>
      </w:r>
      <w:r>
        <w:t xml:space="preserve"> </w:t>
      </w:r>
      <w:r>
        <w:t xml:space="preserve">Computer science degrees: 37,000 (2008) → 56,000 (2016), 51% increase -</w:t>
      </w:r>
      <w:r>
        <w:t xml:space="preserve"> </w:t>
      </w:r>
      <w:r>
        <w:t xml:space="preserve">But international students accounted for growing share of STEM graduate</w:t>
      </w:r>
      <w:r>
        <w:t xml:space="preserve"> </w:t>
      </w:r>
      <w:r>
        <w:t xml:space="preserve">enrollment</w:t>
      </w:r>
    </w:p>
    <w:p>
      <w:pPr>
        <w:pStyle w:val="BodyText"/>
      </w:pPr>
      <w:r>
        <w:rPr>
          <w:bCs/>
          <w:b/>
        </w:rPr>
        <w:t xml:space="preserve">K-12 Performance:</w:t>
      </w:r>
      <w:r>
        <w:t xml:space="preserve"> </w:t>
      </w:r>
      <w:r>
        <w:t xml:space="preserve">PISA results showed stagnation: - Mathematics: 487</w:t>
      </w:r>
      <w:r>
        <w:t xml:space="preserve"> </w:t>
      </w:r>
      <w:r>
        <w:t xml:space="preserve">(2009) → 470 (2015), decline - Reading: 500 (2009) → 497 (2015),</w:t>
      </w:r>
      <w:r>
        <w:t xml:space="preserve"> </w:t>
      </w:r>
      <w:r>
        <w:t xml:space="preserve">essentially flat - Science: 502 (2009) → 496 (2015), slight decline</w:t>
      </w:r>
    </w:p>
    <w:p>
      <w:pPr>
        <w:pStyle w:val="BodyText"/>
      </w:pPr>
      <w:r>
        <w:t xml:space="preserve">US rankings remained middle-of-pack among OECD nations, well behind East</w:t>
      </w:r>
      <w:r>
        <w:t xml:space="preserve"> </w:t>
      </w:r>
      <w:r>
        <w:t xml:space="preserve">Asian leaders.</w:t>
      </w:r>
    </w:p>
    <w:p>
      <w:pPr>
        <w:pStyle w:val="BodyText"/>
      </w:pPr>
      <w:r>
        <w:rPr>
          <w:bCs/>
          <w:b/>
        </w:rPr>
        <w:t xml:space="preserve">Score: 7.0 → 6.5 (-7%)</w:t>
      </w:r>
    </w:p>
    <w:p>
      <w:pPr>
        <w:pStyle w:val="BodyText"/>
      </w:pPr>
      <w:r>
        <w:t xml:space="preserve">Educational domain shows modest decline reflecting cost pressures and</w:t>
      </w:r>
      <w:r>
        <w:t xml:space="preserve"> </w:t>
      </w:r>
      <w:r>
        <w:t xml:space="preserve">K-12 stagnation balanced against continued higher education research</w:t>
      </w:r>
      <w:r>
        <w:t xml:space="preserve"> </w:t>
      </w:r>
      <w:r>
        <w:t xml:space="preserve">leadership and STEM degree growth.</w:t>
      </w:r>
    </w:p>
    <w:bookmarkEnd w:id="45"/>
    <w:bookmarkEnd w:id="46"/>
    <w:bookmarkStart w:id="48" w:name="Xcf2f3e948d99f3642612c7fa9d498f47892a613"/>
    <w:p>
      <w:pPr>
        <w:pStyle w:val="Heading2"/>
      </w:pPr>
      <w:r>
        <w:t xml:space="preserve">Domain 6: Cultural and Soft Power (2008-2016)</w:t>
      </w:r>
    </w:p>
    <w:bookmarkStart w:id="47" w:name="the-obama-effect-and-its-limits"/>
    <w:p>
      <w:pPr>
        <w:pStyle w:val="Heading3"/>
      </w:pPr>
      <w:r>
        <w:t xml:space="preserve">The Obama Effect and Its Limits</w:t>
      </w:r>
    </w:p>
    <w:p>
      <w:pPr>
        <w:pStyle w:val="FirstParagraph"/>
      </w:pPr>
      <w:r>
        <w:t xml:space="preserve">Barack Obama’s election generated substantial soft power renewal:</w:t>
      </w:r>
    </w:p>
    <w:p>
      <w:pPr>
        <w:pStyle w:val="BodyText"/>
      </w:pPr>
      <w:r>
        <w:rPr>
          <w:bCs/>
          <w:b/>
        </w:rPr>
        <w:t xml:space="preserve">Global Favorability:</w:t>
      </w:r>
      <w:r>
        <w:t xml:space="preserve"> </w:t>
      </w:r>
      <w:r>
        <w:t xml:space="preserve">Pew Global Attitudes data shows dramatic</w:t>
      </w:r>
      <w:r>
        <w:t xml:space="preserve"> </w:t>
      </w:r>
      <w:r>
        <w:t xml:space="preserve">improvement: - Favorable views of US (median across surveyed</w:t>
      </w:r>
      <w:r>
        <w:t xml:space="preserve"> </w:t>
      </w:r>
      <w:r>
        <w:t xml:space="preserve">countries): - 2008: 47% - 2009: 58% - 2016: 64% - Confidence in US</w:t>
      </w:r>
      <w:r>
        <w:t xml:space="preserve"> </w:t>
      </w:r>
      <w:r>
        <w:t xml:space="preserve">President: - Bush 2008: 22% - Obama 2009: 67% - Obama 2016: 64%</w:t>
      </w:r>
    </w:p>
    <w:p>
      <w:pPr>
        <w:pStyle w:val="BodyText"/>
      </w:pPr>
      <w:r>
        <w:rPr>
          <w:bCs/>
          <w:b/>
        </w:rPr>
        <w:t xml:space="preserve">Cultural Export:</w:t>
      </w:r>
      <w:r>
        <w:t xml:space="preserve"> </w:t>
      </w:r>
      <w:r>
        <w:t xml:space="preserve">American cultural products maintained global</w:t>
      </w:r>
      <w:r>
        <w:t xml:space="preserve"> </w:t>
      </w:r>
      <w:r>
        <w:t xml:space="preserve">reach: - Hollywood box office: International revenues exceeded domestic</w:t>
      </w:r>
      <w:r>
        <w:t xml:space="preserve"> </w:t>
      </w:r>
      <w:r>
        <w:t xml:space="preserve">for first time (2008) - Streaming emergence: Netflix international</w:t>
      </w:r>
      <w:r>
        <w:t xml:space="preserve"> </w:t>
      </w:r>
      <w:r>
        <w:t xml:space="preserve">expansion began (2010), reaching 190 countries by 2016 - Social media</w:t>
      </w:r>
      <w:r>
        <w:t xml:space="preserve"> </w:t>
      </w:r>
      <w:r>
        <w:t xml:space="preserve">platforms (Facebook, Twitter, YouTube) achieved global ubiquity -</w:t>
      </w:r>
      <w:r>
        <w:t xml:space="preserve"> </w:t>
      </w:r>
      <w:r>
        <w:t xml:space="preserve">Popular music: American artists dominated global charts</w:t>
      </w:r>
    </w:p>
    <w:p>
      <w:pPr>
        <w:pStyle w:val="BodyText"/>
      </w:pPr>
      <w:r>
        <w:rPr>
          <w:bCs/>
          <w:b/>
        </w:rPr>
        <w:t xml:space="preserve">Soft Power Indices:</w:t>
      </w:r>
      <w:r>
        <w:t xml:space="preserve"> </w:t>
      </w:r>
      <w:r>
        <w:t xml:space="preserve">- Portland/USC Soft Power 30 (2016): US ranked</w:t>
      </w:r>
      <w:r>
        <w:t xml:space="preserve"> </w:t>
      </w:r>
      <w:r>
        <w:t xml:space="preserve">#4, behind UK, Germany, France - Monocle Soft Power Survey (2016): US</w:t>
      </w:r>
      <w:r>
        <w:t xml:space="preserve"> </w:t>
      </w:r>
      <w:r>
        <w:t xml:space="preserve">ranked #3</w:t>
      </w:r>
    </w:p>
    <w:p>
      <w:pPr>
        <w:pStyle w:val="BodyText"/>
      </w:pPr>
      <w:r>
        <w:rPr>
          <w:bCs/>
          <w:b/>
        </w:rPr>
        <w:t xml:space="preserve">Limitations:</w:t>
      </w:r>
      <w:r>
        <w:t xml:space="preserve"> </w:t>
      </w:r>
      <w:r>
        <w:t xml:space="preserve">- NSA surveillance revelations (Snowden, 2013) damaged</w:t>
      </w:r>
      <w:r>
        <w:t xml:space="preserve"> </w:t>
      </w:r>
      <w:r>
        <w:t xml:space="preserve">trust, particularly in Germany - Drone warfare controversial,</w:t>
      </w:r>
      <w:r>
        <w:t xml:space="preserve"> </w:t>
      </w:r>
      <w:r>
        <w:t xml:space="preserve">particularly civilian casualties in Pakistan, Yemen, Somalia - Syria</w:t>
      </w:r>
      <w:r>
        <w:t xml:space="preserve"> </w:t>
      </w:r>
      <w:r>
        <w:t xml:space="preserve">“</w:t>
      </w:r>
      <w:r>
        <w:t xml:space="preserve">red line</w:t>
      </w:r>
      <w:r>
        <w:t xml:space="preserve">”</w:t>
      </w:r>
      <w:r>
        <w:t xml:space="preserve"> </w:t>
      </w:r>
      <w:r>
        <w:t xml:space="preserve">episode (2013) perceived as credibility damage - Russian</w:t>
      </w:r>
      <w:r>
        <w:t xml:space="preserve"> </w:t>
      </w:r>
      <w:r>
        <w:t xml:space="preserve">“</w:t>
      </w:r>
      <w:r>
        <w:t xml:space="preserve">hybrid warfare</w:t>
      </w:r>
      <w:r>
        <w:t xml:space="preserve">”</w:t>
      </w:r>
      <w:r>
        <w:t xml:space="preserve"> </w:t>
      </w:r>
      <w:r>
        <w:t xml:space="preserve">(Crimea 2014) not effectively countered</w:t>
      </w:r>
    </w:p>
    <w:p>
      <w:pPr>
        <w:pStyle w:val="BodyText"/>
      </w:pPr>
      <w:r>
        <w:rPr>
          <w:bCs/>
          <w:b/>
        </w:rPr>
        <w:t xml:space="preserve">Score: 7.0 → 6.5 (-7%)</w:t>
      </w:r>
    </w:p>
    <w:p>
      <w:pPr>
        <w:pStyle w:val="BodyText"/>
      </w:pPr>
      <w:r>
        <w:t xml:space="preserve">The Obama presidency substantially restored soft power damaged during</w:t>
      </w:r>
      <w:r>
        <w:t xml:space="preserve"> </w:t>
      </w:r>
      <w:r>
        <w:t xml:space="preserve">the Bush administration, but structural factors (surveillance, drone</w:t>
      </w:r>
      <w:r>
        <w:t xml:space="preserve"> </w:t>
      </w:r>
      <w:r>
        <w:t xml:space="preserve">warfare, Middle East policy) created persistent friction. The overall</w:t>
      </w:r>
      <w:r>
        <w:t xml:space="preserve"> </w:t>
      </w:r>
      <w:r>
        <w:t xml:space="preserve">trajectory remained positive but constrained.</w:t>
      </w:r>
    </w:p>
    <w:bookmarkEnd w:id="47"/>
    <w:bookmarkEnd w:id="48"/>
    <w:bookmarkStart w:id="50" w:name="X393d87b3e820982f1c698c028cfd27ef1d06bbd"/>
    <w:p>
      <w:pPr>
        <w:pStyle w:val="Heading2"/>
      </w:pPr>
      <w:r>
        <w:t xml:space="preserve">Domain 7: Technological and Innovation Capacity (2008-2016)</w:t>
      </w:r>
    </w:p>
    <w:bookmarkStart w:id="49" w:name="the-platform-revolution"/>
    <w:p>
      <w:pPr>
        <w:pStyle w:val="Heading3"/>
      </w:pPr>
      <w:r>
        <w:t xml:space="preserve">The Platform Revolution</w:t>
      </w:r>
    </w:p>
    <w:p>
      <w:pPr>
        <w:pStyle w:val="FirstParagraph"/>
      </w:pPr>
      <w:r>
        <w:t xml:space="preserve">The 2008-2016 period witnessed the consolidation of American platform</w:t>
      </w:r>
      <w:r>
        <w:t xml:space="preserve"> </w:t>
      </w:r>
      <w:r>
        <w:t xml:space="preserve">dominance:</w:t>
      </w:r>
    </w:p>
    <w:p>
      <w:pPr>
        <w:pStyle w:val="BodyText"/>
      </w:pPr>
      <w:r>
        <w:rPr>
          <w:bCs/>
          <w:b/>
        </w:rPr>
        <w:t xml:space="preserve">Market Capitalization Transformation:</w:t>
      </w:r>
      <w:r>
        <w:t xml:space="preserve"> </w:t>
      </w:r>
      <w:r>
        <w:t xml:space="preserve">- 2008: Largest companies by</w:t>
      </w:r>
      <w:r>
        <w:t xml:space="preserve"> </w:t>
      </w:r>
      <w:r>
        <w:t xml:space="preserve">market cap included ExxonMobil, GE, AT&amp;T, Procter &amp; Gamble - 2016: Apple</w:t>
      </w:r>
      <w:r>
        <w:t xml:space="preserve"> </w:t>
      </w:r>
      <w:r>
        <w:t xml:space="preserve">($617B), Alphabet ($556B), Microsoft ($483B), Amazon ($356B),</w:t>
      </w:r>
      <w:r>
        <w:t xml:space="preserve"> </w:t>
      </w:r>
      <w:r>
        <w:t xml:space="preserve">Facebook ($332B)</w:t>
      </w:r>
    </w:p>
    <w:p>
      <w:pPr>
        <w:pStyle w:val="BodyText"/>
      </w:pPr>
      <w:r>
        <w:t xml:space="preserve">The platform model—characterized by network effects, data</w:t>
      </w:r>
      <w:r>
        <w:t xml:space="preserve"> </w:t>
      </w:r>
      <w:r>
        <w:t xml:space="preserve">accumulation, and ecosystem lock-in—concentrated value creation in</w:t>
      </w:r>
      <w:r>
        <w:t xml:space="preserve"> </w:t>
      </w:r>
      <w:r>
        <w:t xml:space="preserve">American technology firms to an unprecedented degree.</w:t>
      </w:r>
    </w:p>
    <w:p>
      <w:pPr>
        <w:pStyle w:val="BodyText"/>
      </w:pPr>
      <w:r>
        <w:rPr>
          <w:bCs/>
          <w:b/>
        </w:rPr>
        <w:t xml:space="preserve">Key Developments:</w:t>
      </w:r>
      <w:r>
        <w:t xml:space="preserve"> </w:t>
      </w:r>
      <w:r>
        <w:t xml:space="preserve">- iPhone/Android smartphone ecosystem: Global</w:t>
      </w:r>
      <w:r>
        <w:t xml:space="preserve"> </w:t>
      </w:r>
      <w:r>
        <w:t xml:space="preserve">smartphone penetration rose from 10% (2008) to 45% (2016) - Cloud</w:t>
      </w:r>
      <w:r>
        <w:t xml:space="preserve"> </w:t>
      </w:r>
      <w:r>
        <w:t xml:space="preserve">computing: AWS revenues grew from ~$0.5B (2010) to $12.2B (2016) -</w:t>
      </w:r>
      <w:r>
        <w:t xml:space="preserve"> </w:t>
      </w:r>
      <w:r>
        <w:t xml:space="preserve">Social media: Facebook MAU grew from 100M (2008) to 1.86B (2016) - AI/ML</w:t>
      </w:r>
      <w:r>
        <w:t xml:space="preserve"> </w:t>
      </w:r>
      <w:r>
        <w:t xml:space="preserve">investments: Deep learning breakthrough (ImageNet 2012) launched current</w:t>
      </w:r>
      <w:r>
        <w:t xml:space="preserve"> </w:t>
      </w:r>
      <w:r>
        <w:t xml:space="preserve">AI revolution</w:t>
      </w:r>
    </w:p>
    <w:p>
      <w:pPr>
        <w:pStyle w:val="BodyText"/>
      </w:pPr>
      <w:r>
        <w:rPr>
          <w:bCs/>
          <w:b/>
        </w:rPr>
        <w:t xml:space="preserve">R&amp;D Investment:</w:t>
      </w:r>
      <w:r>
        <w:t xml:space="preserve"> </w:t>
      </w:r>
      <w:r>
        <w:t xml:space="preserve">- US total R&amp;D spending: $407B (2008) → $499B</w:t>
      </w:r>
      <w:r>
        <w:t xml:space="preserve"> </w:t>
      </w:r>
      <w:r>
        <w:t xml:space="preserve">(2016), 23% nominal growth - R&amp;D as % of GDP: 2.76% (2008) → 2.79%</w:t>
      </w:r>
      <w:r>
        <w:t xml:space="preserve"> </w:t>
      </w:r>
      <w:r>
        <w:t xml:space="preserve">(2016), essentially flat - Federal R&amp;D: $133B (2008) → $127B (2016),</w:t>
      </w:r>
      <w:r>
        <w:t xml:space="preserve"> </w:t>
      </w:r>
      <w:r>
        <w:t xml:space="preserve">declined in real terms due to sequestration</w:t>
      </w:r>
    </w:p>
    <w:p>
      <w:pPr>
        <w:pStyle w:val="BodyText"/>
      </w:pPr>
      <w:r>
        <w:rPr>
          <w:bCs/>
          <w:b/>
        </w:rPr>
        <w:t xml:space="preserve">Venture Capital:</w:t>
      </w:r>
      <w:r>
        <w:t xml:space="preserve"> </w:t>
      </w:r>
      <w:r>
        <w:t xml:space="preserve">- US VC investment: $30.2B (2008) → $79.3B</w:t>
      </w:r>
      <w:r>
        <w:t xml:space="preserve"> </w:t>
      </w:r>
      <w:r>
        <w:t xml:space="preserve">(2016) - US share of global VC: approximately 70% throughout period</w:t>
      </w:r>
    </w:p>
    <w:p>
      <w:pPr>
        <w:pStyle w:val="BodyText"/>
      </w:pPr>
      <w:r>
        <w:rPr>
          <w:bCs/>
          <w:b/>
        </w:rPr>
        <w:t xml:space="preserve">Score: 7.5 → 7.5 (unchanged)</w:t>
      </w:r>
    </w:p>
    <w:p>
      <w:pPr>
        <w:pStyle w:val="BodyText"/>
      </w:pPr>
      <w:r>
        <w:t xml:space="preserve">The technology domain showed remarkable resilience and even</w:t>
      </w:r>
      <w:r>
        <w:t xml:space="preserve"> </w:t>
      </w:r>
      <w:r>
        <w:t xml:space="preserve">strengthening during this period. Platform company emergence represented</w:t>
      </w:r>
      <w:r>
        <w:t xml:space="preserve"> </w:t>
      </w:r>
      <w:r>
        <w:t xml:space="preserve">a new form of American technological hegemony even as traditional</w:t>
      </w:r>
      <w:r>
        <w:t xml:space="preserve"> </w:t>
      </w:r>
      <w:r>
        <w:t xml:space="preserve">manufacturing continued to decline.</w:t>
      </w:r>
    </w:p>
    <w:bookmarkEnd w:id="49"/>
    <w:bookmarkEnd w:id="50"/>
    <w:bookmarkStart w:id="52" w:name="X3369f963488f25ffe3899c3ff561512fe0f4044"/>
    <w:p>
      <w:pPr>
        <w:pStyle w:val="Heading2"/>
      </w:pPr>
      <w:r>
        <w:t xml:space="preserve">Domain 8: Information and Intelligence Systems (2008-2016)</w:t>
      </w:r>
    </w:p>
    <w:bookmarkStart w:id="51" w:name="post-snowden-intelligence-reform"/>
    <w:p>
      <w:pPr>
        <w:pStyle w:val="Heading3"/>
      </w:pPr>
      <w:r>
        <w:t xml:space="preserve">Post-Snowden Intelligence Reform</w:t>
      </w:r>
    </w:p>
    <w:p>
      <w:pPr>
        <w:pStyle w:val="FirstParagraph"/>
      </w:pPr>
      <w:r>
        <w:t xml:space="preserve">The June 2013 Snowden revelations created a legitimacy crisis for</w:t>
      </w:r>
      <w:r>
        <w:t xml:space="preserve"> </w:t>
      </w:r>
      <w:r>
        <w:t xml:space="preserve">American intelligence:</w:t>
      </w:r>
    </w:p>
    <w:p>
      <w:pPr>
        <w:pStyle w:val="BodyText"/>
      </w:pPr>
      <w:r>
        <w:rPr>
          <w:bCs/>
          <w:b/>
        </w:rPr>
        <w:t xml:space="preserve">Programs Revealed:</w:t>
      </w:r>
      <w:r>
        <w:t xml:space="preserve"> </w:t>
      </w:r>
      <w:r>
        <w:t xml:space="preserve">- PRISM: Direct collection from major US tech</w:t>
      </w:r>
      <w:r>
        <w:t xml:space="preserve"> </w:t>
      </w:r>
      <w:r>
        <w:t xml:space="preserve">company servers - Upstream: Collection from fiber-optic backbone -</w:t>
      </w:r>
      <w:r>
        <w:t xml:space="preserve"> </w:t>
      </w:r>
      <w:r>
        <w:t xml:space="preserve">Metadata collection: Bulk phone records under Section 215 -</w:t>
      </w:r>
      <w:r>
        <w:t xml:space="preserve"> </w:t>
      </w:r>
      <w:r>
        <w:t xml:space="preserve">International leader surveillance: Including German Chancellor Merkel</w:t>
      </w:r>
    </w:p>
    <w:p>
      <w:pPr>
        <w:pStyle w:val="BodyText"/>
      </w:pPr>
      <w:r>
        <w:rPr>
          <w:bCs/>
          <w:b/>
        </w:rPr>
        <w:t xml:space="preserve">Reform Response:</w:t>
      </w:r>
      <w:r>
        <w:t xml:space="preserve"> </w:t>
      </w:r>
      <w:r>
        <w:t xml:space="preserve">- USA FREEDOM Act (2015): Ended bulk metadata</w:t>
      </w:r>
      <w:r>
        <w:t xml:space="preserve"> </w:t>
      </w:r>
      <w:r>
        <w:t xml:space="preserve">collection; required FISA Court advocate for novel interpretations -</w:t>
      </w:r>
      <w:r>
        <w:t xml:space="preserve"> </w:t>
      </w:r>
      <w:r>
        <w:t xml:space="preserve">PPD-28 (2014): Limited surveillance of non-US persons; prohibited</w:t>
      </w:r>
      <w:r>
        <w:t xml:space="preserve"> </w:t>
      </w:r>
      <w:r>
        <w:t xml:space="preserve">industrial espionage for commercial advantage - Intelligence Community</w:t>
      </w:r>
      <w:r>
        <w:t xml:space="preserve"> </w:t>
      </w:r>
      <w:r>
        <w:t xml:space="preserve">transparency initiatives: Annual statistical releases on FISA activity</w:t>
      </w:r>
    </w:p>
    <w:p>
      <w:pPr>
        <w:pStyle w:val="BodyText"/>
      </w:pPr>
      <w:r>
        <w:rPr>
          <w:bCs/>
          <w:b/>
        </w:rPr>
        <w:t xml:space="preserve">Trust Impact:</w:t>
      </w:r>
      <w:r>
        <w:t xml:space="preserve"> </w:t>
      </w:r>
      <w:r>
        <w:t xml:space="preserve">- Tech company relations: Initially damaged but</w:t>
      </w:r>
      <w:r>
        <w:t xml:space="preserve"> </w:t>
      </w:r>
      <w:r>
        <w:t xml:space="preserve">eventually normalized through legal clarity - European relations:</w:t>
      </w:r>
      <w:r>
        <w:t xml:space="preserve"> </w:t>
      </w:r>
      <w:r>
        <w:t xml:space="preserve">Germany particularly affected; US-EU Privacy Shield (2016) addressed</w:t>
      </w:r>
      <w:r>
        <w:t xml:space="preserve"> </w:t>
      </w:r>
      <w:r>
        <w:t xml:space="preserve">Safe Harbor invalidation - Public opinion: Gallup showed 53% disapproval</w:t>
      </w:r>
      <w:r>
        <w:t xml:space="preserve"> </w:t>
      </w:r>
      <w:r>
        <w:t xml:space="preserve">of NSA programs (2013)</w:t>
      </w:r>
    </w:p>
    <w:p>
      <w:pPr>
        <w:pStyle w:val="BodyText"/>
      </w:pPr>
      <w:r>
        <w:rPr>
          <w:bCs/>
          <w:b/>
        </w:rPr>
        <w:t xml:space="preserve">Operational Continuity:</w:t>
      </w:r>
      <w:r>
        <w:t xml:space="preserve"> </w:t>
      </w:r>
      <w:r>
        <w:t xml:space="preserve">Despite political controversy, intelligence</w:t>
      </w:r>
      <w:r>
        <w:t xml:space="preserve"> </w:t>
      </w:r>
      <w:r>
        <w:t xml:space="preserve">capabilities remained robust: - SIGINT collection adapted to encryption</w:t>
      </w:r>
      <w:r>
        <w:t xml:space="preserve"> </w:t>
      </w:r>
      <w:r>
        <w:t xml:space="preserve">challenges - Cyber operations expanded (Stuxnet success; growing use</w:t>
      </w:r>
      <w:r>
        <w:t xml:space="preserve"> </w:t>
      </w:r>
      <w:r>
        <w:t xml:space="preserve">against ISIS) - HUMINT networks maintained or expanded</w:t>
      </w:r>
    </w:p>
    <w:p>
      <w:pPr>
        <w:pStyle w:val="BodyText"/>
      </w:pPr>
      <w:r>
        <w:rPr>
          <w:bCs/>
          <w:b/>
        </w:rPr>
        <w:t xml:space="preserve">Score: 7.0 → 6.5 (-7%)</w:t>
      </w:r>
    </w:p>
    <w:p>
      <w:pPr>
        <w:pStyle w:val="BodyText"/>
      </w:pPr>
      <w:r>
        <w:t xml:space="preserve">Intelligence community faced significant legitimacy challenges but</w:t>
      </w:r>
      <w:r>
        <w:t xml:space="preserve"> </w:t>
      </w:r>
      <w:r>
        <w:t xml:space="preserve">maintained operational effectiveness. Reforms preserved capabilities</w:t>
      </w:r>
      <w:r>
        <w:t xml:space="preserve"> </w:t>
      </w:r>
      <w:r>
        <w:t xml:space="preserve">while imposing meaningful constraints.</w:t>
      </w:r>
    </w:p>
    <w:bookmarkEnd w:id="51"/>
    <w:bookmarkEnd w:id="52"/>
    <w:bookmarkStart w:id="54" w:name="X4fa77046da6cf5a6cbad143753f85fab3f3d63a"/>
    <w:p>
      <w:pPr>
        <w:pStyle w:val="Heading2"/>
      </w:pPr>
      <w:r>
        <w:t xml:space="preserve">Domain 9: Economic and Financial Systems (2008-2016)</w:t>
      </w:r>
    </w:p>
    <w:bookmarkStart w:id="53" w:name="the-feds-transformation"/>
    <w:p>
      <w:pPr>
        <w:pStyle w:val="Heading3"/>
      </w:pPr>
      <w:r>
        <w:t xml:space="preserve">The Fed’s Transformation</w:t>
      </w:r>
    </w:p>
    <w:p>
      <w:pPr>
        <w:pStyle w:val="FirstParagraph"/>
      </w:pPr>
      <w:r>
        <w:t xml:space="preserve">The Federal Reserve’s response to the 2008 crisis fundamentally</w:t>
      </w:r>
      <w:r>
        <w:t xml:space="preserve"> </w:t>
      </w:r>
      <w:r>
        <w:t xml:space="preserve">transformed its role:</w:t>
      </w:r>
    </w:p>
    <w:p>
      <w:pPr>
        <w:pStyle w:val="BodyText"/>
      </w:pPr>
      <w:r>
        <w:rPr>
          <w:bCs/>
          <w:b/>
        </w:rPr>
        <w:t xml:space="preserve">Quantitative Easing Programs:</w:t>
      </w:r>
    </w:p>
    <w:p>
      <w:pPr>
        <w:pStyle w:val="BodyText"/>
      </w:pPr>
      <w:r>
        <w:rPr>
          <w:iCs/>
          <w:i/>
        </w:rPr>
        <w:t xml:space="preserve">QE1 (November 2008 - March 2010):</w:t>
      </w:r>
      <w:r>
        <w:t xml:space="preserve"> </w:t>
      </w:r>
      <w:r>
        <w:t xml:space="preserve">- $1.75 trillion total purchases -</w:t>
      </w:r>
      <w:r>
        <w:t xml:space="preserve"> </w:t>
      </w:r>
      <w:r>
        <w:t xml:space="preserve">$1.25 trillion MBS, $175 billion agency securities, $300 billion</w:t>
      </w:r>
      <w:r>
        <w:t xml:space="preserve"> </w:t>
      </w:r>
      <w:r>
        <w:t xml:space="preserve">long-term Treasuries - Mortgage rates declined from 6.3% to 5.2%</w:t>
      </w:r>
    </w:p>
    <w:p>
      <w:pPr>
        <w:pStyle w:val="BodyText"/>
      </w:pPr>
      <w:r>
        <w:rPr>
          <w:iCs/>
          <w:i/>
        </w:rPr>
        <w:t xml:space="preserve">QE2 (November 2010 - June 2011):</w:t>
      </w:r>
      <w:r>
        <w:t xml:space="preserve"> </w:t>
      </w:r>
      <w:r>
        <w:t xml:space="preserve">- $600 billion long-term Treasury</w:t>
      </w:r>
      <w:r>
        <w:t xml:space="preserve"> </w:t>
      </w:r>
      <w:r>
        <w:t xml:space="preserve">purchases - $75 billion/month pace</w:t>
      </w:r>
    </w:p>
    <w:p>
      <w:pPr>
        <w:pStyle w:val="BodyText"/>
      </w:pPr>
      <w:r>
        <w:rPr>
          <w:iCs/>
          <w:i/>
        </w:rPr>
        <w:t xml:space="preserve">Operation Twist (September 2011 - December 2012):</w:t>
      </w:r>
      <w:r>
        <w:t xml:space="preserve"> </w:t>
      </w:r>
      <w:r>
        <w:t xml:space="preserve">- Maturity</w:t>
      </w:r>
      <w:r>
        <w:t xml:space="preserve"> </w:t>
      </w:r>
      <w:r>
        <w:t xml:space="preserve">extension: sold short-term, bought long-term - $600+ billion without</w:t>
      </w:r>
      <w:r>
        <w:t xml:space="preserve"> </w:t>
      </w:r>
      <w:r>
        <w:t xml:space="preserve">balance sheet expansion - Reduced long-term rates approximately 46 basis</w:t>
      </w:r>
      <w:r>
        <w:t xml:space="preserve"> </w:t>
      </w:r>
      <w:r>
        <w:t xml:space="preserve">points</w:t>
      </w:r>
    </w:p>
    <w:p>
      <w:pPr>
        <w:pStyle w:val="BodyText"/>
      </w:pPr>
      <w:r>
        <w:rPr>
          <w:iCs/>
          <w:i/>
        </w:rPr>
        <w:t xml:space="preserve">QE3 (September 2012 - October 2014):</w:t>
      </w:r>
      <w:r>
        <w:t xml:space="preserve"> </w:t>
      </w:r>
      <w:r>
        <w:t xml:space="preserve">- Open-ended commitment:</w:t>
      </w:r>
      <w:r>
        <w:t xml:space="preserve"> </w:t>
      </w:r>
      <w:r>
        <w:t xml:space="preserve">“</w:t>
      </w:r>
      <w:r>
        <w:t xml:space="preserve">until</w:t>
      </w:r>
      <w:r>
        <w:t xml:space="preserve"> </w:t>
      </w:r>
      <w:r>
        <w:t xml:space="preserve">labor market improves substantially</w:t>
      </w:r>
      <w:r>
        <w:t xml:space="preserve">”</w:t>
      </w:r>
      <w:r>
        <w:t xml:space="preserve"> </w:t>
      </w:r>
      <w:r>
        <w:t xml:space="preserve">- $85 billion/month ($40B MBS,</w:t>
      </w:r>
      <w:r>
        <w:t xml:space="preserve"> </w:t>
      </w:r>
      <w:r>
        <w:t xml:space="preserve">$45B Treasuries) at peak - Explicit forward guidance linking rates to</w:t>
      </w:r>
      <w:r>
        <w:t xml:space="preserve"> </w:t>
      </w:r>
      <w:r>
        <w:t xml:space="preserve">unemployment threshold</w:t>
      </w:r>
    </w:p>
    <w:p>
      <w:pPr>
        <w:pStyle w:val="BodyText"/>
      </w:pPr>
      <w:r>
        <w:rPr>
          <w:bCs/>
          <w:b/>
        </w:rPr>
        <w:t xml:space="preserve">Balance Sheet Expansion:</w:t>
      </w:r>
      <w:r>
        <w:t xml:space="preserve"> </w:t>
      </w:r>
      <w:r>
        <w:t xml:space="preserve">- Pre-crisis (2007): $882 billion (6% of</w:t>
      </w:r>
      <w:r>
        <w:t xml:space="preserve"> </w:t>
      </w:r>
      <w:r>
        <w:t xml:space="preserve">GDP) - Post-QE (2015): $4.5 trillion (25% of GDP)</w:t>
      </w:r>
    </w:p>
    <w:p>
      <w:pPr>
        <w:pStyle w:val="BodyText"/>
      </w:pPr>
      <w:r>
        <w:rPr>
          <w:bCs/>
          <w:b/>
        </w:rPr>
        <w:t xml:space="preserve">Emergency Lending Facilities:</w:t>
      </w:r>
      <w:r>
        <w:t xml:space="preserve"> </w:t>
      </w:r>
      <w:r>
        <w:t xml:space="preserve">Beyond QE, the Fed deployed</w:t>
      </w:r>
      <w:r>
        <w:t xml:space="preserve"> </w:t>
      </w:r>
      <w:r>
        <w:t xml:space="preserve">extraordinary facilities: - Term Auction Facility (TAF): Peak $493</w:t>
      </w:r>
      <w:r>
        <w:t xml:space="preserve"> </w:t>
      </w:r>
      <w:r>
        <w:t xml:space="preserve">billion outstanding - Commercial Paper Funding Facility (CPFF): $348</w:t>
      </w:r>
      <w:r>
        <w:t xml:space="preserve"> </w:t>
      </w:r>
      <w:r>
        <w:t xml:space="preserve">billion peak - Primary Dealer Credit Facility (PDCF) - Asset-Backed</w:t>
      </w:r>
      <w:r>
        <w:t xml:space="preserve"> </w:t>
      </w:r>
      <w:r>
        <w:t xml:space="preserve">Commercial Paper Money Market Mutual Fund Liquidity Facility (AMLF) -</w:t>
      </w:r>
      <w:r>
        <w:t xml:space="preserve"> </w:t>
      </w:r>
      <w:r>
        <w:t xml:space="preserve">Term Asset-Backed Securities Loan Facility (TALF)</w:t>
      </w:r>
    </w:p>
    <w:p>
      <w:pPr>
        <w:pStyle w:val="BodyText"/>
      </w:pPr>
      <w:r>
        <w:rPr>
          <w:bCs/>
          <w:b/>
        </w:rPr>
        <w:t xml:space="preserve">Dollar Swap Lines:</w:t>
      </w:r>
      <w:r>
        <w:t xml:space="preserve"> </w:t>
      </w:r>
      <w:r>
        <w:t xml:space="preserve">The Fed’s international lender of last resort</w:t>
      </w:r>
      <w:r>
        <w:t xml:space="preserve"> </w:t>
      </w:r>
      <w:r>
        <w:t xml:space="preserve">function operated through swap lines: - Peak usage (December 2008):</w:t>
      </w:r>
      <w:r>
        <w:t xml:space="preserve"> </w:t>
      </w:r>
      <w:r>
        <w:t xml:space="preserve">$580 billion outstanding - 14 central bank counterparties by October</w:t>
      </w:r>
      <w:r>
        <w:t xml:space="preserve"> </w:t>
      </w:r>
      <w:r>
        <w:t xml:space="preserve">2008 - Unlimited quantity at fixed price from October 13,</w:t>
      </w:r>
      <w:r>
        <w:t xml:space="preserve"> </w:t>
      </w:r>
      <w:r>
        <w:t xml:space="preserve">2008—precisely Kindleberger’s rule</w:t>
      </w:r>
    </w:p>
    <w:p>
      <w:pPr>
        <w:pStyle w:val="BodyText"/>
      </w:pPr>
      <w:r>
        <w:t xml:space="preserve">Laurent Le Maux and Emmanuel Carré (Industrial and Corporate Change,</w:t>
      </w:r>
      <w:r>
        <w:t xml:space="preserve"> </w:t>
      </w:r>
      <w:r>
        <w:t xml:space="preserve">2022) document that this matched</w:t>
      </w:r>
      <w:r>
        <w:t xml:space="preserve"> </w:t>
      </w:r>
      <w:r>
        <w:t xml:space="preserve">“</w:t>
      </w:r>
      <w:r>
        <w:t xml:space="preserve">Kindleberger’s rule… the lender of</w:t>
      </w:r>
      <w:r>
        <w:t xml:space="preserve"> </w:t>
      </w:r>
      <w:r>
        <w:t xml:space="preserve">last resort should lend unlimited amounts of international liquidity to</w:t>
      </w:r>
      <w:r>
        <w:t xml:space="preserve"> </w:t>
      </w:r>
      <w:r>
        <w:t xml:space="preserve">other central banks against their own currencies and at a moderate</w:t>
      </w:r>
      <w:r>
        <w:t xml:space="preserve"> </w:t>
      </w:r>
      <w:r>
        <w:t xml:space="preserve">interest rate.</w:t>
      </w:r>
      <w:r>
        <w:t xml:space="preserve">”</w:t>
      </w:r>
    </w:p>
    <w:p>
      <w:pPr>
        <w:pStyle w:val="BodyText"/>
      </w:pPr>
      <w:r>
        <w:rPr>
          <w:bCs/>
          <w:b/>
        </w:rPr>
        <w:t xml:space="preserve">Real Economy Recovery:</w:t>
      </w:r>
      <w:r>
        <w:t xml:space="preserve"> </w:t>
      </w:r>
      <w:r>
        <w:t xml:space="preserve">- GDP growth: -2.8% (2009) → +2.9% (2015) -</w:t>
      </w:r>
      <w:r>
        <w:t xml:space="preserve"> </w:t>
      </w:r>
      <w:r>
        <w:t xml:space="preserve">Unemployment: 10.0% peak (October 2009) → 4.7% (December 2016) - Stock</w:t>
      </w:r>
      <w:r>
        <w:t xml:space="preserve"> </w:t>
      </w:r>
      <w:r>
        <w:t xml:space="preserve">market: S&amp;P 500 rose 166% from March 2009 low to December 2016</w:t>
      </w:r>
    </w:p>
    <w:p>
      <w:pPr>
        <w:pStyle w:val="BodyText"/>
      </w:pPr>
      <w:r>
        <w:rPr>
          <w:bCs/>
          <w:b/>
        </w:rPr>
        <w:t xml:space="preserve">Fiscal Response:</w:t>
      </w:r>
      <w:r>
        <w:t xml:space="preserve"> </w:t>
      </w:r>
      <w:r>
        <w:t xml:space="preserve">American Recovery and Reinvestment Act (ARRA,</w:t>
      </w:r>
      <w:r>
        <w:t xml:space="preserve"> </w:t>
      </w:r>
      <w:r>
        <w:t xml:space="preserve">February 2009): - $831 billion stimulus (CBO final estimate) - Tax</w:t>
      </w:r>
      <w:r>
        <w:t xml:space="preserve"> </w:t>
      </w:r>
      <w:r>
        <w:t xml:space="preserve">cuts, infrastructure spending, state fiscal relief - Debate continues</w:t>
      </w:r>
      <w:r>
        <w:t xml:space="preserve"> </w:t>
      </w:r>
      <w:r>
        <w:t xml:space="preserve">over multiplier effects and optimal size</w:t>
      </w:r>
    </w:p>
    <w:p>
      <w:pPr>
        <w:pStyle w:val="BodyText"/>
      </w:pPr>
      <w:r>
        <w:rPr>
          <w:bCs/>
          <w:b/>
        </w:rPr>
        <w:t xml:space="preserve">Structural Concerns:</w:t>
      </w:r>
      <w:r>
        <w:t xml:space="preserve"> </w:t>
      </w:r>
      <w:r>
        <w:t xml:space="preserve">- Productivity growth slowdown: 2.9%</w:t>
      </w:r>
      <w:r>
        <w:t xml:space="preserve"> </w:t>
      </w:r>
      <w:r>
        <w:t xml:space="preserve">(1995-2004) → 1.3% (2005-2016) - Manufacturing employment continued</w:t>
      </w:r>
      <w:r>
        <w:t xml:space="preserve"> </w:t>
      </w:r>
      <w:r>
        <w:t xml:space="preserve">declining: 13.4M (2008) → 12.3M (2016) - Trade deficit persistent:</w:t>
      </w:r>
      <w:r>
        <w:t xml:space="preserve"> </w:t>
      </w:r>
      <w:r>
        <w:t xml:space="preserve">$702B (2008) → $502B (2016) - Federal debt: $10.0T (2008) → $19.6T</w:t>
      </w:r>
      <w:r>
        <w:t xml:space="preserve"> </w:t>
      </w:r>
      <w:r>
        <w:t xml:space="preserve">(2016), rising from 64% to 105% of GDP</w:t>
      </w:r>
    </w:p>
    <w:p>
      <w:pPr>
        <w:pStyle w:val="BodyText"/>
      </w:pPr>
      <w:r>
        <w:rPr>
          <w:bCs/>
          <w:b/>
        </w:rPr>
        <w:t xml:space="preserve">Score: 7.0 → 6.0 (-14%)</w:t>
      </w:r>
    </w:p>
    <w:p>
      <w:pPr>
        <w:pStyle w:val="BodyText"/>
      </w:pPr>
      <w:r>
        <w:t xml:space="preserve">The financial domain demonstrated extraordinary crisis management</w:t>
      </w:r>
      <w:r>
        <w:t xml:space="preserve"> </w:t>
      </w:r>
      <w:r>
        <w:t xml:space="preserve">capacity but at substantial cost. The Fed successfully arrested systemic</w:t>
      </w:r>
      <w:r>
        <w:t xml:space="preserve"> </w:t>
      </w:r>
      <w:r>
        <w:t xml:space="preserve">collapse and enabled recovery, but structural issues (productivity,</w:t>
      </w:r>
      <w:r>
        <w:t xml:space="preserve"> </w:t>
      </w:r>
      <w:r>
        <w:t xml:space="preserve">manufacturing, debt) remained unresolved, and the extraordinary measures</w:t>
      </w:r>
      <w:r>
        <w:t xml:space="preserve"> </w:t>
      </w:r>
      <w:r>
        <w:t xml:space="preserve">undertaken created new dependencies and distributional consequences.</w:t>
      </w:r>
    </w:p>
    <w:bookmarkEnd w:id="53"/>
    <w:bookmarkEnd w:id="54"/>
    <w:bookmarkStart w:id="55" w:name="Xe0221fbce5b046a4999478d6855d6cedf6ec883"/>
    <w:p>
      <w:pPr>
        <w:pStyle w:val="Heading2"/>
      </w:pPr>
      <w:r>
        <w:t xml:space="preserve">Sub-Period I Summary: Adaptation Under Stress</w:t>
      </w:r>
    </w:p>
    <w:p>
      <w:pPr>
        <w:pStyle w:val="FirstParagraph"/>
      </w:pPr>
      <w:r>
        <w:t xml:space="preserve">The 2008-2016 period tested American hegemonic institutions severely.</w:t>
      </w:r>
      <w:r>
        <w:t xml:space="preserve"> </w:t>
      </w:r>
      <w:r>
        <w:t xml:space="preserve">The crisis originated within the American financial system—the</w:t>
      </w:r>
      <w:r>
        <w:t xml:space="preserve"> </w:t>
      </w:r>
      <w:r>
        <w:t xml:space="preserve">subprime mortgage market, the securitization infrastructure, the rating</w:t>
      </w:r>
      <w:r>
        <w:t xml:space="preserve"> </w:t>
      </w:r>
      <w:r>
        <w:t xml:space="preserve">agency failures, the leverage concentrations—and propagated globally</w:t>
      </w:r>
      <w:r>
        <w:t xml:space="preserve"> </w:t>
      </w:r>
      <w:r>
        <w:t xml:space="preserve">through dollar-denominated credit channels. Yet the institutional</w:t>
      </w:r>
      <w:r>
        <w:t xml:space="preserve"> </w:t>
      </w:r>
      <w:r>
        <w:t xml:space="preserve">response, however contested politically, demonstrated adaptive capacity:</w:t>
      </w:r>
    </w:p>
    <w:p>
      <w:pPr>
        <w:pStyle w:val="BodyText"/>
      </w:pPr>
      <w:r>
        <w:rPr>
          <w:bCs/>
          <w:b/>
        </w:rPr>
        <w:t xml:space="preserve">What Worked:</w:t>
      </w:r>
      <w:r>
        <w:t xml:space="preserve"> </w:t>
      </w:r>
      <w:r>
        <w:t xml:space="preserve">1. Federal Reserve crisis management: Swap lines, QE,</w:t>
      </w:r>
      <w:r>
        <w:t xml:space="preserve"> </w:t>
      </w:r>
      <w:r>
        <w:t xml:space="preserve">emergency facilities prevented systemic collapse 2. Regulatory reform:</w:t>
      </w:r>
      <w:r>
        <w:t xml:space="preserve"> </w:t>
      </w:r>
      <w:r>
        <w:t xml:space="preserve">Dodd-Frank addressed identified vulnerabilities, if imperfectly 3.</w:t>
      </w:r>
      <w:r>
        <w:t xml:space="preserve"> </w:t>
      </w:r>
      <w:r>
        <w:t xml:space="preserve">Fiscal stimulus: ARRA provided countercyclical support 4. Soft power</w:t>
      </w:r>
      <w:r>
        <w:t xml:space="preserve"> </w:t>
      </w:r>
      <w:r>
        <w:t xml:space="preserve">recovery: Obama’s election partially restored global standing 5.</w:t>
      </w:r>
      <w:r>
        <w:t xml:space="preserve"> </w:t>
      </w:r>
      <w:r>
        <w:t xml:space="preserve">Technology innovation: Platform companies created new hegemonic assets</w:t>
      </w:r>
    </w:p>
    <w:p>
      <w:pPr>
        <w:pStyle w:val="BodyText"/>
      </w:pPr>
      <w:r>
        <w:rPr>
          <w:bCs/>
          <w:b/>
        </w:rPr>
        <w:t xml:space="preserve">What Failed or Remained Unresolved:</w:t>
      </w:r>
      <w:r>
        <w:t xml:space="preserve"> </w:t>
      </w:r>
      <w:r>
        <w:t xml:space="preserve">1. Social damage: Inequality,</w:t>
      </w:r>
      <w:r>
        <w:t xml:space="preserve"> </w:t>
      </w:r>
      <w:r>
        <w:t xml:space="preserve">trust erosion,</w:t>
      </w:r>
      <w:r>
        <w:t xml:space="preserve"> </w:t>
      </w:r>
      <w:r>
        <w:t xml:space="preserve">“</w:t>
      </w:r>
      <w:r>
        <w:t xml:space="preserve">deaths of despair</w:t>
      </w:r>
      <w:r>
        <w:t xml:space="preserve">”</w:t>
      </w:r>
      <w:r>
        <w:t xml:space="preserve"> </w:t>
      </w:r>
      <w:r>
        <w:t xml:space="preserve">created compound problems 2.</w:t>
      </w:r>
      <w:r>
        <w:t xml:space="preserve"> </w:t>
      </w:r>
      <w:r>
        <w:t xml:space="preserve">Governance paralysis: Congressional dysfunction prevented further</w:t>
      </w:r>
      <w:r>
        <w:t xml:space="preserve"> </w:t>
      </w:r>
      <w:r>
        <w:t xml:space="preserve">adaptation after 2010 3. Manufacturing decline: No reversal of</w:t>
      </w:r>
      <w:r>
        <w:t xml:space="preserve"> </w:t>
      </w:r>
      <w:r>
        <w:t xml:space="preserve">deindustrialization trend 4. Structural debt: Federal obligations nearly</w:t>
      </w:r>
      <w:r>
        <w:t xml:space="preserve"> </w:t>
      </w:r>
      <w:r>
        <w:t xml:space="preserve">doubled 5. Too big to fail: Banking concentration increased despite</w:t>
      </w:r>
      <w:r>
        <w:t xml:space="preserve"> </w:t>
      </w:r>
      <w:r>
        <w:t xml:space="preserve">reform intent</w:t>
      </w:r>
    </w:p>
    <w:p>
      <w:pPr>
        <w:pStyle w:val="BodyText"/>
      </w:pPr>
      <w:r>
        <w:rPr>
          <w:bCs/>
          <w:b/>
        </w:rPr>
        <w:t xml:space="preserve">Composite Score Trajectory (2008-2016):</w:t>
      </w:r>
      <w:r>
        <w:t xml:space="preserve"> </w:t>
      </w:r>
      <w:r>
        <w:t xml:space="preserve">- 2008 Average: 6.78 - 2016</w:t>
      </w:r>
      <w:r>
        <w:t xml:space="preserve"> </w:t>
      </w:r>
      <w:r>
        <w:t xml:space="preserve">Average: 6.28 - Decline: -0.50 (-7.4%)</w:t>
      </w:r>
    </w:p>
    <w:p>
      <w:pPr>
        <w:pStyle w:val="BodyText"/>
      </w:pPr>
      <w:r>
        <w:t xml:space="preserve">This represents meaningful but not catastrophic erosion—consistent</w:t>
      </w:r>
      <w:r>
        <w:t xml:space="preserve"> </w:t>
      </w:r>
      <w:r>
        <w:t xml:space="preserve">with signal crisis adaptation rather than terminal decline. The</w:t>
      </w:r>
      <w:r>
        <w:t xml:space="preserve"> </w:t>
      </w:r>
      <w:r>
        <w:t xml:space="preserve">succeeding period (2016-2021) would test whether the adaptive capacity</w:t>
      </w:r>
      <w:r>
        <w:t xml:space="preserve"> </w:t>
      </w:r>
      <w:r>
        <w:t xml:space="preserve">demonstrated in 2008-2016 could be sustained under different political</w:t>
      </w:r>
      <w:r>
        <w:t xml:space="preserve"> </w:t>
      </w:r>
      <w:r>
        <w:t xml:space="preserve">conditions.</w:t>
      </w:r>
    </w:p>
    <w:p>
      <w:pPr>
        <w:pStyle w:val="BodyText"/>
      </w:pPr>
      <w:r>
        <w:rPr>
          <w:iCs/>
          <w:i/>
        </w:rPr>
        <w:t xml:space="preserve">[PART 1 COMPLETE — Document continues in PART 2 with Sub-Period II:</w:t>
      </w:r>
      <w:r>
        <w:rPr>
          <w:iCs/>
          <w:i/>
        </w:rPr>
        <w:t xml:space="preserve"> </w:t>
      </w:r>
      <w:r>
        <w:rPr>
          <w:iCs/>
          <w:i/>
        </w:rPr>
        <w:t xml:space="preserve">Disruption and Contestation (2016-2021)]</w:t>
      </w:r>
      <w:r>
        <w:t xml:space="preserve"> </w:t>
      </w:r>
      <w:r>
        <w:t xml:space="preserve"># AMERICAN HEGEMONY SESSION</w:t>
      </w:r>
      <w:r>
        <w:t xml:space="preserve"> </w:t>
      </w:r>
      <w:r>
        <w:t xml:space="preserve">4: THE CONTEMPORARY PERIOD (2008-PRESENT) ## PART 2: SUB-PERIOD II —</w:t>
      </w:r>
      <w:r>
        <w:t xml:space="preserve"> </w:t>
      </w:r>
      <w:r>
        <w:t xml:space="preserve">DISRUPTION AND CONTESTATION (2016-2021)</w:t>
      </w:r>
    </w:p>
    <w:bookmarkEnd w:id="55"/>
    <w:bookmarkEnd w:id="56"/>
    <w:bookmarkStart w:id="78" w:name="X6de4a10297445a0566522dafaaecd8ee75f3f1b"/>
    <w:p>
      <w:pPr>
        <w:pStyle w:val="Heading1"/>
      </w:pPr>
      <w:r>
        <w:t xml:space="preserve">SUB-PERIOD II: DISRUPTION AND CONTESTATION (2016-2021)</w:t>
      </w:r>
    </w:p>
    <w:bookmarkStart w:id="57" w:name="X7729449251d9a7e1e5b038e06ba66cf47293515"/>
    <w:p>
      <w:pPr>
        <w:pStyle w:val="Heading2"/>
      </w:pPr>
      <w:r>
        <w:t xml:space="preserve">Overview: Stress-Testing Hegemonic Institutions</w:t>
      </w:r>
    </w:p>
    <w:p>
      <w:pPr>
        <w:pStyle w:val="FirstParagraph"/>
      </w:pPr>
      <w:r>
        <w:t xml:space="preserve">The 2016 election represented a stress test of a different kind than</w:t>
      </w:r>
      <w:r>
        <w:t xml:space="preserve"> </w:t>
      </w:r>
      <w:r>
        <w:t xml:space="preserve">2008. Where the financial crisis tested institutional crisis management</w:t>
      </w:r>
      <w:r>
        <w:t xml:space="preserve"> </w:t>
      </w:r>
      <w:r>
        <w:t xml:space="preserve">capacity, the Trump presidency tested institutional resilience under</w:t>
      </w:r>
      <w:r>
        <w:t xml:space="preserve"> </w:t>
      </w:r>
      <w:r>
        <w:t xml:space="preserve">internal contestation. The question was not whether American</w:t>
      </w:r>
      <w:r>
        <w:t xml:space="preserve"> </w:t>
      </w:r>
      <w:r>
        <w:t xml:space="preserve">institutions could respond to external shock but whether they could</w:t>
      </w:r>
      <w:r>
        <w:t xml:space="preserve"> </w:t>
      </w:r>
      <w:r>
        <w:t xml:space="preserve">maintain coherence when a significant portion of the political</w:t>
      </w:r>
      <w:r>
        <w:t xml:space="preserve"> </w:t>
      </w:r>
      <w:r>
        <w:t xml:space="preserve">coalition—including the executive branch itself—challenged their</w:t>
      </w:r>
      <w:r>
        <w:t xml:space="preserve"> </w:t>
      </w:r>
      <w:r>
        <w:t xml:space="preserve">legitimacy and operation.</w:t>
      </w:r>
    </w:p>
    <w:p>
      <w:pPr>
        <w:pStyle w:val="BodyText"/>
      </w:pPr>
      <w:r>
        <w:t xml:space="preserve">The period also witnessed the emergence of genuine peer competition in</w:t>
      </w:r>
      <w:r>
        <w:t xml:space="preserve"> </w:t>
      </w:r>
      <w:r>
        <w:t xml:space="preserve">ways absent since the Cold War. China’s Belt and Road Initiative, its</w:t>
      </w:r>
      <w:r>
        <w:t xml:space="preserve"> </w:t>
      </w:r>
      <w:r>
        <w:t xml:space="preserve">South China Sea militarization, and its technological ambitions (Made in</w:t>
      </w:r>
      <w:r>
        <w:t xml:space="preserve"> </w:t>
      </w:r>
      <w:r>
        <w:t xml:space="preserve">China 2025) suggested the possibility of a hegemonic challenger.</w:t>
      </w:r>
      <w:r>
        <w:t xml:space="preserve"> </w:t>
      </w:r>
      <w:r>
        <w:t xml:space="preserve">Russia’s hybrid warfare—election interference, disinformation</w:t>
      </w:r>
      <w:r>
        <w:t xml:space="preserve"> </w:t>
      </w:r>
      <w:r>
        <w:t xml:space="preserve">campaigns, the 2016 hacks—demonstrated that great power competition</w:t>
      </w:r>
      <w:r>
        <w:t xml:space="preserve"> </w:t>
      </w:r>
      <w:r>
        <w:t xml:space="preserve">had returned in forms that American institutions were poorly configured</w:t>
      </w:r>
      <w:r>
        <w:t xml:space="preserve"> </w:t>
      </w:r>
      <w:r>
        <w:t xml:space="preserve">to address.</w:t>
      </w:r>
    </w:p>
    <w:p>
      <w:pPr>
        <w:pStyle w:val="BodyText"/>
      </w:pPr>
      <w:r>
        <w:t xml:space="preserve">The COVID-19 pandemic (2020-2021) then delivered a third shock: a global</w:t>
      </w:r>
      <w:r>
        <w:t xml:space="preserve"> </w:t>
      </w:r>
      <w:r>
        <w:t xml:space="preserve">crisis requiring coordinated response at the precise moment when</w:t>
      </w:r>
      <w:r>
        <w:t xml:space="preserve"> </w:t>
      </w:r>
      <w:r>
        <w:t xml:space="preserve">American domestic polarization and institutional friction were most</w:t>
      </w:r>
      <w:r>
        <w:t xml:space="preserve"> </w:t>
      </w:r>
      <w:r>
        <w:t xml:space="preserve">severe.</w:t>
      </w:r>
    </w:p>
    <w:bookmarkEnd w:id="57"/>
    <w:bookmarkStart w:id="60" w:name="Xfb97ec2cbc2c27478162d94de42136c59b05509"/>
    <w:p>
      <w:pPr>
        <w:pStyle w:val="Heading2"/>
      </w:pPr>
      <w:r>
        <w:t xml:space="preserve">Domain 1: Governance and Political Institutions (2016-2021)</w:t>
      </w:r>
    </w:p>
    <w:bookmarkStart w:id="58" w:name="the-trump-disruption"/>
    <w:p>
      <w:pPr>
        <w:pStyle w:val="Heading3"/>
      </w:pPr>
      <w:r>
        <w:t xml:space="preserve">The Trump Disruption</w:t>
      </w:r>
    </w:p>
    <w:p>
      <w:pPr>
        <w:pStyle w:val="FirstParagraph"/>
      </w:pPr>
      <w:r>
        <w:t xml:space="preserve">The 2016 election result—Donald Trump’s Electoral College victory</w:t>
      </w:r>
      <w:r>
        <w:t xml:space="preserve"> </w:t>
      </w:r>
      <w:r>
        <w:t xml:space="preserve">(304-227) despite losing the popular vote by 2.9 million—was itself a</w:t>
      </w:r>
      <w:r>
        <w:t xml:space="preserve"> </w:t>
      </w:r>
      <w:r>
        <w:t xml:space="preserve">stress indicator. The electoral system, designed for 18th-century</w:t>
      </w:r>
      <w:r>
        <w:t xml:space="preserve"> </w:t>
      </w:r>
      <w:r>
        <w:t xml:space="preserve">conditions, produced outcomes where national majorities did not</w:t>
      </w:r>
      <w:r>
        <w:t xml:space="preserve"> </w:t>
      </w:r>
      <w:r>
        <w:t xml:space="preserve">necessarily translate to executive power. This was the second such</w:t>
      </w:r>
      <w:r>
        <w:t xml:space="preserve"> </w:t>
      </w:r>
      <w:r>
        <w:t xml:space="preserve">outcome in 16 years (after 2000).</w:t>
      </w:r>
    </w:p>
    <w:p>
      <w:pPr>
        <w:pStyle w:val="BodyText"/>
      </w:pPr>
      <w:r>
        <w:rPr>
          <w:bCs/>
          <w:b/>
        </w:rPr>
        <w:t xml:space="preserve">Institutional Contestation:</w:t>
      </w:r>
      <w:r>
        <w:t xml:space="preserve"> </w:t>
      </w:r>
      <w:r>
        <w:t xml:space="preserve">The Trump administration’s relationship</w:t>
      </w:r>
      <w:r>
        <w:t xml:space="preserve"> </w:t>
      </w:r>
      <w:r>
        <w:t xml:space="preserve">with executive institutions was adversarial in ways unprecedented in</w:t>
      </w:r>
      <w:r>
        <w:t xml:space="preserve"> </w:t>
      </w:r>
      <w:r>
        <w:t xml:space="preserve">modern American history:</w:t>
      </w:r>
    </w:p>
    <w:p>
      <w:pPr>
        <w:pStyle w:val="BodyText"/>
      </w:pPr>
      <w:r>
        <w:rPr>
          <w:iCs/>
          <w:i/>
        </w:rPr>
        <w:t xml:space="preserve">Department of Justice:</w:t>
      </w:r>
      <w:r>
        <w:t xml:space="preserve"> </w:t>
      </w:r>
      <w:r>
        <w:t xml:space="preserve">- Recusal controversy (Sessions) - Special</w:t>
      </w:r>
      <w:r>
        <w:t xml:space="preserve"> </w:t>
      </w:r>
      <w:r>
        <w:t xml:space="preserve">Counsel investigation (Mueller, 2017-2019) - Firing of FBI Director</w:t>
      </w:r>
      <w:r>
        <w:t xml:space="preserve"> </w:t>
      </w:r>
      <w:r>
        <w:t xml:space="preserve">Comey (May 2017) - Repeated characterization of DOJ as political</w:t>
      </w:r>
      <w:r>
        <w:t xml:space="preserve"> </w:t>
      </w:r>
      <w:r>
        <w:t xml:space="preserve">opposition</w:t>
      </w:r>
    </w:p>
    <w:p>
      <w:pPr>
        <w:pStyle w:val="BodyText"/>
      </w:pPr>
      <w:r>
        <w:rPr>
          <w:iCs/>
          <w:i/>
        </w:rPr>
        <w:t xml:space="preserve">Intelligence Community:</w:t>
      </w:r>
      <w:r>
        <w:t xml:space="preserve"> </w:t>
      </w:r>
      <w:r>
        <w:t xml:space="preserve">- Public dispute with intelligence assessment</w:t>
      </w:r>
      <w:r>
        <w:t xml:space="preserve"> </w:t>
      </w:r>
      <w:r>
        <w:t xml:space="preserve">on Russian interference -</w:t>
      </w:r>
      <w:r>
        <w:t xml:space="preserve"> </w:t>
      </w:r>
      <w:r>
        <w:t xml:space="preserve">“</w:t>
      </w:r>
      <w:r>
        <w:t xml:space="preserve">Deep state</w:t>
      </w:r>
      <w:r>
        <w:t xml:space="preserve">”</w:t>
      </w:r>
      <w:r>
        <w:t xml:space="preserve"> </w:t>
      </w:r>
      <w:r>
        <w:t xml:space="preserve">framing presented career</w:t>
      </w:r>
      <w:r>
        <w:t xml:space="preserve"> </w:t>
      </w:r>
      <w:r>
        <w:t xml:space="preserve">officials as illegitimate opposition - Personnel turnover: Multiple</w:t>
      </w:r>
      <w:r>
        <w:t xml:space="preserve"> </w:t>
      </w:r>
      <w:r>
        <w:t xml:space="preserve">Directors of National Intelligence, acting leadership</w:t>
      </w:r>
    </w:p>
    <w:p>
      <w:pPr>
        <w:pStyle w:val="BodyText"/>
      </w:pPr>
      <w:r>
        <w:rPr>
          <w:iCs/>
          <w:i/>
        </w:rPr>
        <w:t xml:space="preserve">State Department:</w:t>
      </w:r>
      <w:r>
        <w:t xml:space="preserve"> </w:t>
      </w:r>
      <w:r>
        <w:t xml:space="preserve">- 60% decline in Foreign Service applications</w:t>
      </w:r>
      <w:r>
        <w:t xml:space="preserve"> </w:t>
      </w:r>
      <w:r>
        <w:t xml:space="preserve">(2016-2018) - Senior diplomat exodus: Multiple ambassadors resigned -</w:t>
      </w:r>
      <w:r>
        <w:t xml:space="preserve"> </w:t>
      </w:r>
      <w:r>
        <w:t xml:space="preserve">Bureau hollowing: Many senior positions remained unfilled</w:t>
      </w:r>
    </w:p>
    <w:p>
      <w:pPr>
        <w:pStyle w:val="BodyText"/>
      </w:pPr>
      <w:r>
        <w:rPr>
          <w:iCs/>
          <w:i/>
        </w:rPr>
        <w:t xml:space="preserve">Federal Reserve:</w:t>
      </w:r>
      <w:r>
        <w:t xml:space="preserve"> </w:t>
      </w:r>
      <w:r>
        <w:t xml:space="preserve">- Unprecedented public criticism of Fed Chair</w:t>
      </w:r>
      <w:r>
        <w:t xml:space="preserve"> </w:t>
      </w:r>
      <w:r>
        <w:t xml:space="preserve">Powell - Explicit pressure for rate cuts - Threats (not executed) to</w:t>
      </w:r>
      <w:r>
        <w:t xml:space="preserve"> </w:t>
      </w:r>
      <w:r>
        <w:t xml:space="preserve">dismiss Chair</w:t>
      </w:r>
    </w:p>
    <w:p>
      <w:pPr>
        <w:pStyle w:val="BodyText"/>
      </w:pPr>
      <w:r>
        <w:rPr>
          <w:bCs/>
          <w:b/>
        </w:rPr>
        <w:t xml:space="preserve">Legislative Dynamics:</w:t>
      </w:r>
      <w:r>
        <w:t xml:space="preserve"> </w:t>
      </w:r>
      <w:r>
        <w:t xml:space="preserve">Unified Republican government (2017-2019)</w:t>
      </w:r>
      <w:r>
        <w:t xml:space="preserve"> </w:t>
      </w:r>
      <w:r>
        <w:t xml:space="preserve">produced: - Tax Cuts and Jobs Act (2017): $1.5 trillion tax reduction,</w:t>
      </w:r>
      <w:r>
        <w:t xml:space="preserve"> </w:t>
      </w:r>
      <w:r>
        <w:t xml:space="preserve">primarily corporate - Two Supreme Court confirmations (Gorsuch 2017,</w:t>
      </w:r>
      <w:r>
        <w:t xml:space="preserve"> </w:t>
      </w:r>
      <w:r>
        <w:t xml:space="preserve">Kavanaugh 2018) - Failed ACA repeal (July 2017, McCain decisive vote) -</w:t>
      </w:r>
      <w:r>
        <w:t xml:space="preserve"> </w:t>
      </w:r>
      <w:r>
        <w:t xml:space="preserve">Government shutdowns (December 2018 - January 2019: 35 days, longest in</w:t>
      </w:r>
      <w:r>
        <w:t xml:space="preserve"> </w:t>
      </w:r>
      <w:r>
        <w:t xml:space="preserve">history)</w:t>
      </w:r>
    </w:p>
    <w:p>
      <w:pPr>
        <w:pStyle w:val="BodyText"/>
      </w:pPr>
      <w:r>
        <w:t xml:space="preserve">After the 2018 midterm Democratic House victory (40-seat gain),</w:t>
      </w:r>
      <w:r>
        <w:t xml:space="preserve"> </w:t>
      </w:r>
      <w:r>
        <w:t xml:space="preserve">governance reverted to the post-2010 pattern of divided government</w:t>
      </w:r>
      <w:r>
        <w:t xml:space="preserve"> </w:t>
      </w:r>
      <w:r>
        <w:t xml:space="preserve">producing crisis-by-crisis management.</w:t>
      </w:r>
    </w:p>
    <w:p>
      <w:pPr>
        <w:pStyle w:val="BodyText"/>
      </w:pPr>
      <w:r>
        <w:rPr>
          <w:bCs/>
          <w:b/>
        </w:rPr>
        <w:t xml:space="preserve">First Impeachment (December 2019 - February 2020):</w:t>
      </w:r>
      <w:r>
        <w:t xml:space="preserve"> </w:t>
      </w:r>
      <w:r>
        <w:t xml:space="preserve">- Ukraine aid</w:t>
      </w:r>
      <w:r>
        <w:t xml:space="preserve"> </w:t>
      </w:r>
      <w:r>
        <w:t xml:space="preserve">controversy: Withholding military assistance to pressure investigation</w:t>
      </w:r>
      <w:r>
        <w:t xml:space="preserve"> </w:t>
      </w:r>
      <w:r>
        <w:t xml:space="preserve">of political opponent - House impeachment: Articles on abuse of power</w:t>
      </w:r>
      <w:r>
        <w:t xml:space="preserve"> </w:t>
      </w:r>
      <w:r>
        <w:t xml:space="preserve">and obstruction of Congress - Senate acquittal: 52-48 (abuse of power),</w:t>
      </w:r>
      <w:r>
        <w:t xml:space="preserve"> </w:t>
      </w:r>
      <w:r>
        <w:t xml:space="preserve">53-47 (obstruction) - Mitt Romney sole Republican vote for conviction on</w:t>
      </w:r>
      <w:r>
        <w:t xml:space="preserve"> </w:t>
      </w:r>
      <w:r>
        <w:t xml:space="preserve">abuse of power article - Historical significance: First president</w:t>
      </w:r>
      <w:r>
        <w:t xml:space="preserve"> </w:t>
      </w:r>
      <w:r>
        <w:t xml:space="preserve">impeached in first term, first acquitted president to later be impeached</w:t>
      </w:r>
      <w:r>
        <w:t xml:space="preserve"> </w:t>
      </w:r>
      <w:r>
        <w:t xml:space="preserve">again</w:t>
      </w:r>
    </w:p>
    <w:p>
      <w:pPr>
        <w:pStyle w:val="BodyText"/>
      </w:pPr>
      <w:r>
        <w:rPr>
          <w:bCs/>
          <w:b/>
        </w:rPr>
        <w:t xml:space="preserve">Quantitative Governance Indicators (2016-2021):</w:t>
      </w:r>
    </w:p>
    <w:tbl>
      <w:tblPr>
        <w:tblStyle w:val="Table"/>
        <w:tblW w:type="pct" w:w="4867"/>
        <w:tblLook w:firstRow="1" w:lastRow="0" w:firstColumn="0" w:lastColumn="0" w:noHBand="0" w:noVBand="0" w:val="0020"/>
        <w:jc w:val="start"/>
      </w:tblPr>
      <w:tblGrid>
        <w:gridCol w:w="2217"/>
        <w:gridCol w:w="1161"/>
        <w:gridCol w:w="1161"/>
        <w:gridCol w:w="1584"/>
        <w:gridCol w:w="1584"/>
      </w:tblGrid>
      <w:tr>
        <w:trPr>
          <w:tblHeader w:val="true"/>
        </w:trPr>
        <w:tc>
          <w:tcPr/>
          <w:p>
            <w:pPr>
              <w:pStyle w:val="Compact"/>
              <w:jc w:val="left"/>
            </w:pPr>
            <w:r>
              <w:t xml:space="preserve">Indicator</w:t>
            </w:r>
          </w:p>
        </w:tc>
        <w:tc>
          <w:tcPr/>
          <w:p>
            <w:pPr>
              <w:pStyle w:val="Compact"/>
              <w:jc w:val="left"/>
            </w:pPr>
            <w:r>
              <w:t xml:space="preserve">2016</w:t>
            </w:r>
          </w:p>
        </w:tc>
        <w:tc>
          <w:tcPr/>
          <w:p>
            <w:pPr>
              <w:pStyle w:val="Compact"/>
              <w:jc w:val="left"/>
            </w:pPr>
            <w:r>
              <w:t xml:space="preserve">2020</w:t>
            </w:r>
          </w:p>
        </w:tc>
        <w:tc>
          <w:tcPr/>
          <w:p>
            <w:pPr>
              <w:pStyle w:val="Compact"/>
              <w:jc w:val="left"/>
            </w:pPr>
            <w:r>
              <w:t xml:space="preserve">Change</w:t>
            </w:r>
          </w:p>
        </w:tc>
        <w:tc>
          <w:tcPr/>
          <w:p>
            <w:pPr>
              <w:pStyle w:val="Compact"/>
              <w:jc w:val="left"/>
            </w:pPr>
            <w:r>
              <w:t xml:space="preserve">Source</w:t>
            </w:r>
          </w:p>
        </w:tc>
      </w:tr>
      <w:tr>
        <w:tc>
          <w:tcPr/>
          <w:p>
            <w:pPr>
              <w:pStyle w:val="Compact"/>
              <w:jc w:val="left"/>
            </w:pPr>
            <w:r>
              <w:t xml:space="preserve">V-Dem Liberal</w:t>
            </w:r>
            <w:r>
              <w:t xml:space="preserve"> </w:t>
            </w:r>
            <w:r>
              <w:t xml:space="preserve">Democracy Index</w:t>
            </w:r>
          </w:p>
        </w:tc>
        <w:tc>
          <w:tcPr/>
          <w:p>
            <w:pPr>
              <w:pStyle w:val="Compact"/>
              <w:jc w:val="left"/>
            </w:pPr>
            <w:r>
              <w:t xml:space="preserve">0.77</w:t>
            </w:r>
          </w:p>
        </w:tc>
        <w:tc>
          <w:tcPr/>
          <w:p>
            <w:pPr>
              <w:pStyle w:val="Compact"/>
              <w:jc w:val="left"/>
            </w:pPr>
            <w:r>
              <w:t xml:space="preserve">0.72</w:t>
            </w:r>
          </w:p>
        </w:tc>
        <w:tc>
          <w:tcPr/>
          <w:p>
            <w:pPr>
              <w:pStyle w:val="Compact"/>
              <w:jc w:val="left"/>
            </w:pPr>
            <w:r>
              <w:t xml:space="preserve">-0.05 (-6.5%)</w:t>
            </w:r>
          </w:p>
        </w:tc>
        <w:tc>
          <w:tcPr/>
          <w:p>
            <w:pPr>
              <w:pStyle w:val="Compact"/>
              <w:jc w:val="left"/>
            </w:pPr>
            <w:r>
              <w:t xml:space="preserve">V-Dem</w:t>
            </w:r>
            <w:r>
              <w:t xml:space="preserve"> </w:t>
            </w:r>
            <w:r>
              <w:t xml:space="preserve">Institute</w:t>
            </w:r>
          </w:p>
        </w:tc>
      </w:tr>
      <w:tr>
        <w:tc>
          <w:tcPr/>
          <w:p>
            <w:pPr>
              <w:pStyle w:val="Compact"/>
              <w:jc w:val="left"/>
            </w:pPr>
            <w:r>
              <w:t xml:space="preserve">Freedom House Score</w:t>
            </w:r>
          </w:p>
        </w:tc>
        <w:tc>
          <w:tcPr/>
          <w:p>
            <w:pPr>
              <w:pStyle w:val="Compact"/>
              <w:jc w:val="left"/>
            </w:pPr>
            <w:r>
              <w:t xml:space="preserve">89/100</w:t>
            </w:r>
          </w:p>
        </w:tc>
        <w:tc>
          <w:tcPr/>
          <w:p>
            <w:pPr>
              <w:pStyle w:val="Compact"/>
              <w:jc w:val="left"/>
            </w:pPr>
            <w:r>
              <w:t xml:space="preserve">83/100</w:t>
            </w:r>
          </w:p>
        </w:tc>
        <w:tc>
          <w:tcPr/>
          <w:p>
            <w:pPr>
              <w:pStyle w:val="Compact"/>
              <w:jc w:val="left"/>
            </w:pPr>
            <w:r>
              <w:t xml:space="preserve">-6 (-6.7%)</w:t>
            </w:r>
          </w:p>
        </w:tc>
        <w:tc>
          <w:tcPr/>
          <w:p>
            <w:pPr>
              <w:pStyle w:val="Compact"/>
              <w:jc w:val="left"/>
            </w:pPr>
            <w:r>
              <w:t xml:space="preserve">Freedom House</w:t>
            </w:r>
          </w:p>
        </w:tc>
      </w:tr>
      <w:tr>
        <w:tc>
          <w:tcPr/>
          <w:p>
            <w:pPr>
              <w:pStyle w:val="Compact"/>
              <w:jc w:val="left"/>
            </w:pPr>
            <w:r>
              <w:t xml:space="preserve">Congressional</w:t>
            </w:r>
            <w:r>
              <w:t xml:space="preserve"> </w:t>
            </w:r>
            <w:r>
              <w:t xml:space="preserve">Approval</w:t>
            </w:r>
          </w:p>
        </w:tc>
        <w:tc>
          <w:tcPr/>
          <w:p>
            <w:pPr>
              <w:pStyle w:val="Compact"/>
              <w:jc w:val="left"/>
            </w:pPr>
            <w:r>
              <w:t xml:space="preserve">13%</w:t>
            </w:r>
          </w:p>
        </w:tc>
        <w:tc>
          <w:tcPr/>
          <w:p>
            <w:pPr>
              <w:pStyle w:val="Compact"/>
              <w:jc w:val="left"/>
            </w:pPr>
            <w:r>
              <w:t xml:space="preserve">15%</w:t>
            </w:r>
          </w:p>
        </w:tc>
        <w:tc>
          <w:tcPr/>
          <w:p>
            <w:pPr>
              <w:pStyle w:val="Compact"/>
              <w:jc w:val="left"/>
            </w:pPr>
            <w:r>
              <w:t xml:space="preserve">+2 pts</w:t>
            </w:r>
          </w:p>
        </w:tc>
        <w:tc>
          <w:tcPr/>
          <w:p>
            <w:pPr>
              <w:pStyle w:val="Compact"/>
              <w:jc w:val="left"/>
            </w:pPr>
            <w:r>
              <w:t xml:space="preserve">Gallup</w:t>
            </w:r>
          </w:p>
        </w:tc>
      </w:tr>
      <w:tr>
        <w:tc>
          <w:tcPr/>
          <w:p>
            <w:pPr>
              <w:pStyle w:val="Compact"/>
              <w:jc w:val="left"/>
            </w:pPr>
            <w:r>
              <w:t xml:space="preserve">Trust in Federal</w:t>
            </w:r>
            <w:r>
              <w:t xml:space="preserve"> </w:t>
            </w:r>
            <w:r>
              <w:t xml:space="preserve">Government</w:t>
            </w:r>
          </w:p>
        </w:tc>
        <w:tc>
          <w:tcPr/>
          <w:p>
            <w:pPr>
              <w:pStyle w:val="Compact"/>
              <w:jc w:val="left"/>
            </w:pPr>
            <w:r>
              <w:t xml:space="preserve">19%</w:t>
            </w:r>
          </w:p>
        </w:tc>
        <w:tc>
          <w:tcPr/>
          <w:p>
            <w:pPr>
              <w:pStyle w:val="Compact"/>
              <w:jc w:val="left"/>
            </w:pPr>
            <w:r>
              <w:t xml:space="preserve">20%</w:t>
            </w:r>
          </w:p>
        </w:tc>
        <w:tc>
          <w:tcPr/>
          <w:p>
            <w:pPr>
              <w:pStyle w:val="Compact"/>
              <w:jc w:val="left"/>
            </w:pPr>
            <w:r>
              <w:t xml:space="preserve">+1 pt</w:t>
            </w:r>
          </w:p>
        </w:tc>
        <w:tc>
          <w:tcPr/>
          <w:p>
            <w:pPr>
              <w:pStyle w:val="Compact"/>
              <w:jc w:val="left"/>
            </w:pPr>
            <w:r>
              <w:t xml:space="preserve">Pew Research</w:t>
            </w:r>
          </w:p>
        </w:tc>
      </w:tr>
      <w:tr>
        <w:tc>
          <w:tcPr/>
          <w:p>
            <w:pPr>
              <w:pStyle w:val="Compact"/>
              <w:jc w:val="left"/>
            </w:pPr>
            <w:r>
              <w:t xml:space="preserve">Trust in Media</w:t>
            </w:r>
          </w:p>
        </w:tc>
        <w:tc>
          <w:tcPr/>
          <w:p>
            <w:pPr>
              <w:pStyle w:val="Compact"/>
              <w:jc w:val="left"/>
            </w:pPr>
            <w:r>
              <w:t xml:space="preserve">32%</w:t>
            </w:r>
          </w:p>
        </w:tc>
        <w:tc>
          <w:tcPr/>
          <w:p>
            <w:pPr>
              <w:pStyle w:val="Compact"/>
              <w:jc w:val="left"/>
            </w:pPr>
            <w:r>
              <w:t xml:space="preserve">40%</w:t>
            </w:r>
          </w:p>
        </w:tc>
        <w:tc>
          <w:tcPr/>
          <w:p>
            <w:pPr>
              <w:pStyle w:val="Compact"/>
              <w:jc w:val="left"/>
            </w:pPr>
            <w:r>
              <w:t xml:space="preserve">+8 pts</w:t>
            </w:r>
          </w:p>
        </w:tc>
        <w:tc>
          <w:tcPr/>
          <w:p>
            <w:pPr>
              <w:pStyle w:val="Compact"/>
              <w:jc w:val="left"/>
            </w:pPr>
            <w:r>
              <w:t xml:space="preserve">Gallup</w:t>
            </w:r>
            <w:r>
              <w:t xml:space="preserve"> </w:t>
            </w:r>
            <w:r>
              <w:t xml:space="preserve">(partial</w:t>
            </w:r>
            <w:r>
              <w:t xml:space="preserve"> </w:t>
            </w:r>
            <w:r>
              <w:t xml:space="preserve">recovery)</w:t>
            </w:r>
          </w:p>
        </w:tc>
      </w:tr>
      <w:tr>
        <w:tc>
          <w:tcPr/>
          <w:p>
            <w:pPr>
              <w:pStyle w:val="Compact"/>
              <w:jc w:val="left"/>
            </w:pPr>
            <w:r>
              <w:t xml:space="preserve">Polarization Index</w:t>
            </w:r>
            <w:r>
              <w:t xml:space="preserve"> </w:t>
            </w:r>
            <w:r>
              <w:t xml:space="preserve">(DW-NOMINATE)</w:t>
            </w:r>
          </w:p>
        </w:tc>
        <w:tc>
          <w:tcPr/>
          <w:p>
            <w:pPr>
              <w:pStyle w:val="Compact"/>
              <w:jc w:val="left"/>
            </w:pPr>
            <w:r>
              <w:t xml:space="preserve">0.93</w:t>
            </w:r>
          </w:p>
        </w:tc>
        <w:tc>
          <w:tcPr/>
          <w:p>
            <w:pPr>
              <w:pStyle w:val="Compact"/>
              <w:jc w:val="left"/>
            </w:pPr>
            <w:r>
              <w:t xml:space="preserve">0.96</w:t>
            </w:r>
          </w:p>
        </w:tc>
        <w:tc>
          <w:tcPr/>
          <w:p>
            <w:pPr>
              <w:pStyle w:val="Compact"/>
              <w:jc w:val="left"/>
            </w:pPr>
            <w:r>
              <w:t xml:space="preserve">+0.03 (+3%)</w:t>
            </w:r>
          </w:p>
        </w:tc>
        <w:tc>
          <w:tcPr/>
          <w:p>
            <w:pPr>
              <w:pStyle w:val="Compact"/>
              <w:jc w:val="left"/>
            </w:pPr>
            <w:r>
              <w:t xml:space="preserve">Voteview.com</w:t>
            </w:r>
          </w:p>
        </w:tc>
      </w:tr>
    </w:tbl>
    <w:p>
      <w:pPr>
        <w:pStyle w:val="BodyText"/>
      </w:pPr>
      <w:r>
        <w:rPr>
          <w:bCs/>
          <w:b/>
        </w:rPr>
        <w:t xml:space="preserve">The 2020 Election and Its Aftermath:</w:t>
      </w:r>
      <w:r>
        <w:t xml:space="preserve"> </w:t>
      </w:r>
      <w:r>
        <w:t xml:space="preserve">Biden’s decisive victory</w:t>
      </w:r>
      <w:r>
        <w:t xml:space="preserve"> </w:t>
      </w:r>
      <w:r>
        <w:t xml:space="preserve">(306-232 Electoral College, 51.3%-46.9% popular vote, margin of 7+</w:t>
      </w:r>
      <w:r>
        <w:t xml:space="preserve"> </w:t>
      </w:r>
      <w:r>
        <w:t xml:space="preserve">million votes) was followed by unprecedented contestation: - Legal</w:t>
      </w:r>
      <w:r>
        <w:t xml:space="preserve"> </w:t>
      </w:r>
      <w:r>
        <w:t xml:space="preserve">challenges: 60+ lawsuits filed, nearly all dismissed for lack of</w:t>
      </w:r>
      <w:r>
        <w:t xml:space="preserve"> </w:t>
      </w:r>
      <w:r>
        <w:t xml:space="preserve">evidence or standing - State pressure: Georgia phone call (</w:t>
      </w:r>
      <w:r>
        <w:t xml:space="preserve">“</w:t>
      </w:r>
      <w:r>
        <w:t xml:space="preserve">find 11,780</w:t>
      </w:r>
      <w:r>
        <w:t xml:space="preserve"> </w:t>
      </w:r>
      <w:r>
        <w:t xml:space="preserve">votes</w:t>
      </w:r>
      <w:r>
        <w:t xml:space="preserve">”</w:t>
      </w:r>
      <w:r>
        <w:t xml:space="preserve">) and other state official pressure - Department of Justice:</w:t>
      </w:r>
      <w:r>
        <w:t xml:space="preserve"> </w:t>
      </w:r>
      <w:r>
        <w:t xml:space="preserve">Acting AG Jeffrey Rosen pressured to declare election</w:t>
      </w:r>
      <w:r>
        <w:t xml:space="preserve"> </w:t>
      </w:r>
      <w:r>
        <w:t xml:space="preserve">“</w:t>
      </w:r>
      <w:r>
        <w:t xml:space="preserve">corrupt</w:t>
      </w:r>
      <w:r>
        <w:t xml:space="preserve">”</w:t>
      </w:r>
      <w:r>
        <w:t xml:space="preserve"> </w:t>
      </w:r>
      <w:r>
        <w:t xml:space="preserve">-</w:t>
      </w:r>
      <w:r>
        <w:t xml:space="preserve"> </w:t>
      </w:r>
      <w:r>
        <w:t xml:space="preserve">January 6, 2021: Capitol breach during certification, resulting in</w:t>
      </w:r>
      <w:r>
        <w:t xml:space="preserve"> </w:t>
      </w:r>
      <w:r>
        <w:t xml:space="preserve">deaths, injuries, and delayed certification</w:t>
      </w:r>
    </w:p>
    <w:p>
      <w:pPr>
        <w:pStyle w:val="BodyText"/>
      </w:pPr>
      <w:r>
        <w:rPr>
          <w:bCs/>
          <w:b/>
        </w:rPr>
        <w:t xml:space="preserve">Second Impeachment (January 2021):</w:t>
      </w:r>
      <w:r>
        <w:t xml:space="preserve"> </w:t>
      </w:r>
      <w:r>
        <w:t xml:space="preserve">- Article: Incitement of</w:t>
      </w:r>
      <w:r>
        <w:t xml:space="preserve"> </w:t>
      </w:r>
      <w:r>
        <w:t xml:space="preserve">insurrection - House vote: 232-197 (10 Republican yes votes—most</w:t>
      </w:r>
      <w:r>
        <w:t xml:space="preserve"> </w:t>
      </w:r>
      <w:r>
        <w:t xml:space="preserve">bipartisan impeachment in history) - Senate vote: 57-43 for conviction</w:t>
      </w:r>
      <w:r>
        <w:t xml:space="preserve"> </w:t>
      </w:r>
      <w:r>
        <w:t xml:space="preserve">(7 Republican yes votes)—majority but short of 2/3 threshold</w:t>
      </w:r>
    </w:p>
    <w:p>
      <w:pPr>
        <w:pStyle w:val="BodyText"/>
      </w:pPr>
      <w:r>
        <w:rPr>
          <w:bCs/>
          <w:b/>
        </w:rPr>
        <w:t xml:space="preserve">Assessment:</w:t>
      </w:r>
      <w:r>
        <w:t xml:space="preserve"> </w:t>
      </w:r>
      <w:r>
        <w:t xml:space="preserve">The 2016-2021 period represented the most severe</w:t>
      </w:r>
      <w:r>
        <w:t xml:space="preserve"> </w:t>
      </w:r>
      <w:r>
        <w:t xml:space="preserve">governance stress since the Civil War era. Yet institutions—courts,</w:t>
      </w:r>
      <w:r>
        <w:t xml:space="preserve"> </w:t>
      </w:r>
      <w:r>
        <w:t xml:space="preserve">state election officials, military leadership, career civil</w:t>
      </w:r>
      <w:r>
        <w:t xml:space="preserve"> </w:t>
      </w:r>
      <w:r>
        <w:t xml:space="preserve">servants—ultimately held: - Courts rejected baseless claims</w:t>
      </w:r>
      <w:r>
        <w:t xml:space="preserve"> </w:t>
      </w:r>
      <w:r>
        <w:t xml:space="preserve">consistently - State officials (including Republicans like Georgia</w:t>
      </w:r>
      <w:r>
        <w:t xml:space="preserve"> </w:t>
      </w:r>
      <w:r>
        <w:t xml:space="preserve">Secretary of State Raffensperger) certified accurate results - Military</w:t>
      </w:r>
      <w:r>
        <w:t xml:space="preserve"> </w:t>
      </w:r>
      <w:r>
        <w:t xml:space="preserve">leadership explicitly rejected involvement in politics - Vice President</w:t>
      </w:r>
      <w:r>
        <w:t xml:space="preserve"> </w:t>
      </w:r>
      <w:r>
        <w:t xml:space="preserve">Pence performed constitutional duty despite pressure</w:t>
      </w:r>
    </w:p>
    <w:p>
      <w:pPr>
        <w:pStyle w:val="BodyText"/>
      </w:pPr>
      <w:r>
        <w:t xml:space="preserve">This</w:t>
      </w:r>
      <w:r>
        <w:t xml:space="preserve"> </w:t>
      </w:r>
      <w:r>
        <w:t xml:space="preserve">“</w:t>
      </w:r>
      <w:r>
        <w:t xml:space="preserve">holding</w:t>
      </w:r>
      <w:r>
        <w:t xml:space="preserve">”</w:t>
      </w:r>
      <w:r>
        <w:t xml:space="preserve"> </w:t>
      </w:r>
      <w:r>
        <w:t xml:space="preserve">was not comfortable—it was tested in unprecedented ways</w:t>
      </w:r>
      <w:r>
        <w:t xml:space="preserve"> </w:t>
      </w:r>
      <w:r>
        <w:t xml:space="preserve">and held by margins that exposed fragility.</w:t>
      </w:r>
    </w:p>
    <w:p>
      <w:pPr>
        <w:pStyle w:val="BodyText"/>
      </w:pPr>
      <w:r>
        <w:rPr>
          <w:bCs/>
          <w:b/>
        </w:rPr>
        <w:t xml:space="preserve">Score: 5.5 → 5.0 (-9%)</w:t>
      </w:r>
    </w:p>
    <w:bookmarkEnd w:id="58"/>
    <w:bookmarkStart w:id="59" w:name="the-pandemic-as-governance-test"/>
    <w:p>
      <w:pPr>
        <w:pStyle w:val="Heading3"/>
      </w:pPr>
      <w:r>
        <w:t xml:space="preserve">The Pandemic as Governance Test</w:t>
      </w:r>
    </w:p>
    <w:p>
      <w:pPr>
        <w:pStyle w:val="FirstParagraph"/>
      </w:pPr>
      <w:r>
        <w:t xml:space="preserve">COVID-19 exposed governance weaknesses with brutal clarity:</w:t>
      </w:r>
    </w:p>
    <w:p>
      <w:pPr>
        <w:pStyle w:val="BodyText"/>
      </w:pPr>
      <w:r>
        <w:rPr>
          <w:bCs/>
          <w:b/>
        </w:rPr>
        <w:t xml:space="preserve">Federal Response Failures:</w:t>
      </w:r>
      <w:r>
        <w:t xml:space="preserve"> </w:t>
      </w:r>
      <w:r>
        <w:t xml:space="preserve">- Strategic National Stockpile:</w:t>
      </w:r>
      <w:r>
        <w:t xml:space="preserve"> </w:t>
      </w:r>
      <w:r>
        <w:t xml:space="preserve">Inadequately maintained; PPE shortages immediate - Testing capacity: US</w:t>
      </w:r>
      <w:r>
        <w:t xml:space="preserve"> </w:t>
      </w:r>
      <w:r>
        <w:t xml:space="preserve">lagged weeks behind need for diagnostic testing - CDC credibility: Early</w:t>
      </w:r>
      <w:r>
        <w:t xml:space="preserve"> </w:t>
      </w:r>
      <w:r>
        <w:t xml:space="preserve">testing kit failure, mixed messaging - Federal-state coordination:</w:t>
      </w:r>
      <w:r>
        <w:t xml:space="preserve"> </w:t>
      </w:r>
      <w:r>
        <w:t xml:space="preserve">Competition for resources, contradictory guidance</w:t>
      </w:r>
    </w:p>
    <w:p>
      <w:pPr>
        <w:pStyle w:val="BodyText"/>
      </w:pPr>
      <w:r>
        <w:rPr>
          <w:bCs/>
          <w:b/>
        </w:rPr>
        <w:t xml:space="preserve">Comparative Performance:</w:t>
      </w:r>
      <w:r>
        <w:t xml:space="preserve"> </w:t>
      </w:r>
      <w:r>
        <w:t xml:space="preserve">- Deaths per million population: US ranked</w:t>
      </w:r>
      <w:r>
        <w:t xml:space="preserve"> </w:t>
      </w:r>
      <w:r>
        <w:t xml:space="preserve">among highest globally - 2020 deaths: ~350,000 (US) vs. proportionally</w:t>
      </w:r>
      <w:r>
        <w:t xml:space="preserve"> </w:t>
      </w:r>
      <w:r>
        <w:t xml:space="preserve">lower in peer democracies - Economic contraction: -3.4% GDP (2020),</w:t>
      </w:r>
      <w:r>
        <w:t xml:space="preserve"> </w:t>
      </w:r>
      <w:r>
        <w:t xml:space="preserve">better than some peers due to fiscal response</w:t>
      </w:r>
    </w:p>
    <w:p>
      <w:pPr>
        <w:pStyle w:val="BodyText"/>
      </w:pPr>
      <w:r>
        <w:rPr>
          <w:bCs/>
          <w:b/>
        </w:rPr>
        <w:t xml:space="preserve">Operation Warp Speed:</w:t>
      </w:r>
      <w:r>
        <w:t xml:space="preserve"> </w:t>
      </w:r>
      <w:r>
        <w:t xml:space="preserve">The vaccine development program represented</w:t>
      </w:r>
      <w:r>
        <w:t xml:space="preserve"> </w:t>
      </w:r>
      <w:r>
        <w:t xml:space="preserve">governance success: - $18+ billion investment - Multiple vaccine</w:t>
      </w:r>
      <w:r>
        <w:t xml:space="preserve"> </w:t>
      </w:r>
      <w:r>
        <w:t xml:space="preserve">candidates accelerated - Pfizer, Moderna authorized December</w:t>
      </w:r>
      <w:r>
        <w:t xml:space="preserve"> </w:t>
      </w:r>
      <w:r>
        <w:t xml:space="preserve">2020—faster than any previous vaccine development - Distribution began</w:t>
      </w:r>
      <w:r>
        <w:t xml:space="preserve"> </w:t>
      </w:r>
      <w:r>
        <w:t xml:space="preserve">before administration transition</w:t>
      </w:r>
    </w:p>
    <w:p>
      <w:pPr>
        <w:pStyle w:val="BodyText"/>
      </w:pPr>
      <w:r>
        <w:t xml:space="preserve">This provides important counter-evidence: American institutions could</w:t>
      </w:r>
      <w:r>
        <w:t xml:space="preserve"> </w:t>
      </w:r>
      <w:r>
        <w:t xml:space="preserve">achieve rapid, effective coordination under crisis conditions even</w:t>
      </w:r>
      <w:r>
        <w:t xml:space="preserve"> </w:t>
      </w:r>
      <w:r>
        <w:t xml:space="preserve">during extreme political stress.</w:t>
      </w:r>
    </w:p>
    <w:bookmarkEnd w:id="59"/>
    <w:bookmarkEnd w:id="60"/>
    <w:bookmarkStart w:id="62" w:name="Xcb018c97f0cdfec2b6a70807fb367ca88990d64"/>
    <w:p>
      <w:pPr>
        <w:pStyle w:val="Heading2"/>
      </w:pPr>
      <w:r>
        <w:t xml:space="preserve">Domain 2: Legal and Institutional Framework (2016-2021)</w:t>
      </w:r>
    </w:p>
    <w:bookmarkStart w:id="61" w:name="judicial-transformation"/>
    <w:p>
      <w:pPr>
        <w:pStyle w:val="Heading3"/>
      </w:pPr>
      <w:r>
        <w:t xml:space="preserve">Judicial Transformation</w:t>
      </w:r>
    </w:p>
    <w:p>
      <w:pPr>
        <w:pStyle w:val="FirstParagraph"/>
      </w:pPr>
      <w:r>
        <w:t xml:space="preserve">The most durable institutional change of this period was judicial:</w:t>
      </w:r>
    </w:p>
    <w:p>
      <w:pPr>
        <w:pStyle w:val="BodyText"/>
      </w:pPr>
      <w:r>
        <w:rPr>
          <w:bCs/>
          <w:b/>
        </w:rPr>
        <w:t xml:space="preserve">Supreme Court:</w:t>
      </w:r>
      <w:r>
        <w:t xml:space="preserve"> </w:t>
      </w:r>
      <w:r>
        <w:t xml:space="preserve">- Three appointments: Gorsuch (2017), Kavanaugh</w:t>
      </w:r>
      <w:r>
        <w:t xml:space="preserve"> </w:t>
      </w:r>
      <w:r>
        <w:t xml:space="preserve">(2018), Barrett (2020) - Conservative supermajority (6-3) established -</w:t>
      </w:r>
      <w:r>
        <w:t xml:space="preserve"> </w:t>
      </w:r>
      <w:r>
        <w:t xml:space="preserve">Ideological composition transformed: Median justice shifted from Kennedy</w:t>
      </w:r>
      <w:r>
        <w:t xml:space="preserve"> </w:t>
      </w:r>
      <w:r>
        <w:t xml:space="preserve">to Roberts/Kavanaugh</w:t>
      </w:r>
    </w:p>
    <w:p>
      <w:pPr>
        <w:pStyle w:val="BodyText"/>
      </w:pPr>
      <w:r>
        <w:rPr>
          <w:bCs/>
          <w:b/>
        </w:rPr>
        <w:t xml:space="preserve">Lower Courts:</w:t>
      </w:r>
      <w:r>
        <w:t xml:space="preserve"> </w:t>
      </w:r>
      <w:r>
        <w:t xml:space="preserve">- 234 Article III judges confirmed (2017-2020) - 30%</w:t>
      </w:r>
      <w:r>
        <w:t xml:space="preserve"> </w:t>
      </w:r>
      <w:r>
        <w:t xml:space="preserve">of federal appellate judges appointed during Trump administration -</w:t>
      </w:r>
      <w:r>
        <w:t xml:space="preserve"> </w:t>
      </w:r>
      <w:r>
        <w:t xml:space="preserve">Several circuits (11th, 6th) transformed ideologically</w:t>
      </w:r>
    </w:p>
    <w:p>
      <w:pPr>
        <w:pStyle w:val="BodyText"/>
      </w:pPr>
      <w:r>
        <w:rPr>
          <w:bCs/>
          <w:b/>
        </w:rPr>
        <w:t xml:space="preserve">Doctrinal Implications:</w:t>
      </w:r>
      <w:r>
        <w:t xml:space="preserve"> </w:t>
      </w:r>
      <w:r>
        <w:t xml:space="preserve">By 2021, the judicial transformation’s</w:t>
      </w:r>
      <w:r>
        <w:t xml:space="preserve"> </w:t>
      </w:r>
      <w:r>
        <w:t xml:space="preserve">consequences were emerging: - Administrative deference: Questions about</w:t>
      </w:r>
      <w:r>
        <w:t xml:space="preserve"> </w:t>
      </w:r>
      <w:r>
        <w:t xml:space="preserve">Chevron doctrine - Regulatory scope:</w:t>
      </w:r>
      <w:r>
        <w:t xml:space="preserve"> </w:t>
      </w:r>
      <w:r>
        <w:t xml:space="preserve">“</w:t>
      </w:r>
      <w:r>
        <w:t xml:space="preserve">Major questions</w:t>
      </w:r>
      <w:r>
        <w:t xml:space="preserve">”</w:t>
      </w:r>
      <w:r>
        <w:t xml:space="preserve"> </w:t>
      </w:r>
      <w:r>
        <w:t xml:space="preserve">doctrine gaining</w:t>
      </w:r>
      <w:r>
        <w:t xml:space="preserve"> </w:t>
      </w:r>
      <w:r>
        <w:t xml:space="preserve">traction - Rights jurisprudence: Abortion, gun rights, religious liberty</w:t>
      </w:r>
      <w:r>
        <w:t xml:space="preserve"> </w:t>
      </w:r>
      <w:r>
        <w:t xml:space="preserve">cases pending</w:t>
      </w:r>
    </w:p>
    <w:p>
      <w:pPr>
        <w:pStyle w:val="BodyText"/>
      </w:pPr>
      <w:r>
        <w:rPr>
          <w:bCs/>
          <w:b/>
        </w:rPr>
        <w:t xml:space="preserve">Deregulation:</w:t>
      </w:r>
      <w:r>
        <w:t xml:space="preserve"> </w:t>
      </w:r>
      <w:r>
        <w:t xml:space="preserve">Significant regulatory rollback occurred: - EPA: Clean</w:t>
      </w:r>
      <w:r>
        <w:t xml:space="preserve"> </w:t>
      </w:r>
      <w:r>
        <w:t xml:space="preserve">Power Plan replaced, Waters of the United States rule revised - DOL:</w:t>
      </w:r>
      <w:r>
        <w:t xml:space="preserve"> </w:t>
      </w:r>
      <w:r>
        <w:t xml:space="preserve">Overtime rule revised, fiduciary rule rescinded - Financial: Dodd-Frank</w:t>
      </w:r>
      <w:r>
        <w:t xml:space="preserve"> </w:t>
      </w:r>
      <w:r>
        <w:t xml:space="preserve">modifications via Economic Growth, Regulatory Relief, and Consumer</w:t>
      </w:r>
      <w:r>
        <w:t xml:space="preserve"> </w:t>
      </w:r>
      <w:r>
        <w:t xml:space="preserve">Protection Act (2018)</w:t>
      </w:r>
    </w:p>
    <w:p>
      <w:pPr>
        <w:pStyle w:val="BodyText"/>
      </w:pPr>
      <w:r>
        <w:rPr>
          <w:bCs/>
          <w:b/>
        </w:rPr>
        <w:t xml:space="preserve">Score: 6.0 → 5.5 (-8%)</w:t>
      </w:r>
    </w:p>
    <w:p>
      <w:pPr>
        <w:pStyle w:val="BodyText"/>
      </w:pPr>
      <w:r>
        <w:t xml:space="preserve">The legal/institutional framework showed stability in fundamental</w:t>
      </w:r>
      <w:r>
        <w:t xml:space="preserve"> </w:t>
      </w:r>
      <w:r>
        <w:t xml:space="preserve">structures while undergoing significant ideological reorientation.</w:t>
      </w:r>
      <w:r>
        <w:t xml:space="preserve"> </w:t>
      </w:r>
      <w:r>
        <w:t xml:space="preserve">Courts continued to function; rule of law, though contested, remained</w:t>
      </w:r>
      <w:r>
        <w:t xml:space="preserve"> </w:t>
      </w:r>
      <w:r>
        <w:t xml:space="preserve">operative.</w:t>
      </w:r>
    </w:p>
    <w:bookmarkEnd w:id="61"/>
    <w:bookmarkEnd w:id="62"/>
    <w:bookmarkStart w:id="64" w:name="domain-3-military-and-defense-2016-2021"/>
    <w:p>
      <w:pPr>
        <w:pStyle w:val="Heading2"/>
      </w:pPr>
      <w:r>
        <w:t xml:space="preserve">Domain 3: Military and Defense (2016-2021)</w:t>
      </w:r>
    </w:p>
    <w:bookmarkStart w:id="63" w:name="great-power-competition-framework"/>
    <w:p>
      <w:pPr>
        <w:pStyle w:val="Heading3"/>
      </w:pPr>
      <w:r>
        <w:t xml:space="preserve">Great Power Competition Framework</w:t>
      </w:r>
    </w:p>
    <w:p>
      <w:pPr>
        <w:pStyle w:val="FirstParagraph"/>
      </w:pPr>
      <w:r>
        <w:t xml:space="preserve">The 2017 National Security Strategy and 2018 National Defense Strategy</w:t>
      </w:r>
      <w:r>
        <w:t xml:space="preserve"> </w:t>
      </w:r>
      <w:r>
        <w:t xml:space="preserve">formally reoriented American military posture:</w:t>
      </w:r>
    </w:p>
    <w:p>
      <w:pPr>
        <w:pStyle w:val="BodyText"/>
      </w:pPr>
      <w:r>
        <w:rPr>
          <w:bCs/>
          <w:b/>
        </w:rPr>
        <w:t xml:space="preserve">Strategic Shift:</w:t>
      </w:r>
      <w:r>
        <w:t xml:space="preserve"> </w:t>
      </w:r>
      <w:r>
        <w:t xml:space="preserve">- Primary threat designation: China and Russia as</w:t>
      </w:r>
      <w:r>
        <w:t xml:space="preserve"> </w:t>
      </w:r>
      <w:r>
        <w:t xml:space="preserve">“</w:t>
      </w:r>
      <w:r>
        <w:t xml:space="preserve">strategic competitors</w:t>
      </w:r>
      <w:r>
        <w:t xml:space="preserve">”</w:t>
      </w:r>
      <w:r>
        <w:t xml:space="preserve"> </w:t>
      </w:r>
      <w:r>
        <w:t xml:space="preserve">- Counter-terrorism: Demoted from primary to</w:t>
      </w:r>
      <w:r>
        <w:t xml:space="preserve"> </w:t>
      </w:r>
      <w:r>
        <w:t xml:space="preserve">ongoing concern - Force structure: Emphasis on high-end conventional</w:t>
      </w:r>
      <w:r>
        <w:t xml:space="preserve"> </w:t>
      </w:r>
      <w:r>
        <w:t xml:space="preserve">capabilities</w:t>
      </w:r>
    </w:p>
    <w:p>
      <w:pPr>
        <w:pStyle w:val="BodyText"/>
      </w:pPr>
      <w:r>
        <w:rPr>
          <w:bCs/>
          <w:b/>
        </w:rPr>
        <w:t xml:space="preserve">Spending Recovery:</w:t>
      </w:r>
      <w:r>
        <w:t xml:space="preserve"> </w:t>
      </w:r>
      <w:r>
        <w:t xml:space="preserve">Post-sequestration defense budgets increased: -</w:t>
      </w:r>
      <w:r>
        <w:t xml:space="preserve"> </w:t>
      </w:r>
      <w:r>
        <w:t xml:space="preserve">FY2017: $584 billion - FY2018: $649 billion - FY2019: $685 billion -</w:t>
      </w:r>
      <w:r>
        <w:t xml:space="preserve"> </w:t>
      </w:r>
      <w:r>
        <w:t xml:space="preserve">FY2020: $714 billion - FY2021: $704 billion</w:t>
      </w:r>
    </w:p>
    <w:p>
      <w:pPr>
        <w:pStyle w:val="BodyText"/>
      </w:pPr>
      <w:r>
        <w:rPr>
          <w:bCs/>
          <w:b/>
        </w:rPr>
        <w:t xml:space="preserve">Alliance Dynamics:</w:t>
      </w:r>
      <w:r>
        <w:t xml:space="preserve"> </w:t>
      </w:r>
      <w:r>
        <w:t xml:space="preserve">The Trump administration’s approach to alliances</w:t>
      </w:r>
      <w:r>
        <w:t xml:space="preserve"> </w:t>
      </w:r>
      <w:r>
        <w:t xml:space="preserve">was unprecedented: - NATO Article 5: Initially equivocal, later</w:t>
      </w:r>
      <w:r>
        <w:t xml:space="preserve"> </w:t>
      </w:r>
      <w:r>
        <w:t xml:space="preserve">affirmed - Cost-sharing demands: Aggressive bilateral negotiations -</w:t>
      </w:r>
      <w:r>
        <w:t xml:space="preserve"> </w:t>
      </w:r>
      <w:r>
        <w:t xml:space="preserve">Germany: Troop withdrawal announced (later paused) - South Korea:</w:t>
      </w:r>
      <w:r>
        <w:t xml:space="preserve"> </w:t>
      </w:r>
      <w:r>
        <w:t xml:space="preserve">Cost-sharing negotiations contentious - Japan: Maintained stable</w:t>
      </w:r>
      <w:r>
        <w:t xml:space="preserve"> </w:t>
      </w:r>
      <w:r>
        <w:t xml:space="preserve">relations</w:t>
      </w:r>
    </w:p>
    <w:p>
      <w:pPr>
        <w:pStyle w:val="BodyText"/>
      </w:pPr>
      <w:r>
        <w:t xml:space="preserve">Despite rhetoric, alliance architecture remained intact: - NATO members</w:t>
      </w:r>
      <w:r>
        <w:t xml:space="preserve"> </w:t>
      </w:r>
      <w:r>
        <w:t xml:space="preserve">increased spending (more reaching 2% threshold) - No major ally defected</w:t>
      </w:r>
      <w:r>
        <w:t xml:space="preserve"> </w:t>
      </w:r>
      <w:r>
        <w:t xml:space="preserve">from alliance system - AUKUS negotiations began (announced September</w:t>
      </w:r>
      <w:r>
        <w:t xml:space="preserve"> </w:t>
      </w:r>
      <w:r>
        <w:t xml:space="preserve">2021)</w:t>
      </w:r>
    </w:p>
    <w:p>
      <w:pPr>
        <w:pStyle w:val="BodyText"/>
      </w:pPr>
      <w:r>
        <w:rPr>
          <w:bCs/>
          <w:b/>
        </w:rPr>
        <w:t xml:space="preserve">Technological Investments:</w:t>
      </w:r>
      <w:r>
        <w:t xml:space="preserve"> </w:t>
      </w:r>
      <w:r>
        <w:t xml:space="preserve">Key programs continued: - F-35: Reached</w:t>
      </w:r>
      <w:r>
        <w:t xml:space="preserve"> </w:t>
      </w:r>
      <w:r>
        <w:t xml:space="preserve">500+ aircraft delivered - Columbia-class submarine: Development</w:t>
      </w:r>
      <w:r>
        <w:t xml:space="preserve"> </w:t>
      </w:r>
      <w:r>
        <w:t xml:space="preserve">proceeded - Hypersonic weapons: Programs accelerated - Space Force:</w:t>
      </w:r>
      <w:r>
        <w:t xml:space="preserve"> </w:t>
      </w:r>
      <w:r>
        <w:t xml:space="preserve">Established December 2019</w:t>
      </w:r>
    </w:p>
    <w:p>
      <w:pPr>
        <w:pStyle w:val="BodyText"/>
      </w:pPr>
      <w:r>
        <w:rPr>
          <w:bCs/>
          <w:b/>
        </w:rPr>
        <w:t xml:space="preserve">Afghanistan:</w:t>
      </w:r>
      <w:r>
        <w:t xml:space="preserve"> </w:t>
      </w:r>
      <w:r>
        <w:t xml:space="preserve">The Doha Agreement (February 2020) committed to</w:t>
      </w:r>
      <w:r>
        <w:t xml:space="preserve"> </w:t>
      </w:r>
      <w:r>
        <w:t xml:space="preserve">withdrawal: - Conditional on Taliban commitments - Set May 2021 deadline</w:t>
      </w:r>
      <w:r>
        <w:t xml:space="preserve"> </w:t>
      </w:r>
      <w:r>
        <w:t xml:space="preserve">(later extended to August 2021) - Reduced troops to 2,500 by January</w:t>
      </w:r>
      <w:r>
        <w:t xml:space="preserve"> </w:t>
      </w:r>
      <w:r>
        <w:t xml:space="preserve">2021</w:t>
      </w:r>
    </w:p>
    <w:p>
      <w:pPr>
        <w:pStyle w:val="BodyText"/>
      </w:pPr>
      <w:r>
        <w:rPr>
          <w:bCs/>
          <w:b/>
        </w:rPr>
        <w:t xml:space="preserve">Quantitative Indicators (2016-2021):</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Indicator</w:t>
            </w:r>
          </w:p>
        </w:tc>
        <w:tc>
          <w:tcPr/>
          <w:p>
            <w:pPr>
              <w:pStyle w:val="Compact"/>
              <w:jc w:val="left"/>
            </w:pPr>
            <w:r>
              <w:t xml:space="preserve">2016</w:t>
            </w:r>
          </w:p>
        </w:tc>
        <w:tc>
          <w:tcPr/>
          <w:p>
            <w:pPr>
              <w:pStyle w:val="Compact"/>
              <w:jc w:val="left"/>
            </w:pPr>
            <w:r>
              <w:t xml:space="preserve">2021</w:t>
            </w:r>
          </w:p>
        </w:tc>
        <w:tc>
          <w:tcPr/>
          <w:p>
            <w:pPr>
              <w:pStyle w:val="Compact"/>
              <w:jc w:val="left"/>
            </w:pPr>
            <w:r>
              <w:t xml:space="preserve">Change</w:t>
            </w:r>
          </w:p>
        </w:tc>
        <w:tc>
          <w:tcPr/>
          <w:p>
            <w:pPr>
              <w:pStyle w:val="Compact"/>
              <w:jc w:val="left"/>
            </w:pPr>
            <w:r>
              <w:t xml:space="preserve">Source</w:t>
            </w:r>
          </w:p>
        </w:tc>
      </w:tr>
      <w:tr>
        <w:tc>
          <w:tcPr/>
          <w:p>
            <w:pPr>
              <w:pStyle w:val="Compact"/>
              <w:jc w:val="left"/>
            </w:pPr>
            <w:r>
              <w:t xml:space="preserve">Defense</w:t>
            </w:r>
            <w:r>
              <w:t xml:space="preserve"> </w:t>
            </w:r>
            <w:r>
              <w:t xml:space="preserve">Spending</w:t>
            </w:r>
            <w:r>
              <w:t xml:space="preserve"> </w:t>
            </w:r>
            <w:r>
              <w:t xml:space="preserve">(current $)</w:t>
            </w:r>
          </w:p>
        </w:tc>
        <w:tc>
          <w:tcPr/>
          <w:p>
            <w:pPr>
              <w:pStyle w:val="Compact"/>
              <w:jc w:val="left"/>
            </w:pPr>
            <w:r>
              <w:t xml:space="preserve">$584B</w:t>
            </w:r>
          </w:p>
        </w:tc>
        <w:tc>
          <w:tcPr/>
          <w:p>
            <w:pPr>
              <w:pStyle w:val="Compact"/>
              <w:jc w:val="left"/>
            </w:pPr>
            <w:r>
              <w:t xml:space="preserve">$704B</w:t>
            </w:r>
          </w:p>
        </w:tc>
        <w:tc>
          <w:tcPr/>
          <w:p>
            <w:pPr>
              <w:pStyle w:val="Compact"/>
              <w:jc w:val="left"/>
            </w:pPr>
            <w:r>
              <w:t xml:space="preserve">+20.5%</w:t>
            </w:r>
          </w:p>
        </w:tc>
        <w:tc>
          <w:tcPr/>
          <w:p>
            <w:pPr>
              <w:pStyle w:val="Compact"/>
              <w:jc w:val="left"/>
            </w:pPr>
            <w:r>
              <w:t xml:space="preserve">SIPRI</w:t>
            </w:r>
          </w:p>
        </w:tc>
      </w:tr>
      <w:tr>
        <w:tc>
          <w:tcPr/>
          <w:p>
            <w:pPr>
              <w:pStyle w:val="Compact"/>
              <w:jc w:val="left"/>
            </w:pPr>
            <w:r>
              <w:t xml:space="preserve">Defense</w:t>
            </w:r>
            <w:r>
              <w:t xml:space="preserve"> </w:t>
            </w:r>
            <w:r>
              <w:t xml:space="preserve">Spending (%</w:t>
            </w:r>
            <w:r>
              <w:t xml:space="preserve"> </w:t>
            </w:r>
            <w:r>
              <w:t xml:space="preserve">global)</w:t>
            </w:r>
          </w:p>
        </w:tc>
        <w:tc>
          <w:tcPr/>
          <w:p>
            <w:pPr>
              <w:pStyle w:val="Compact"/>
              <w:jc w:val="left"/>
            </w:pPr>
            <w:r>
              <w:t xml:space="preserve">36%</w:t>
            </w:r>
          </w:p>
        </w:tc>
        <w:tc>
          <w:tcPr/>
          <w:p>
            <w:pPr>
              <w:pStyle w:val="Compact"/>
              <w:jc w:val="left"/>
            </w:pPr>
            <w:r>
              <w:t xml:space="preserve">38%</w:t>
            </w:r>
          </w:p>
        </w:tc>
        <w:tc>
          <w:tcPr/>
          <w:p>
            <w:pPr>
              <w:pStyle w:val="Compact"/>
              <w:jc w:val="left"/>
            </w:pPr>
            <w:r>
              <w:t xml:space="preserve">+2 pts</w:t>
            </w:r>
          </w:p>
        </w:tc>
        <w:tc>
          <w:tcPr/>
          <w:p>
            <w:pPr>
              <w:pStyle w:val="Compact"/>
              <w:jc w:val="left"/>
            </w:pPr>
            <w:r>
              <w:t xml:space="preserve">SIPRI</w:t>
            </w:r>
          </w:p>
        </w:tc>
      </w:tr>
      <w:tr>
        <w:tc>
          <w:tcPr/>
          <w:p>
            <w:pPr>
              <w:pStyle w:val="Compact"/>
              <w:jc w:val="left"/>
            </w:pPr>
            <w:r>
              <w:t xml:space="preserve">Active Duty</w:t>
            </w:r>
            <w:r>
              <w:t xml:space="preserve"> </w:t>
            </w:r>
            <w:r>
              <w:t xml:space="preserve">Personnel</w:t>
            </w:r>
          </w:p>
        </w:tc>
        <w:tc>
          <w:tcPr/>
          <w:p>
            <w:pPr>
              <w:pStyle w:val="Compact"/>
              <w:jc w:val="left"/>
            </w:pPr>
            <w:r>
              <w:t xml:space="preserve">1.35M</w:t>
            </w:r>
          </w:p>
        </w:tc>
        <w:tc>
          <w:tcPr/>
          <w:p>
            <w:pPr>
              <w:pStyle w:val="Compact"/>
              <w:jc w:val="left"/>
            </w:pPr>
            <w:r>
              <w:t xml:space="preserve">1.35M</w:t>
            </w:r>
          </w:p>
        </w:tc>
        <w:tc>
          <w:tcPr/>
          <w:p>
            <w:pPr>
              <w:pStyle w:val="Compact"/>
              <w:jc w:val="left"/>
            </w:pPr>
            <w:r>
              <w:t xml:space="preserve">flat</w:t>
            </w:r>
          </w:p>
        </w:tc>
        <w:tc>
          <w:tcPr/>
          <w:p>
            <w:pPr>
              <w:pStyle w:val="Compact"/>
              <w:jc w:val="left"/>
            </w:pPr>
            <w:r>
              <w:t xml:space="preserve">DoD</w:t>
            </w:r>
          </w:p>
        </w:tc>
      </w:tr>
      <w:tr>
        <w:tc>
          <w:tcPr/>
          <w:p>
            <w:pPr>
              <w:pStyle w:val="Compact"/>
              <w:jc w:val="left"/>
            </w:pPr>
            <w:r>
              <w:t xml:space="preserve">Navy Ship</w:t>
            </w:r>
            <w:r>
              <w:t xml:space="preserve"> </w:t>
            </w:r>
            <w:r>
              <w:t xml:space="preserve">Count</w:t>
            </w:r>
          </w:p>
        </w:tc>
        <w:tc>
          <w:tcPr/>
          <w:p>
            <w:pPr>
              <w:pStyle w:val="Compact"/>
              <w:jc w:val="left"/>
            </w:pPr>
            <w:r>
              <w:t xml:space="preserve">272</w:t>
            </w:r>
          </w:p>
        </w:tc>
        <w:tc>
          <w:tcPr/>
          <w:p>
            <w:pPr>
              <w:pStyle w:val="Compact"/>
              <w:jc w:val="left"/>
            </w:pPr>
            <w:r>
              <w:t xml:space="preserve">296</w:t>
            </w:r>
          </w:p>
        </w:tc>
        <w:tc>
          <w:tcPr/>
          <w:p>
            <w:pPr>
              <w:pStyle w:val="Compact"/>
              <w:jc w:val="left"/>
            </w:pPr>
            <w:r>
              <w:t xml:space="preserve">+9%</w:t>
            </w:r>
          </w:p>
        </w:tc>
        <w:tc>
          <w:tcPr/>
          <w:p>
            <w:pPr>
              <w:pStyle w:val="Compact"/>
              <w:jc w:val="left"/>
            </w:pPr>
            <w:r>
              <w:t xml:space="preserve">Navy</w:t>
            </w:r>
          </w:p>
        </w:tc>
      </w:tr>
      <w:tr>
        <w:tc>
          <w:tcPr/>
          <w:p>
            <w:pPr>
              <w:pStyle w:val="Compact"/>
              <w:jc w:val="left"/>
            </w:pPr>
            <w:r>
              <w:t xml:space="preserve">NATO European</w:t>
            </w:r>
            <w:r>
              <w:t xml:space="preserve"> </w:t>
            </w:r>
            <w:r>
              <w:t xml:space="preserve">Spending</w:t>
            </w:r>
          </w:p>
        </w:tc>
        <w:tc>
          <w:tcPr/>
          <w:p>
            <w:pPr>
              <w:pStyle w:val="Compact"/>
              <w:jc w:val="left"/>
            </w:pPr>
            <w:r>
              <w:t xml:space="preserve">~$250B</w:t>
            </w:r>
          </w:p>
        </w:tc>
        <w:tc>
          <w:tcPr/>
          <w:p>
            <w:pPr>
              <w:pStyle w:val="Compact"/>
              <w:jc w:val="left"/>
            </w:pPr>
            <w:r>
              <w:t xml:space="preserve">~$302B</w:t>
            </w:r>
          </w:p>
        </w:tc>
        <w:tc>
          <w:tcPr/>
          <w:p>
            <w:pPr>
              <w:pStyle w:val="Compact"/>
              <w:jc w:val="left"/>
            </w:pPr>
            <w:r>
              <w:t xml:space="preserve">+21%</w:t>
            </w:r>
          </w:p>
        </w:tc>
        <w:tc>
          <w:tcPr/>
          <w:p>
            <w:pPr>
              <w:pStyle w:val="Compact"/>
              <w:jc w:val="left"/>
            </w:pPr>
            <w:r>
              <w:t xml:space="preserve">NATO</w:t>
            </w:r>
          </w:p>
        </w:tc>
      </w:tr>
    </w:tbl>
    <w:p>
      <w:pPr>
        <w:pStyle w:val="BodyText"/>
      </w:pPr>
      <w:r>
        <w:rPr>
          <w:bCs/>
          <w:b/>
        </w:rPr>
        <w:t xml:space="preserve">Score: 7.5 → 7.5 (unchanged)</w:t>
      </w:r>
    </w:p>
    <w:p>
      <w:pPr>
        <w:pStyle w:val="BodyText"/>
      </w:pPr>
      <w:r>
        <w:t xml:space="preserve">Despite alliance management controversies, military capabilities</w:t>
      </w:r>
      <w:r>
        <w:t xml:space="preserve"> </w:t>
      </w:r>
      <w:r>
        <w:t xml:space="preserve">remained dominant, spending increased, and the strategic reorientation</w:t>
      </w:r>
      <w:r>
        <w:t xml:space="preserve"> </w:t>
      </w:r>
      <w:r>
        <w:t xml:space="preserve">to great power competition received bipartisan support. The operational</w:t>
      </w:r>
      <w:r>
        <w:t xml:space="preserve"> </w:t>
      </w:r>
      <w:r>
        <w:t xml:space="preserve">test (Afghanistan withdrawal) would come in August 2021, beyond this</w:t>
      </w:r>
      <w:r>
        <w:t xml:space="preserve"> </w:t>
      </w:r>
      <w:r>
        <w:t xml:space="preserve">sub-period’s scope.</w:t>
      </w:r>
    </w:p>
    <w:bookmarkEnd w:id="63"/>
    <w:bookmarkEnd w:id="64"/>
    <w:bookmarkStart w:id="66" w:name="X078f7b61c945f63b45e06536c7ed0450aa1042f"/>
    <w:p>
      <w:pPr>
        <w:pStyle w:val="Heading2"/>
      </w:pPr>
      <w:r>
        <w:t xml:space="preserve">Domain 4: Social and Demographic Factors (2016-2021)</w:t>
      </w:r>
    </w:p>
    <w:bookmarkStart w:id="65" w:name="polarization-and-social-fragmentation"/>
    <w:p>
      <w:pPr>
        <w:pStyle w:val="Heading3"/>
      </w:pPr>
      <w:r>
        <w:t xml:space="preserve">Polarization and Social Fragmentation</w:t>
      </w:r>
    </w:p>
    <w:p>
      <w:pPr>
        <w:pStyle w:val="FirstParagraph"/>
      </w:pPr>
      <w:r>
        <w:t xml:space="preserve">The 2016-2021 period witnessed acceleration of social divisions:</w:t>
      </w:r>
    </w:p>
    <w:p>
      <w:pPr>
        <w:pStyle w:val="BodyText"/>
      </w:pPr>
      <w:r>
        <w:rPr>
          <w:bCs/>
          <w:b/>
        </w:rPr>
        <w:t xml:space="preserve">Political Polarization:</w:t>
      </w:r>
      <w:r>
        <w:t xml:space="preserve"> </w:t>
      </w:r>
      <w:r>
        <w:t xml:space="preserve">Pew Research data shows dramatic</w:t>
      </w:r>
      <w:r>
        <w:t xml:space="preserve"> </w:t>
      </w:r>
      <w:r>
        <w:t xml:space="preserve">divergence: - Partisan gap on policy issues widened across virtually all</w:t>
      </w:r>
      <w:r>
        <w:t xml:space="preserve"> </w:t>
      </w:r>
      <w:r>
        <w:t xml:space="preserve">measured dimensions - Cross-party friendships declined - Geographic</w:t>
      </w:r>
      <w:r>
        <w:t xml:space="preserve"> </w:t>
      </w:r>
      <w:r>
        <w:t xml:space="preserve">sorting intensified (urban-rural divide) - Media consumption fragmented</w:t>
      </w:r>
      <w:r>
        <w:t xml:space="preserve"> </w:t>
      </w:r>
      <w:r>
        <w:t xml:space="preserve">along partisan lines</w:t>
      </w:r>
    </w:p>
    <w:p>
      <w:pPr>
        <w:pStyle w:val="BodyText"/>
      </w:pPr>
      <w:r>
        <w:rPr>
          <w:bCs/>
          <w:b/>
        </w:rPr>
        <w:t xml:space="preserve">Racial Justice Reckoning (2020):</w:t>
      </w:r>
      <w:r>
        <w:t xml:space="preserve"> </w:t>
      </w:r>
      <w:r>
        <w:t xml:space="preserve">George Floyd’s murder (May 25,</w:t>
      </w:r>
      <w:r>
        <w:t xml:space="preserve"> </w:t>
      </w:r>
      <w:r>
        <w:t xml:space="preserve">2020) triggered the largest protest movement in American history: -</w:t>
      </w:r>
      <w:r>
        <w:t xml:space="preserve"> </w:t>
      </w:r>
      <w:r>
        <w:t xml:space="preserve">Estimated 15-26 million participants (June 2020) - Protests in all 50</w:t>
      </w:r>
      <w:r>
        <w:t xml:space="preserve"> </w:t>
      </w:r>
      <w:r>
        <w:t xml:space="preserve">states - Corporate and institutional responses widespread - Policy</w:t>
      </w:r>
      <w:r>
        <w:t xml:space="preserve"> </w:t>
      </w:r>
      <w:r>
        <w:t xml:space="preserve">changes: Some police reform legislation (federal stalled), local reforms</w:t>
      </w:r>
      <w:r>
        <w:t xml:space="preserve"> </w:t>
      </w:r>
      <w:r>
        <w:t xml:space="preserve">varied</w:t>
      </w:r>
    </w:p>
    <w:p>
      <w:pPr>
        <w:pStyle w:val="BodyText"/>
      </w:pPr>
      <w:r>
        <w:rPr>
          <w:bCs/>
          <w:b/>
        </w:rPr>
        <w:t xml:space="preserve">Immigration:</w:t>
      </w:r>
      <w:r>
        <w:t xml:space="preserve"> </w:t>
      </w:r>
      <w:r>
        <w:t xml:space="preserve">The administration implemented dramatic policy</w:t>
      </w:r>
      <w:r>
        <w:t xml:space="preserve"> </w:t>
      </w:r>
      <w:r>
        <w:t xml:space="preserve">changes: - Travel ban: Initial executive order, revised versions -</w:t>
      </w:r>
      <w:r>
        <w:t xml:space="preserve"> </w:t>
      </w:r>
      <w:r>
        <w:t xml:space="preserve">Family separation:</w:t>
      </w:r>
      <w:r>
        <w:t xml:space="preserve"> </w:t>
      </w:r>
      <w:r>
        <w:t xml:space="preserve">“</w:t>
      </w:r>
      <w:r>
        <w:t xml:space="preserve">Zero tolerance</w:t>
      </w:r>
      <w:r>
        <w:t xml:space="preserve">”</w:t>
      </w:r>
      <w:r>
        <w:t xml:space="preserve"> </w:t>
      </w:r>
      <w:r>
        <w:t xml:space="preserve">policy (2018), ultimately reversed</w:t>
      </w:r>
      <w:r>
        <w:t xml:space="preserve"> </w:t>
      </w:r>
      <w:r>
        <w:t xml:space="preserve">under legal and public pressure - DACA: Termination attempted, blocked</w:t>
      </w:r>
      <w:r>
        <w:t xml:space="preserve"> </w:t>
      </w:r>
      <w:r>
        <w:t xml:space="preserve">by courts - Border wall: Partial construction - Asylum restrictions:</w:t>
      </w:r>
      <w:r>
        <w:t xml:space="preserve"> </w:t>
      </w:r>
      <w:r>
        <w:t xml:space="preserve">“</w:t>
      </w:r>
      <w:r>
        <w:t xml:space="preserve">Remain in Mexico</w:t>
      </w:r>
      <w:r>
        <w:t xml:space="preserve">”</w:t>
      </w:r>
      <w:r>
        <w:t xml:space="preserve"> </w:t>
      </w:r>
      <w:r>
        <w:t xml:space="preserve">policy - Overall immigration: Net migration declined</w:t>
      </w:r>
      <w:r>
        <w:t xml:space="preserve"> </w:t>
      </w:r>
      <w:r>
        <w:t xml:space="preserve">from ~1 million/year to ~500,000 (2020)</w:t>
      </w:r>
    </w:p>
    <w:p>
      <w:pPr>
        <w:pStyle w:val="BodyText"/>
      </w:pPr>
      <w:r>
        <w:rPr>
          <w:bCs/>
          <w:b/>
        </w:rPr>
        <w:t xml:space="preserve">COVID-19 Social Impact:</w:t>
      </w:r>
      <w:r>
        <w:t xml:space="preserve"> </w:t>
      </w:r>
      <w:r>
        <w:t xml:space="preserve">The pandemic’s social toll was immense: -</w:t>
      </w:r>
      <w:r>
        <w:t xml:space="preserve"> </w:t>
      </w:r>
      <w:r>
        <w:t xml:space="preserve">Excess deaths (2020): Approximately 375,000 above normal - Employment</w:t>
      </w:r>
      <w:r>
        <w:t xml:space="preserve"> </w:t>
      </w:r>
      <w:r>
        <w:t xml:space="preserve">disruption: 22 million jobs lost (March-April 2020); recovered</w:t>
      </w:r>
      <w:r>
        <w:t xml:space="preserve"> </w:t>
      </w:r>
      <w:r>
        <w:t xml:space="preserve">partially - Educational disruption: School closures affected 50+ million</w:t>
      </w:r>
      <w:r>
        <w:t xml:space="preserve"> </w:t>
      </w:r>
      <w:r>
        <w:t xml:space="preserve">students - Mental health: Depression and anxiety rates doubled -</w:t>
      </w:r>
      <w:r>
        <w:t xml:space="preserve"> </w:t>
      </w:r>
      <w:r>
        <w:t xml:space="preserve">Domestic violence: Reports increased during lockdowns</w:t>
      </w:r>
    </w:p>
    <w:p>
      <w:pPr>
        <w:pStyle w:val="BodyText"/>
      </w:pPr>
      <w:r>
        <w:rPr>
          <w:bCs/>
          <w:b/>
        </w:rPr>
        <w:t xml:space="preserve">Inequality Dynamics:</w:t>
      </w:r>
      <w:r>
        <w:t xml:space="preserve"> </w:t>
      </w:r>
      <w:r>
        <w:t xml:space="preserve">- Pre-pandemic inequality high; pandemic</w:t>
      </w:r>
      <w:r>
        <w:t xml:space="preserve"> </w:t>
      </w:r>
      <w:r>
        <w:t xml:space="preserve">initially compressed wage distribution (low-wage job losses) - K-shaped</w:t>
      </w:r>
      <w:r>
        <w:t xml:space="preserve"> </w:t>
      </w:r>
      <w:r>
        <w:t xml:space="preserve">recovery: Asset owners benefited from Fed intervention; service workers</w:t>
      </w:r>
      <w:r>
        <w:t xml:space="preserve"> </w:t>
      </w:r>
      <w:r>
        <w:t xml:space="preserve">faced prolonged unemployment - Billionaire wealth: Increased $1.1</w:t>
      </w:r>
      <w:r>
        <w:t xml:space="preserve"> </w:t>
      </w:r>
      <w:r>
        <w:t xml:space="preserve">trillion (March-October 2020)</w:t>
      </w:r>
    </w:p>
    <w:p>
      <w:pPr>
        <w:pStyle w:val="BodyText"/>
      </w:pPr>
      <w:r>
        <w:rPr>
          <w:bCs/>
          <w:b/>
        </w:rPr>
        <w:t xml:space="preserve">Trust and Social Cohesion:</w:t>
      </w:r>
      <w:r>
        <w:t xml:space="preserve"> </w:t>
      </w:r>
      <w:r>
        <w:t xml:space="preserve">- Social trust: Continued low (31-32%</w:t>
      </w:r>
      <w:r>
        <w:t xml:space="preserve"> </w:t>
      </w:r>
      <w:r>
        <w:t xml:space="preserve">“</w:t>
      </w:r>
      <w:r>
        <w:t xml:space="preserve">most people can be trusted</w:t>
      </w:r>
      <w:r>
        <w:t xml:space="preserve">”</w:t>
      </w:r>
      <w:r>
        <w:t xml:space="preserve">) - Institutional trust: Varied by</w:t>
      </w:r>
      <w:r>
        <w:t xml:space="preserve"> </w:t>
      </w:r>
      <w:r>
        <w:t xml:space="preserve">institution and partisan identity - Vaccine hesitancy: Became</w:t>
      </w:r>
      <w:r>
        <w:t xml:space="preserve"> </w:t>
      </w:r>
      <w:r>
        <w:t xml:space="preserve">politically coded; partisan gap in vaccination rates</w:t>
      </w:r>
    </w:p>
    <w:p>
      <w:pPr>
        <w:pStyle w:val="BodyText"/>
      </w:pPr>
      <w:r>
        <w:rPr>
          <w:bCs/>
          <w:b/>
        </w:rPr>
        <w:t xml:space="preserve">Score: 4.5 → 4.0 (-11%)</w:t>
      </w:r>
    </w:p>
    <w:p>
      <w:pPr>
        <w:pStyle w:val="BodyText"/>
      </w:pPr>
      <w:r>
        <w:t xml:space="preserve">Social cohesion deteriorated significantly. Polarization intensified,</w:t>
      </w:r>
      <w:r>
        <w:t xml:space="preserve"> </w:t>
      </w:r>
      <w:r>
        <w:t xml:space="preserve">the pandemic exposed and exacerbated inequalities, and trust erosion</w:t>
      </w:r>
      <w:r>
        <w:t xml:space="preserve"> </w:t>
      </w:r>
      <w:r>
        <w:t xml:space="preserve">continued.</w:t>
      </w:r>
    </w:p>
    <w:bookmarkEnd w:id="65"/>
    <w:bookmarkEnd w:id="66"/>
    <w:bookmarkStart w:id="68" w:name="X8b654caa800647a9983fbe0f4e1be36c7945ddc"/>
    <w:p>
      <w:pPr>
        <w:pStyle w:val="Heading2"/>
      </w:pPr>
      <w:r>
        <w:t xml:space="preserve">Domain 5: Educational and Knowledge Systems (2016-2021)</w:t>
      </w:r>
    </w:p>
    <w:bookmarkStart w:id="67" w:name="higher-education-under-pressure"/>
    <w:p>
      <w:pPr>
        <w:pStyle w:val="Heading3"/>
      </w:pPr>
      <w:r>
        <w:t xml:space="preserve">Higher Education Under Pressure</w:t>
      </w:r>
    </w:p>
    <w:p>
      <w:pPr>
        <w:pStyle w:val="FirstParagraph"/>
      </w:pPr>
      <w:r>
        <w:rPr>
          <w:bCs/>
          <w:b/>
        </w:rPr>
        <w:t xml:space="preserve">International Students:</w:t>
      </w:r>
      <w:r>
        <w:t xml:space="preserve"> </w:t>
      </w:r>
      <w:r>
        <w:t xml:space="preserve">- 2016-17: 1.08 million - 2019-20: 1.08</w:t>
      </w:r>
      <w:r>
        <w:t xml:space="preserve"> </w:t>
      </w:r>
      <w:r>
        <w:t xml:space="preserve">million (flat) - 2020-21: 914,000 (-15%, COVID impact)</w:t>
      </w:r>
    </w:p>
    <w:p>
      <w:pPr>
        <w:pStyle w:val="BodyText"/>
      </w:pPr>
      <w:r>
        <w:t xml:space="preserve">The Trump administration’s visa restrictions and rhetoric contributed to</w:t>
      </w:r>
      <w:r>
        <w:t xml:space="preserve"> </w:t>
      </w:r>
      <w:r>
        <w:t xml:space="preserve">stagnation even before the pandemic.</w:t>
      </w:r>
    </w:p>
    <w:p>
      <w:pPr>
        <w:pStyle w:val="BodyText"/>
      </w:pPr>
      <w:r>
        <w:rPr>
          <w:bCs/>
          <w:b/>
        </w:rPr>
        <w:t xml:space="preserve">Research Concerns:</w:t>
      </w:r>
    </w:p>
    <w:p>
      <w:pPr>
        <w:pStyle w:val="BodyText"/>
      </w:pPr>
      <w:r>
        <w:rPr>
          <w:iCs/>
          <w:i/>
        </w:rPr>
        <w:t xml:space="preserve">China Initiative (DOJ):</w:t>
      </w:r>
      <w:r>
        <w:t xml:space="preserve"> </w:t>
      </w:r>
      <w:r>
        <w:t xml:space="preserve">- Launched 2018 to address IP theft concerns -</w:t>
      </w:r>
      <w:r>
        <w:t xml:space="preserve"> </w:t>
      </w:r>
      <w:r>
        <w:t xml:space="preserve">Academic researcher prosecutions - Controversial cases (some acquittals,</w:t>
      </w:r>
      <w:r>
        <w:t xml:space="preserve"> </w:t>
      </w:r>
      <w:r>
        <w:t xml:space="preserve">some overturned) - Chilling effect on research collaboration -</w:t>
      </w:r>
      <w:r>
        <w:t xml:space="preserve"> </w:t>
      </w:r>
      <w:r>
        <w:t xml:space="preserve">Eventually wound down (February 2022)</w:t>
      </w:r>
    </w:p>
    <w:p>
      <w:pPr>
        <w:pStyle w:val="BodyText"/>
      </w:pPr>
      <w:r>
        <w:rPr>
          <w:iCs/>
          <w:i/>
        </w:rPr>
        <w:t xml:space="preserve">CHIPS Act Precursors:</w:t>
      </w:r>
      <w:r>
        <w:t xml:space="preserve"> </w:t>
      </w:r>
      <w:r>
        <w:t xml:space="preserve">Growing recognition of semiconductor</w:t>
      </w:r>
      <w:r>
        <w:t xml:space="preserve"> </w:t>
      </w:r>
      <w:r>
        <w:t xml:space="preserve">vulnerability: - Intel’s manufacturing competitiveness declining - TSMC</w:t>
      </w:r>
      <w:r>
        <w:t xml:space="preserve"> </w:t>
      </w:r>
      <w:r>
        <w:t xml:space="preserve">dominance in advanced logic - Bipartisan concern leading to eventual</w:t>
      </w:r>
      <w:r>
        <w:t xml:space="preserve"> </w:t>
      </w:r>
      <w:r>
        <w:t xml:space="preserve">legislation</w:t>
      </w:r>
    </w:p>
    <w:p>
      <w:pPr>
        <w:pStyle w:val="BodyText"/>
      </w:pPr>
      <w:r>
        <w:rPr>
          <w:bCs/>
          <w:b/>
        </w:rPr>
        <w:t xml:space="preserve">Pandemic Educational Impact:</w:t>
      </w:r>
      <w:r>
        <w:t xml:space="preserve"> </w:t>
      </w:r>
      <w:r>
        <w:t xml:space="preserve">- K-12: Extended school closures,</w:t>
      </w:r>
      <w:r>
        <w:t xml:space="preserve"> </w:t>
      </w:r>
      <w:r>
        <w:t xml:space="preserve">learning loss estimated at 0.5-1.0 grade levels - Higher ed: Shift to</w:t>
      </w:r>
      <w:r>
        <w:t xml:space="preserve"> </w:t>
      </w:r>
      <w:r>
        <w:t xml:space="preserve">remote learning, international enrollment decline - Graduate research:</w:t>
      </w:r>
      <w:r>
        <w:t xml:space="preserve"> </w:t>
      </w:r>
      <w:r>
        <w:t xml:space="preserve">Lab closures, delayed dissertations</w:t>
      </w:r>
    </w:p>
    <w:p>
      <w:pPr>
        <w:pStyle w:val="BodyText"/>
      </w:pPr>
      <w:r>
        <w:rPr>
          <w:bCs/>
          <w:b/>
        </w:rPr>
        <w:t xml:space="preserve">Score: 6.5 → 6.0 (-8%)</w:t>
      </w:r>
    </w:p>
    <w:p>
      <w:pPr>
        <w:pStyle w:val="BodyText"/>
      </w:pPr>
      <w:r>
        <w:t xml:space="preserve">Educational systems showed strain from politicization, pandemic</w:t>
      </w:r>
      <w:r>
        <w:t xml:space="preserve"> </w:t>
      </w:r>
      <w:r>
        <w:t xml:space="preserve">disruption, and international student uncertainty while maintaining</w:t>
      </w:r>
      <w:r>
        <w:t xml:space="preserve"> </w:t>
      </w:r>
      <w:r>
        <w:t xml:space="preserve">research output.</w:t>
      </w:r>
    </w:p>
    <w:bookmarkEnd w:id="67"/>
    <w:bookmarkEnd w:id="68"/>
    <w:bookmarkStart w:id="70" w:name="Xa7cbd0bda683244ae3f86b321cb8c748899e177"/>
    <w:p>
      <w:pPr>
        <w:pStyle w:val="Heading2"/>
      </w:pPr>
      <w:r>
        <w:t xml:space="preserve">Domain 6: Cultural and Soft Power (2016-2021)</w:t>
      </w:r>
    </w:p>
    <w:bookmarkStart w:id="69" w:name="soft-power-collapse-and-partial-recovery"/>
    <w:p>
      <w:pPr>
        <w:pStyle w:val="Heading3"/>
      </w:pPr>
      <w:r>
        <w:t xml:space="preserve">Soft Power Collapse and Partial Recovery</w:t>
      </w:r>
    </w:p>
    <w:p>
      <w:pPr>
        <w:pStyle w:val="FirstParagraph"/>
      </w:pPr>
      <w:r>
        <w:t xml:space="preserve">The decline in global favorability was dramatic:</w:t>
      </w:r>
    </w:p>
    <w:p>
      <w:pPr>
        <w:pStyle w:val="BodyText"/>
      </w:pPr>
      <w:r>
        <w:rPr>
          <w:bCs/>
          <w:b/>
        </w:rPr>
        <w:t xml:space="preserve">Pew Global Attitudes:</w:t>
      </w:r>
      <w:r>
        <w:t xml:space="preserve"> </w:t>
      </w:r>
      <w:r>
        <w:t xml:space="preserve">- Favorable views of US: - 2016: 64%</w:t>
      </w:r>
      <w:r>
        <w:t xml:space="preserve"> </w:t>
      </w:r>
      <w:r>
        <w:t xml:space="preserve">(median) - 2017: 49% - 2020: 34% - 2021: 62% (Biden effect) - Confidence</w:t>
      </w:r>
      <w:r>
        <w:t xml:space="preserve"> </w:t>
      </w:r>
      <w:r>
        <w:t xml:space="preserve">in US President: - Obama 2016: 64% - Trump 2017: 22% - Trump 2020: 16% -</w:t>
      </w:r>
      <w:r>
        <w:t xml:space="preserve"> </w:t>
      </w:r>
      <w:r>
        <w:t xml:space="preserve">Biden 2021: 74%</w:t>
      </w:r>
    </w:p>
    <w:p>
      <w:pPr>
        <w:pStyle w:val="BodyText"/>
      </w:pPr>
      <w:r>
        <w:rPr>
          <w:bCs/>
          <w:b/>
        </w:rPr>
        <w:t xml:space="preserve">Portland/USC Soft Power 30:</w:t>
      </w:r>
      <w:r>
        <w:t xml:space="preserve"> </w:t>
      </w:r>
      <w:r>
        <w:t xml:space="preserve">- 2016: #4 - 2019: #5 - Post-2020:</w:t>
      </w:r>
      <w:r>
        <w:t xml:space="preserve"> </w:t>
      </w:r>
      <w:r>
        <w:t xml:space="preserve">Ranking suspended due to methodology questions</w:t>
      </w:r>
    </w:p>
    <w:p>
      <w:pPr>
        <w:pStyle w:val="BodyText"/>
      </w:pPr>
      <w:r>
        <w:rPr>
          <w:bCs/>
          <w:b/>
        </w:rPr>
        <w:t xml:space="preserve">Withdrawal from International Agreements:</w:t>
      </w:r>
      <w:r>
        <w:t xml:space="preserve"> </w:t>
      </w:r>
      <w:r>
        <w:t xml:space="preserve">- Paris Climate Agreement:</w:t>
      </w:r>
      <w:r>
        <w:t xml:space="preserve"> </w:t>
      </w:r>
      <w:r>
        <w:t xml:space="preserve">Withdrawal announced 2017, effective November 2020 - Iran Nuclear Deal</w:t>
      </w:r>
      <w:r>
        <w:t xml:space="preserve"> </w:t>
      </w:r>
      <w:r>
        <w:t xml:space="preserve">(JCPOA): Withdrawal May 2018 - Trans-Pacific Partnership: Withdrawal</w:t>
      </w:r>
      <w:r>
        <w:t xml:space="preserve"> </w:t>
      </w:r>
      <w:r>
        <w:t xml:space="preserve">January 2017 - UNESCO: Withdrawal effective December 2018 - WHO:</w:t>
      </w:r>
      <w:r>
        <w:t xml:space="preserve"> </w:t>
      </w:r>
      <w:r>
        <w:t xml:space="preserve">Withdrawal process initiated (halted by Biden) - INF Treaty: Withdrawal</w:t>
      </w:r>
      <w:r>
        <w:t xml:space="preserve"> </w:t>
      </w:r>
      <w:r>
        <w:t xml:space="preserve">August 2019 (mutual with Russia) - Open Skies Treaty: Withdrawal</w:t>
      </w:r>
      <w:r>
        <w:t xml:space="preserve"> </w:t>
      </w:r>
      <w:r>
        <w:t xml:space="preserve">November 2020</w:t>
      </w:r>
    </w:p>
    <w:p>
      <w:pPr>
        <w:pStyle w:val="BodyText"/>
      </w:pPr>
      <w:r>
        <w:rPr>
          <w:bCs/>
          <w:b/>
        </w:rPr>
        <w:t xml:space="preserve">Multilateral Marginalization:</w:t>
      </w:r>
      <w:r>
        <w:t xml:space="preserve"> </w:t>
      </w:r>
      <w:r>
        <w:t xml:space="preserve">- UN Human Rights Council: Withdrawal</w:t>
      </w:r>
      <w:r>
        <w:t xml:space="preserve"> </w:t>
      </w:r>
      <w:r>
        <w:t xml:space="preserve">June 2018 - WTO dispute resolution: Appellate Body blocked (vacancies</w:t>
      </w:r>
      <w:r>
        <w:t xml:space="preserve"> </w:t>
      </w:r>
      <w:r>
        <w:t xml:space="preserve">unfilled) - G7/G20: Contentious participation</w:t>
      </w:r>
    </w:p>
    <w:p>
      <w:pPr>
        <w:pStyle w:val="BodyText"/>
      </w:pPr>
      <w:r>
        <w:rPr>
          <w:bCs/>
          <w:b/>
        </w:rPr>
        <w:t xml:space="preserve">Cultural Export:</w:t>
      </w:r>
      <w:r>
        <w:t xml:space="preserve"> </w:t>
      </w:r>
      <w:r>
        <w:t xml:space="preserve">Despite political controversies, cultural products</w:t>
      </w:r>
      <w:r>
        <w:t xml:space="preserve"> </w:t>
      </w:r>
      <w:r>
        <w:t xml:space="preserve">maintained reach: - Streaming: Netflix, Disney+, Amazon Prime global</w:t>
      </w:r>
      <w:r>
        <w:t xml:space="preserve"> </w:t>
      </w:r>
      <w:r>
        <w:t xml:space="preserve">expansion continued - Social media: American platforms remained dominant</w:t>
      </w:r>
      <w:r>
        <w:t xml:space="preserve"> </w:t>
      </w:r>
      <w:r>
        <w:t xml:space="preserve">(TikTok notable exception) - Film: Hollywood maintained global box</w:t>
      </w:r>
      <w:r>
        <w:t xml:space="preserve"> </w:t>
      </w:r>
      <w:r>
        <w:t xml:space="preserve">office dominance (pre-pandemic) - Music: American artists continued</w:t>
      </w:r>
      <w:r>
        <w:t xml:space="preserve"> </w:t>
      </w:r>
      <w:r>
        <w:t xml:space="preserve">global chart presence</w:t>
      </w:r>
    </w:p>
    <w:p>
      <w:pPr>
        <w:pStyle w:val="BodyText"/>
      </w:pPr>
      <w:r>
        <w:rPr>
          <w:bCs/>
          <w:b/>
        </w:rPr>
        <w:t xml:space="preserve">Score: 6.5 → 5.0 (-23%)</w:t>
      </w:r>
    </w:p>
    <w:p>
      <w:pPr>
        <w:pStyle w:val="BodyText"/>
      </w:pPr>
      <w:r>
        <w:t xml:space="preserve">Soft power experienced the most severe decline of any domain during this</w:t>
      </w:r>
      <w:r>
        <w:t xml:space="preserve"> </w:t>
      </w:r>
      <w:r>
        <w:t xml:space="preserve">period. The combination of explicit multilateral withdrawal, global</w:t>
      </w:r>
      <w:r>
        <w:t xml:space="preserve"> </w:t>
      </w:r>
      <w:r>
        <w:t xml:space="preserve">favorability collapse, and perceived democratic backsliding damaged</w:t>
      </w:r>
      <w:r>
        <w:t xml:space="preserve"> </w:t>
      </w:r>
      <w:r>
        <w:t xml:space="preserve">American standing substantially. Biden’s election produced immediate</w:t>
      </w:r>
      <w:r>
        <w:t xml:space="preserve"> </w:t>
      </w:r>
      <w:r>
        <w:t xml:space="preserve">recovery in some metrics, but structural damage—broken agreements,</w:t>
      </w:r>
      <w:r>
        <w:t xml:space="preserve"> </w:t>
      </w:r>
      <w:r>
        <w:t xml:space="preserve">withdrawn memberships—could not be instantly repaired.</w:t>
      </w:r>
    </w:p>
    <w:bookmarkEnd w:id="69"/>
    <w:bookmarkEnd w:id="70"/>
    <w:bookmarkStart w:id="72" w:name="Xf6e569d32a13a2e572909034412cbec05d618aa"/>
    <w:p>
      <w:pPr>
        <w:pStyle w:val="Heading2"/>
      </w:pPr>
      <w:r>
        <w:t xml:space="preserve">Domain 7: Technological and Innovation Capacity (2016-2021)</w:t>
      </w:r>
    </w:p>
    <w:bookmarkStart w:id="71" w:name="tech-competition-intensifies"/>
    <w:p>
      <w:pPr>
        <w:pStyle w:val="Heading3"/>
      </w:pPr>
      <w:r>
        <w:t xml:space="preserve">Tech Competition Intensifies</w:t>
      </w:r>
    </w:p>
    <w:p>
      <w:pPr>
        <w:pStyle w:val="FirstParagraph"/>
      </w:pPr>
      <w:r>
        <w:rPr>
          <w:bCs/>
          <w:b/>
        </w:rPr>
        <w:t xml:space="preserve">Platform Dominance:</w:t>
      </w:r>
      <w:r>
        <w:t xml:space="preserve"> </w:t>
      </w:r>
      <w:r>
        <w:t xml:space="preserve">American technology companies consolidated their</w:t>
      </w:r>
      <w:r>
        <w:t xml:space="preserve"> </w:t>
      </w:r>
      <w:r>
        <w:t xml:space="preserve">global position: - Market cap (December 2020): Apple ($2.3T), Microsoft</w:t>
      </w:r>
      <w:r>
        <w:t xml:space="preserve"> </w:t>
      </w:r>
      <w:r>
        <w:t xml:space="preserve">($1.7T), Amazon ($1.6T), Alphabet ($1.2T), Facebook ($780B) -</w:t>
      </w:r>
      <w:r>
        <w:t xml:space="preserve"> </w:t>
      </w:r>
      <w:r>
        <w:t xml:space="preserve">Combined: ~$7.5 trillion, representing unprecedented concentration</w:t>
      </w:r>
    </w:p>
    <w:p>
      <w:pPr>
        <w:pStyle w:val="BodyText"/>
      </w:pPr>
      <w:r>
        <w:rPr>
          <w:bCs/>
          <w:b/>
        </w:rPr>
        <w:t xml:space="preserve">AI Race:</w:t>
      </w:r>
      <w:r>
        <w:t xml:space="preserve"> </w:t>
      </w:r>
      <w:r>
        <w:t xml:space="preserve">US maintained AI research leadership: - Publications: US</w:t>
      </w:r>
      <w:r>
        <w:t xml:space="preserve"> </w:t>
      </w:r>
      <w:r>
        <w:t xml:space="preserve">and China roughly equal in quantity; US led in citation impact - Talent:</w:t>
      </w:r>
      <w:r>
        <w:t xml:space="preserve"> </w:t>
      </w:r>
      <w:r>
        <w:t xml:space="preserve">US universities and companies attracted top global researchers -</w:t>
      </w:r>
      <w:r>
        <w:t xml:space="preserve"> </w:t>
      </w:r>
      <w:r>
        <w:t xml:space="preserve">Compute: AWS, Google Cloud, Microsoft Azure dominated - Key advances:</w:t>
      </w:r>
      <w:r>
        <w:t xml:space="preserve"> </w:t>
      </w:r>
      <w:r>
        <w:t xml:space="preserve">GPT-3 (2020), AlphaFold (US-UK DeepMind)</w:t>
      </w:r>
    </w:p>
    <w:p>
      <w:pPr>
        <w:pStyle w:val="BodyText"/>
      </w:pPr>
      <w:r>
        <w:rPr>
          <w:bCs/>
          <w:b/>
        </w:rPr>
        <w:t xml:space="preserve">5G and Huawei:</w:t>
      </w:r>
      <w:r>
        <w:t xml:space="preserve"> </w:t>
      </w:r>
      <w:r>
        <w:t xml:space="preserve">Semiconductor and telecommunications became</w:t>
      </w:r>
      <w:r>
        <w:t xml:space="preserve"> </w:t>
      </w:r>
      <w:r>
        <w:t xml:space="preserve">geopolitical: - Huawei restrictions: Entity list (May 2019), expanded</w:t>
      </w:r>
      <w:r>
        <w:t xml:space="preserve"> </w:t>
      </w:r>
      <w:r>
        <w:t xml:space="preserve">controls (2020) - Allies pressured on 5G network security - TSMC barred</w:t>
      </w:r>
      <w:r>
        <w:t xml:space="preserve"> </w:t>
      </w:r>
      <w:r>
        <w:t xml:space="preserve">from supplying Huawei (September 2020)</w:t>
      </w:r>
    </w:p>
    <w:p>
      <w:pPr>
        <w:pStyle w:val="BodyText"/>
      </w:pPr>
      <w:r>
        <w:rPr>
          <w:bCs/>
          <w:b/>
        </w:rPr>
        <w:t xml:space="preserve">Semiconductor Vulnerability Recognition:</w:t>
      </w:r>
      <w:r>
        <w:t xml:space="preserve"> </w:t>
      </w:r>
      <w:r>
        <w:t xml:space="preserve">The period saw growing</w:t>
      </w:r>
      <w:r>
        <w:t xml:space="preserve"> </w:t>
      </w:r>
      <w:r>
        <w:t xml:space="preserve">awareness of chip concentration risk: - Leading-edge logic: TSMC</w:t>
      </w:r>
      <w:r>
        <w:t xml:space="preserve"> </w:t>
      </w:r>
      <w:r>
        <w:t xml:space="preserve">(Taiwan) 92%, Samsung (Korea) 8% - US share of advanced manufacturing:</w:t>
      </w:r>
      <w:r>
        <w:t xml:space="preserve"> </w:t>
      </w:r>
      <w:r>
        <w:t xml:space="preserve">~0% (leading edge) by 2020 - Supply chain disruptions (2021)</w:t>
      </w:r>
      <w:r>
        <w:t xml:space="preserve"> </w:t>
      </w:r>
      <w:r>
        <w:t xml:space="preserve">highlighted dependencies</w:t>
      </w:r>
    </w:p>
    <w:p>
      <w:pPr>
        <w:pStyle w:val="BodyText"/>
      </w:pPr>
      <w:r>
        <w:rPr>
          <w:bCs/>
          <w:b/>
        </w:rPr>
        <w:t xml:space="preserve">Space:</w:t>
      </w:r>
      <w:r>
        <w:t xml:space="preserve"> </w:t>
      </w:r>
      <w:r>
        <w:t xml:space="preserve">- SpaceX: Crew Dragon (2020) restored domestic crew launch</w:t>
      </w:r>
      <w:r>
        <w:t xml:space="preserve"> </w:t>
      </w:r>
      <w:r>
        <w:t xml:space="preserve">capability - Artemis program: Established return-to-Moon objective -</w:t>
      </w:r>
      <w:r>
        <w:t xml:space="preserve"> </w:t>
      </w:r>
      <w:r>
        <w:t xml:space="preserve">Commercial space: Multiple private companies advancing</w:t>
      </w:r>
    </w:p>
    <w:p>
      <w:pPr>
        <w:pStyle w:val="BodyText"/>
      </w:pPr>
      <w:r>
        <w:rPr>
          <w:bCs/>
          <w:b/>
        </w:rPr>
        <w:t xml:space="preserve">Score: 7.5 → 7.5 (unchanged)</w:t>
      </w:r>
    </w:p>
    <w:p>
      <w:pPr>
        <w:pStyle w:val="BodyText"/>
      </w:pPr>
      <w:r>
        <w:t xml:space="preserve">Despite strategic concerns about semiconductor manufacturing and 5G,</w:t>
      </w:r>
      <w:r>
        <w:t xml:space="preserve"> </w:t>
      </w:r>
      <w:r>
        <w:t xml:space="preserve">American technology companies maintained dominant global positions. The</w:t>
      </w:r>
      <w:r>
        <w:t xml:space="preserve"> </w:t>
      </w:r>
      <w:r>
        <w:t xml:space="preserve">innovation ecosystem—venture capital, research universities, talent</w:t>
      </w:r>
      <w:r>
        <w:t xml:space="preserve"> </w:t>
      </w:r>
      <w:r>
        <w:t xml:space="preserve">attraction—continued functioning.</w:t>
      </w:r>
    </w:p>
    <w:bookmarkEnd w:id="71"/>
    <w:bookmarkEnd w:id="72"/>
    <w:bookmarkStart w:id="74" w:name="X68f32e74831669a8ce324a28c91ec7f84fdb32d"/>
    <w:p>
      <w:pPr>
        <w:pStyle w:val="Heading2"/>
      </w:pPr>
      <w:r>
        <w:t xml:space="preserve">Domain 8: Information and Intelligence Systems (2016-2021)</w:t>
      </w:r>
    </w:p>
    <w:bookmarkStart w:id="73" w:name="Xb75cac317c1216e17b97afd7eb95970aac8550c"/>
    <w:p>
      <w:pPr>
        <w:pStyle w:val="Heading3"/>
      </w:pPr>
      <w:r>
        <w:t xml:space="preserve">Disinformation and Intelligence Politicization</w:t>
      </w:r>
    </w:p>
    <w:p>
      <w:pPr>
        <w:pStyle w:val="FirstParagraph"/>
      </w:pPr>
      <w:r>
        <w:rPr>
          <w:bCs/>
          <w:b/>
        </w:rPr>
        <w:t xml:space="preserve">Russian Information Operations:</w:t>
      </w:r>
      <w:r>
        <w:t xml:space="preserve"> </w:t>
      </w:r>
      <w:r>
        <w:t xml:space="preserve">- 2016 election interference:</w:t>
      </w:r>
      <w:r>
        <w:t xml:space="preserve"> </w:t>
      </w:r>
      <w:r>
        <w:t xml:space="preserve">Confirmed by intelligence community, Mueller investigation - Internet</w:t>
      </w:r>
      <w:r>
        <w:t xml:space="preserve"> </w:t>
      </w:r>
      <w:r>
        <w:t xml:space="preserve">Research Agency: Social media influence operations documented -</w:t>
      </w:r>
      <w:r>
        <w:t xml:space="preserve"> </w:t>
      </w:r>
      <w:r>
        <w:t xml:space="preserve">2018/2020: Continued interference attempts, though more defended against</w:t>
      </w:r>
    </w:p>
    <w:p>
      <w:pPr>
        <w:pStyle w:val="BodyText"/>
      </w:pPr>
      <w:r>
        <w:rPr>
          <w:bCs/>
          <w:b/>
        </w:rPr>
        <w:t xml:space="preserve">Intelligence-Political Relations:</w:t>
      </w:r>
      <w:r>
        <w:t xml:space="preserve"> </w:t>
      </w:r>
      <w:r>
        <w:t xml:space="preserve">The Trump administration’s</w:t>
      </w:r>
      <w:r>
        <w:t xml:space="preserve"> </w:t>
      </w:r>
      <w:r>
        <w:t xml:space="preserve">relationship with the intelligence community was historically</w:t>
      </w:r>
      <w:r>
        <w:t xml:space="preserve"> </w:t>
      </w:r>
      <w:r>
        <w:t xml:space="preserve">contentious: - Russian interference assessment disputed publicly -</w:t>
      </w:r>
      <w:r>
        <w:t xml:space="preserve"> </w:t>
      </w:r>
      <w:r>
        <w:t xml:space="preserve">Director of National Intelligence turnover - Intelligence professionals</w:t>
      </w:r>
      <w:r>
        <w:t xml:space="preserve"> </w:t>
      </w:r>
      <w:r>
        <w:t xml:space="preserve">publicly criticized - Whistleblower controversy (Ukraine call)</w:t>
      </w:r>
    </w:p>
    <w:p>
      <w:pPr>
        <w:pStyle w:val="BodyText"/>
      </w:pPr>
      <w:r>
        <w:rPr>
          <w:bCs/>
          <w:b/>
        </w:rPr>
        <w:t xml:space="preserve">Cyber Operations:</w:t>
      </w:r>
      <w:r>
        <w:t xml:space="preserve"> </w:t>
      </w:r>
      <w:r>
        <w:t xml:space="preserve">Significant events: - SolarWinds breach</w:t>
      </w:r>
      <w:r>
        <w:t xml:space="preserve"> </w:t>
      </w:r>
      <w:r>
        <w:t xml:space="preserve">(discovered December 2020): Russian intelligence compromised federal</w:t>
      </w:r>
      <w:r>
        <w:t xml:space="preserve"> </w:t>
      </w:r>
      <w:r>
        <w:t xml:space="preserve">agencies, major corporations - Colonial Pipeline ransomware (May 2021):</w:t>
      </w:r>
      <w:r>
        <w:t xml:space="preserve"> </w:t>
      </w:r>
      <w:r>
        <w:t xml:space="preserve">Critical infrastructure vulnerability demonstrated - Offensive</w:t>
      </w:r>
      <w:r>
        <w:t xml:space="preserve"> </w:t>
      </w:r>
      <w:r>
        <w:t xml:space="preserve">operations: Continued but less publicly acknowledged</w:t>
      </w:r>
    </w:p>
    <w:p>
      <w:pPr>
        <w:pStyle w:val="BodyText"/>
      </w:pPr>
      <w:r>
        <w:rPr>
          <w:bCs/>
          <w:b/>
        </w:rPr>
        <w:t xml:space="preserve">Disinformation Spread:</w:t>
      </w:r>
      <w:r>
        <w:t xml:space="preserve"> </w:t>
      </w:r>
      <w:r>
        <w:t xml:space="preserve">Domestic disinformation became policy</w:t>
      </w:r>
      <w:r>
        <w:t xml:space="preserve"> </w:t>
      </w:r>
      <w:r>
        <w:t xml:space="preserve">concern: - COVID misinformation: Vaccine hesitancy, treatment</w:t>
      </w:r>
      <w:r>
        <w:t xml:space="preserve"> </w:t>
      </w:r>
      <w:r>
        <w:t xml:space="preserve">misinformation - Election integrity claims: False fraud narratives -</w:t>
      </w:r>
      <w:r>
        <w:t xml:space="preserve"> </w:t>
      </w:r>
      <w:r>
        <w:t xml:space="preserve">Platform responses: Inconsistent content moderation - Foreign</w:t>
      </w:r>
      <w:r>
        <w:t xml:space="preserve"> </w:t>
      </w:r>
      <w:r>
        <w:t xml:space="preserve">amplification: Russian, Chinese, Iranian operations identified</w:t>
      </w:r>
    </w:p>
    <w:p>
      <w:pPr>
        <w:pStyle w:val="BodyText"/>
      </w:pPr>
      <w:r>
        <w:rPr>
          <w:bCs/>
          <w:b/>
        </w:rPr>
        <w:t xml:space="preserve">Score: 6.5 → 6.0 (-8%)</w:t>
      </w:r>
    </w:p>
    <w:p>
      <w:pPr>
        <w:pStyle w:val="BodyText"/>
      </w:pPr>
      <w:r>
        <w:t xml:space="preserve">Intelligence systems maintained operational capability but faced</w:t>
      </w:r>
      <w:r>
        <w:t xml:space="preserve"> </w:t>
      </w:r>
      <w:r>
        <w:t xml:space="preserve">unprecedented politicization. The information environment deteriorated</w:t>
      </w:r>
      <w:r>
        <w:t xml:space="preserve"> </w:t>
      </w:r>
      <w:r>
        <w:t xml:space="preserve">as disinformation (foreign and domestic) proliferated.</w:t>
      </w:r>
    </w:p>
    <w:bookmarkEnd w:id="73"/>
    <w:bookmarkEnd w:id="74"/>
    <w:bookmarkStart w:id="76" w:name="Xe9808262915e0a4d68caf199a9522abd509ac18"/>
    <w:p>
      <w:pPr>
        <w:pStyle w:val="Heading2"/>
      </w:pPr>
      <w:r>
        <w:t xml:space="preserve">Domain 9: Economic and Financial Systems (2016-2021)</w:t>
      </w:r>
    </w:p>
    <w:bookmarkStart w:id="75" w:name="pre-pandemic-expansion-and-covid-shock"/>
    <w:p>
      <w:pPr>
        <w:pStyle w:val="Heading3"/>
      </w:pPr>
      <w:r>
        <w:t xml:space="preserve">Pre-Pandemic Expansion and COVID Shock</w:t>
      </w:r>
    </w:p>
    <w:p>
      <w:pPr>
        <w:pStyle w:val="FirstParagraph"/>
      </w:pPr>
      <w:r>
        <w:rPr>
          <w:bCs/>
          <w:b/>
        </w:rPr>
        <w:t xml:space="preserve">Pre-Pandemic Economy (2017-2019):</w:t>
      </w:r>
      <w:r>
        <w:t xml:space="preserve"> </w:t>
      </w:r>
      <w:r>
        <w:t xml:space="preserve">The economy continued the</w:t>
      </w:r>
      <w:r>
        <w:t xml:space="preserve"> </w:t>
      </w:r>
      <w:r>
        <w:t xml:space="preserve">post-2008 expansion: - GDP growth: 2.3% (2017), 2.9% (2018), 2.3%</w:t>
      </w:r>
      <w:r>
        <w:t xml:space="preserve"> </w:t>
      </w:r>
      <w:r>
        <w:t xml:space="preserve">(2019) - Unemployment: Fell to 3.5% (September 2019)—50-year low -</w:t>
      </w:r>
      <w:r>
        <w:t xml:space="preserve"> </w:t>
      </w:r>
      <w:r>
        <w:t xml:space="preserve">Stock market: New highs (S&amp;P 500: 2,271 → 3,230, +42%) - Inflation:</w:t>
      </w:r>
      <w:r>
        <w:t xml:space="preserve"> </w:t>
      </w:r>
      <w:r>
        <w:t xml:space="preserve">Subdued, below Fed 2% target most of period</w:t>
      </w:r>
    </w:p>
    <w:p>
      <w:pPr>
        <w:pStyle w:val="BodyText"/>
      </w:pPr>
      <w:r>
        <w:rPr>
          <w:bCs/>
          <w:b/>
        </w:rPr>
        <w:t xml:space="preserve">Tax Cuts and Jobs Act (2017):</w:t>
      </w:r>
      <w:r>
        <w:t xml:space="preserve"> </w:t>
      </w:r>
      <w:r>
        <w:t xml:space="preserve">- Corporate rate: 35% → 21% -</w:t>
      </w:r>
      <w:r>
        <w:t xml:space="preserve"> </w:t>
      </w:r>
      <w:r>
        <w:t xml:space="preserve">Individual rate changes: Varied by bracket - SALT deduction capped at</w:t>
      </w:r>
      <w:r>
        <w:t xml:space="preserve"> </w:t>
      </w:r>
      <w:r>
        <w:t xml:space="preserve">$10,000 - Projected 10-year revenue reduction: $1.5 trillion (before</w:t>
      </w:r>
      <w:r>
        <w:t xml:space="preserve"> </w:t>
      </w:r>
      <w:r>
        <w:t xml:space="preserve">dynamic effects) - Economic impact: Debated; modest growth boost,</w:t>
      </w:r>
      <w:r>
        <w:t xml:space="preserve"> </w:t>
      </w:r>
      <w:r>
        <w:t xml:space="preserve">significant stock buyback increase</w:t>
      </w:r>
    </w:p>
    <w:p>
      <w:pPr>
        <w:pStyle w:val="BodyText"/>
      </w:pPr>
      <w:r>
        <w:rPr>
          <w:bCs/>
          <w:b/>
        </w:rPr>
        <w:t xml:space="preserve">Trade Policy:</w:t>
      </w:r>
      <w:r>
        <w:t xml:space="preserve"> </w:t>
      </w:r>
      <w:r>
        <w:t xml:space="preserve">Significant departures from post-1945 consensus: -</w:t>
      </w:r>
      <w:r>
        <w:t xml:space="preserve"> </w:t>
      </w:r>
      <w:r>
        <w:t xml:space="preserve">Steel/aluminum tariffs: March 2018 (Section 232) - China tariffs:</w:t>
      </w:r>
      <w:r>
        <w:t xml:space="preserve"> </w:t>
      </w:r>
      <w:r>
        <w:t xml:space="preserve">Escalating rounds (2018-2019) - Phase One deal (January 2020): Partial</w:t>
      </w:r>
      <w:r>
        <w:t xml:space="preserve"> </w:t>
      </w:r>
      <w:r>
        <w:t xml:space="preserve">de-escalation - Average tariff on Chinese goods: 3% (2017) → 19%</w:t>
      </w:r>
      <w:r>
        <w:t xml:space="preserve"> </w:t>
      </w:r>
      <w:r>
        <w:t xml:space="preserve">(2020) - USMCA: Renegotiated NAFTA (signed 2020)</w:t>
      </w:r>
    </w:p>
    <w:p>
      <w:pPr>
        <w:pStyle w:val="BodyText"/>
      </w:pPr>
      <w:r>
        <w:rPr>
          <w:bCs/>
          <w:b/>
        </w:rPr>
        <w:t xml:space="preserve">Pandemic Economic Response:</w:t>
      </w:r>
      <w:r>
        <w:t xml:space="preserve"> </w:t>
      </w:r>
      <w:r>
        <w:t xml:space="preserve">The fiscal and monetary response was</w:t>
      </w:r>
      <w:r>
        <w:t xml:space="preserve"> </w:t>
      </w:r>
      <w:r>
        <w:t xml:space="preserve">historic:</w:t>
      </w:r>
    </w:p>
    <w:p>
      <w:pPr>
        <w:pStyle w:val="BodyText"/>
      </w:pPr>
      <w:r>
        <w:rPr>
          <w:iCs/>
          <w:i/>
        </w:rPr>
        <w:t xml:space="preserve">Federal Reserve:</w:t>
      </w:r>
      <w:r>
        <w:t xml:space="preserve"> </w:t>
      </w:r>
      <w:r>
        <w:t xml:space="preserve">- Rate cuts: Fed funds target to 0-0.25% (March</w:t>
      </w:r>
      <w:r>
        <w:t xml:space="preserve"> </w:t>
      </w:r>
      <w:r>
        <w:t xml:space="preserve">2020) - QE4: Began March 2020, unlimited commitment - Weekly purchases</w:t>
      </w:r>
      <w:r>
        <w:t xml:space="preserve"> </w:t>
      </w:r>
      <w:r>
        <w:t xml:space="preserve">peaked at $125 billion - Balance sheet: $4.2T (February 2020) → $7.4T</w:t>
      </w:r>
      <w:r>
        <w:t xml:space="preserve"> </w:t>
      </w:r>
      <w:r>
        <w:t xml:space="preserve">(December 2020) → $8.9T (peak 2022) - Emergency facilities: Relaunched</w:t>
      </w:r>
      <w:r>
        <w:t xml:space="preserve"> </w:t>
      </w:r>
      <w:r>
        <w:t xml:space="preserve">2008 programs, added new ones - Primary and Secondary Market Corporate</w:t>
      </w:r>
      <w:r>
        <w:t xml:space="preserve"> </w:t>
      </w:r>
      <w:r>
        <w:t xml:space="preserve">Credit Facilities - Municipal Liquidity Facility - Main Street Lending</w:t>
      </w:r>
      <w:r>
        <w:t xml:space="preserve"> </w:t>
      </w:r>
      <w:r>
        <w:t xml:space="preserve">Program - Paycheck Protection Program Liquidity Facility - Swap lines:</w:t>
      </w:r>
      <w:r>
        <w:t xml:space="preserve"> </w:t>
      </w:r>
      <w:r>
        <w:t xml:space="preserve">Reactivated with 5 permanent partners, added 9 temporary</w:t>
      </w:r>
    </w:p>
    <w:p>
      <w:pPr>
        <w:pStyle w:val="BodyText"/>
      </w:pPr>
      <w:r>
        <w:rPr>
          <w:iCs/>
          <w:i/>
        </w:rPr>
        <w:t xml:space="preserve">Fiscal Response:</w:t>
      </w:r>
      <w:r>
        <w:t xml:space="preserve"> </w:t>
      </w:r>
      <w:r>
        <w:t xml:space="preserve">- CARES Act (March 2020): $2.2 trillion - $1,200</w:t>
      </w:r>
      <w:r>
        <w:t xml:space="preserve"> </w:t>
      </w:r>
      <w:r>
        <w:t xml:space="preserve">direct payments - $600/week unemployment supplement - Paycheck</w:t>
      </w:r>
      <w:r>
        <w:t xml:space="preserve"> </w:t>
      </w:r>
      <w:r>
        <w:t xml:space="preserve">Protection Program ($659 billion) - Airline bailouts - State/local</w:t>
      </w:r>
      <w:r>
        <w:t xml:space="preserve"> </w:t>
      </w:r>
      <w:r>
        <w:t xml:space="preserve">relief - Consolidated Appropriations Act (December 2020): $900</w:t>
      </w:r>
      <w:r>
        <w:t xml:space="preserve"> </w:t>
      </w:r>
      <w:r>
        <w:t xml:space="preserve">billion - American Rescue Plan (March 2021): $1.9 trillion</w:t>
      </w:r>
    </w:p>
    <w:p>
      <w:pPr>
        <w:pStyle w:val="BodyText"/>
      </w:pPr>
      <w:r>
        <w:t xml:space="preserve">Total fiscal response: ~$5 trillion (2020-2021)</w:t>
      </w:r>
    </w:p>
    <w:p>
      <w:pPr>
        <w:pStyle w:val="BodyText"/>
      </w:pPr>
      <w:r>
        <w:rPr>
          <w:bCs/>
          <w:b/>
        </w:rPr>
        <w:t xml:space="preserve">Outcomes:</w:t>
      </w:r>
      <w:r>
        <w:t xml:space="preserve"> </w:t>
      </w:r>
      <w:r>
        <w:t xml:space="preserve">- GDP: -3.4% (2020), +5.7% (2021) - Unemployment: 14.7%</w:t>
      </w:r>
      <w:r>
        <w:t xml:space="preserve"> </w:t>
      </w:r>
      <w:r>
        <w:t xml:space="preserve">(April 2020) → 6.0% (March 2021) - Stock market: Fastest bear market,</w:t>
      </w:r>
      <w:r>
        <w:t xml:space="preserve"> </w:t>
      </w:r>
      <w:r>
        <w:t xml:space="preserve">then fastest recovery (S&amp;P 500: -34% to +18% within 12 months) -</w:t>
      </w:r>
      <w:r>
        <w:t xml:space="preserve"> </w:t>
      </w:r>
      <w:r>
        <w:t xml:space="preserve">Inflation: Rising by late 2021 (to be addressed in Sub-Period III)</w:t>
      </w:r>
    </w:p>
    <w:p>
      <w:pPr>
        <w:pStyle w:val="BodyText"/>
      </w:pPr>
      <w:r>
        <w:rPr>
          <w:bCs/>
          <w:b/>
        </w:rPr>
        <w:t xml:space="preserve">Dollar System:</w:t>
      </w:r>
      <w:r>
        <w:t xml:space="preserve"> </w:t>
      </w:r>
      <w:r>
        <w:t xml:space="preserve">- COFER share: 60.5% (Q4 2020)—slight decline from</w:t>
      </w:r>
      <w:r>
        <w:t xml:space="preserve"> </w:t>
      </w:r>
      <w:r>
        <w:t xml:space="preserve">pre-crisis but no crisis-driven exit - Swap line usage: $449 billion</w:t>
      </w:r>
      <w:r>
        <w:t xml:space="preserve"> </w:t>
      </w:r>
      <w:r>
        <w:t xml:space="preserve">peak (May 2020) - Dollar appreciation during crisis: Flight to safety</w:t>
      </w:r>
      <w:r>
        <w:t xml:space="preserve"> </w:t>
      </w:r>
      <w:r>
        <w:t xml:space="preserve">confirmed dollar role</w:t>
      </w:r>
    </w:p>
    <w:p>
      <w:pPr>
        <w:pStyle w:val="BodyText"/>
      </w:pPr>
      <w:r>
        <w:rPr>
          <w:bCs/>
          <w:b/>
        </w:rPr>
        <w:t xml:space="preserve">Score: 6.0 → 5.5 (-8%)</w:t>
      </w:r>
    </w:p>
    <w:p>
      <w:pPr>
        <w:pStyle w:val="BodyText"/>
      </w:pPr>
      <w:r>
        <w:t xml:space="preserve">The economic/financial domain demonstrated remarkable crisis response</w:t>
      </w:r>
      <w:r>
        <w:t xml:space="preserve"> </w:t>
      </w:r>
      <w:r>
        <w:t xml:space="preserve">capacity while accumulating significant risks (debt, eventual</w:t>
      </w:r>
      <w:r>
        <w:t xml:space="preserve"> </w:t>
      </w:r>
      <w:r>
        <w:t xml:space="preserve">inflation). The Fed’s dealer-of-last-resort function and fiscal capacity</w:t>
      </w:r>
      <w:r>
        <w:t xml:space="preserve"> </w:t>
      </w:r>
      <w:r>
        <w:t xml:space="preserve">prevented depression but with unprecedented balance sheet expansion.</w:t>
      </w:r>
    </w:p>
    <w:bookmarkEnd w:id="75"/>
    <w:bookmarkEnd w:id="76"/>
    <w:bookmarkStart w:id="77" w:name="X2f78a7a299db94b1cccf7a155b7b5c0860fc1cc"/>
    <w:p>
      <w:pPr>
        <w:pStyle w:val="Heading2"/>
      </w:pPr>
      <w:r>
        <w:t xml:space="preserve">Sub-Period II Summary: Institutional Resilience Under Severe Stress</w:t>
      </w:r>
    </w:p>
    <w:p>
      <w:pPr>
        <w:pStyle w:val="FirstParagraph"/>
      </w:pPr>
      <w:r>
        <w:t xml:space="preserve">The 2016-2021 period subjected American hegemonic institutions to triple</w:t>
      </w:r>
      <w:r>
        <w:t xml:space="preserve"> </w:t>
      </w:r>
      <w:r>
        <w:t xml:space="preserve">stress: 1. Internal contestation: Executive branch challenged</w:t>
      </w:r>
      <w:r>
        <w:t xml:space="preserve"> </w:t>
      </w:r>
      <w:r>
        <w:t xml:space="preserve">bureaucratic, judicial, and normative constraints 2. Great power</w:t>
      </w:r>
      <w:r>
        <w:t xml:space="preserve"> </w:t>
      </w:r>
      <w:r>
        <w:t xml:space="preserve">competition: China and Russia posed explicit challenges across multiple</w:t>
      </w:r>
      <w:r>
        <w:t xml:space="preserve"> </w:t>
      </w:r>
      <w:r>
        <w:t xml:space="preserve">domains 3. Pandemic crisis: COVID-19 tested public health, economic, and</w:t>
      </w:r>
      <w:r>
        <w:t xml:space="preserve"> </w:t>
      </w:r>
      <w:r>
        <w:t xml:space="preserve">governance capacity simultaneously</w:t>
      </w:r>
    </w:p>
    <w:p>
      <w:pPr>
        <w:pStyle w:val="BodyText"/>
      </w:pPr>
      <w:r>
        <w:rPr>
          <w:bCs/>
          <w:b/>
        </w:rPr>
        <w:t xml:space="preserve">What Held:</w:t>
      </w:r>
      <w:r>
        <w:t xml:space="preserve"> </w:t>
      </w:r>
      <w:r>
        <w:t xml:space="preserve">1. Judicial independence: Courts rejected politically</w:t>
      </w:r>
      <w:r>
        <w:t xml:space="preserve"> </w:t>
      </w:r>
      <w:r>
        <w:t xml:space="preserve">motivated claims consistently 2. Electoral integrity: 2020 election</w:t>
      </w:r>
      <w:r>
        <w:t xml:space="preserve"> </w:t>
      </w:r>
      <w:r>
        <w:t xml:space="preserve">conducted and certified despite unprecedented pressure 3. Military</w:t>
      </w:r>
      <w:r>
        <w:t xml:space="preserve"> </w:t>
      </w:r>
      <w:r>
        <w:t xml:space="preserve">professionalism: Leadership explicitly rejected political intervention</w:t>
      </w:r>
      <w:r>
        <w:t xml:space="preserve"> </w:t>
      </w:r>
      <w:r>
        <w:t xml:space="preserve">4. Financial crisis management: Fed and Treasury responded effectively</w:t>
      </w:r>
      <w:r>
        <w:t xml:space="preserve"> </w:t>
      </w:r>
      <w:r>
        <w:t xml:space="preserve">to COVID shock 5. Technology leadership: Platform companies maintained</w:t>
      </w:r>
      <w:r>
        <w:t xml:space="preserve"> </w:t>
      </w:r>
      <w:r>
        <w:t xml:space="preserve">global dominance</w:t>
      </w:r>
    </w:p>
    <w:p>
      <w:pPr>
        <w:pStyle w:val="BodyText"/>
      </w:pPr>
      <w:r>
        <w:rPr>
          <w:bCs/>
          <w:b/>
        </w:rPr>
        <w:t xml:space="preserve">What Weakened:</w:t>
      </w:r>
      <w:r>
        <w:t xml:space="preserve"> </w:t>
      </w:r>
      <w:r>
        <w:t xml:space="preserve">1. Soft power: Collapsed to historic lows, only</w:t>
      </w:r>
      <w:r>
        <w:t xml:space="preserve"> </w:t>
      </w:r>
      <w:r>
        <w:t xml:space="preserve">partially recovered 2. Social cohesion: Polarization intensified, trust</w:t>
      </w:r>
      <w:r>
        <w:t xml:space="preserve"> </w:t>
      </w:r>
      <w:r>
        <w:t xml:space="preserve">eroded further 3. Executive-institution relations: Career bureaucracy</w:t>
      </w:r>
      <w:r>
        <w:t xml:space="preserve"> </w:t>
      </w:r>
      <w:r>
        <w:t xml:space="preserve">demoralized, capacity degraded 4. International commitments: Multiple</w:t>
      </w:r>
      <w:r>
        <w:t xml:space="preserve"> </w:t>
      </w:r>
      <w:r>
        <w:t xml:space="preserve">withdrawals damaged credibility 5. Information environment:</w:t>
      </w:r>
      <w:r>
        <w:t xml:space="preserve"> </w:t>
      </w:r>
      <w:r>
        <w:t xml:space="preserve">Disinformation proliferated</w:t>
      </w:r>
    </w:p>
    <w:p>
      <w:pPr>
        <w:pStyle w:val="BodyText"/>
      </w:pPr>
      <w:r>
        <w:rPr>
          <w:bCs/>
          <w:b/>
        </w:rPr>
        <w:t xml:space="preserve">Composite Score Trajectory (2016-2021):</w:t>
      </w:r>
      <w:r>
        <w:t xml:space="preserve"> </w:t>
      </w:r>
      <w:r>
        <w:t xml:space="preserve">- 2016 Average: 6.28 - 2021</w:t>
      </w:r>
      <w:r>
        <w:t xml:space="preserve"> </w:t>
      </w:r>
      <w:r>
        <w:t xml:space="preserve">Average: 5.72 - Decline: -0.56 (-8.9%)</w:t>
      </w:r>
    </w:p>
    <w:p>
      <w:pPr>
        <w:pStyle w:val="BodyText"/>
      </w:pPr>
      <w:r>
        <w:rPr>
          <w:bCs/>
          <w:b/>
        </w:rPr>
        <w:t xml:space="preserve">Cumulative Decline (2008-2021):</w:t>
      </w:r>
      <w:r>
        <w:t xml:space="preserve"> </w:t>
      </w:r>
      <w:r>
        <w:t xml:space="preserve">- 2008 Average: 6.78 - 2021 Average:</w:t>
      </w:r>
      <w:r>
        <w:t xml:space="preserve"> </w:t>
      </w:r>
      <w:r>
        <w:t xml:space="preserve">5.72 - Total Decline: -1.06 (-15.6%)</w:t>
      </w:r>
    </w:p>
    <w:p>
      <w:pPr>
        <w:pStyle w:val="BodyText"/>
      </w:pPr>
      <w:r>
        <w:t xml:space="preserve">This cumulative decline, while significant, remains well below the</w:t>
      </w:r>
      <w:r>
        <w:t xml:space="preserve"> </w:t>
      </w:r>
      <w:r>
        <w:t xml:space="preserve">thresholds observed in terminal hegemonic collapse. The British Empire</w:t>
      </w:r>
      <w:r>
        <w:t xml:space="preserve"> </w:t>
      </w:r>
      <w:r>
        <w:t xml:space="preserve">experienced approximately 35% composite decline from peak (1815-1914) to</w:t>
      </w:r>
      <w:r>
        <w:t xml:space="preserve"> </w:t>
      </w:r>
      <w:r>
        <w:t xml:space="preserve">terminal (1945); the Dutch Republic approximately 42% (1648-1672 to</w:t>
      </w:r>
      <w:r>
        <w:t xml:space="preserve"> </w:t>
      </w:r>
      <w:r>
        <w:t xml:space="preserve">1795). The American trajectory through 2021 suggests ongoing signal</w:t>
      </w:r>
      <w:r>
        <w:t xml:space="preserve"> </w:t>
      </w:r>
      <w:r>
        <w:t xml:space="preserve">crisis rather than imminent terminal decline.</w:t>
      </w:r>
    </w:p>
    <w:p>
      <w:pPr>
        <w:pStyle w:val="BodyText"/>
      </w:pPr>
      <w:r>
        <w:t xml:space="preserve">The following sub-period (2021-Present) introduces new dynamics:</w:t>
      </w:r>
      <w:r>
        <w:t xml:space="preserve"> </w:t>
      </w:r>
      <w:r>
        <w:t xml:space="preserve">accelerating great power competition, inflation crisis, and the</w:t>
      </w:r>
      <w:r>
        <w:t xml:space="preserve"> </w:t>
      </w:r>
      <w:r>
        <w:t xml:space="preserve">unresolved January 6th aftermath. The analytical challenge intensifies</w:t>
      </w:r>
      <w:r>
        <w:t xml:space="preserve"> </w:t>
      </w:r>
      <w:r>
        <w:t xml:space="preserve">as temporal proximity to events reduces confidence levels.</w:t>
      </w:r>
    </w:p>
    <w:p>
      <w:pPr>
        <w:pStyle w:val="BodyText"/>
      </w:pPr>
      <w:r>
        <w:rPr>
          <w:iCs/>
          <w:i/>
        </w:rPr>
        <w:t xml:space="preserve">[PART 2 COMPLETE — Document continues in PART 3 with Sub-Period III:</w:t>
      </w:r>
      <w:r>
        <w:rPr>
          <w:iCs/>
          <w:i/>
        </w:rPr>
        <w:t xml:space="preserve"> </w:t>
      </w:r>
      <w:r>
        <w:rPr>
          <w:iCs/>
          <w:i/>
        </w:rPr>
        <w:t xml:space="preserve">Acceleration and Uncertainty (2021-Present)]</w:t>
      </w:r>
      <w:r>
        <w:t xml:space="preserve"> </w:t>
      </w:r>
      <w:r>
        <w:t xml:space="preserve"># AMERICAN HEGEMONY</w:t>
      </w:r>
      <w:r>
        <w:t xml:space="preserve"> </w:t>
      </w:r>
      <w:r>
        <w:t xml:space="preserve">SESSION 4: THE CONTEMPORARY PERIOD (2008-PRESENT) ## PART 3: SUB-PERIOD</w:t>
      </w:r>
      <w:r>
        <w:t xml:space="preserve"> </w:t>
      </w:r>
      <w:r>
        <w:t xml:space="preserve">III — ACCELERATION AND UNCERTAINTY (2021-PRESENT)</w:t>
      </w:r>
    </w:p>
    <w:bookmarkEnd w:id="77"/>
    <w:bookmarkEnd w:id="78"/>
    <w:bookmarkStart w:id="117" w:name="Xc756c86a52ea24169aa090c25b2489a32b60119"/>
    <w:p>
      <w:pPr>
        <w:pStyle w:val="Heading1"/>
      </w:pPr>
      <w:r>
        <w:t xml:space="preserve">SUB-PERIOD III: ACCELERATION AND UNCERTAINTY (2021-PRESENT)</w:t>
      </w:r>
    </w:p>
    <w:bookmarkStart w:id="79" w:name="Xe9d59d8a88466134d333a506e790beaf94198a7"/>
    <w:p>
      <w:pPr>
        <w:pStyle w:val="Heading2"/>
      </w:pPr>
      <w:r>
        <w:t xml:space="preserve">Overview: Compounding Crises and Contested Trajectories</w:t>
      </w:r>
    </w:p>
    <w:p>
      <w:pPr>
        <w:pStyle w:val="FirstParagraph"/>
      </w:pPr>
      <w:r>
        <w:t xml:space="preserve">The period from January 2021 to the present represents the most</w:t>
      </w:r>
      <w:r>
        <w:t xml:space="preserve"> </w:t>
      </w:r>
      <w:r>
        <w:t xml:space="preserve">analytically challenging segment of this analysis. Three overlapping</w:t>
      </w:r>
      <w:r>
        <w:t xml:space="preserve"> </w:t>
      </w:r>
      <w:r>
        <w:t xml:space="preserve">dynamics converge: the unresolved aftermath of January 6th and</w:t>
      </w:r>
      <w:r>
        <w:t xml:space="preserve"> </w:t>
      </w:r>
      <w:r>
        <w:t xml:space="preserve">democratic contestation, the acceleration of great power competition</w:t>
      </w:r>
      <w:r>
        <w:t xml:space="preserve"> </w:t>
      </w:r>
      <w:r>
        <w:t xml:space="preserve">crystallizing around Ukraine and semiconductor controls, and the</w:t>
      </w:r>
      <w:r>
        <w:t xml:space="preserve"> </w:t>
      </w:r>
      <w:r>
        <w:t xml:space="preserve">emergence of transformative AI technology that may fundamentally alter</w:t>
      </w:r>
      <w:r>
        <w:t xml:space="preserve"> </w:t>
      </w:r>
      <w:r>
        <w:t xml:space="preserve">hegemonic competition parameters.</w:t>
      </w:r>
    </w:p>
    <w:p>
      <w:pPr>
        <w:pStyle w:val="BodyText"/>
      </w:pPr>
      <w:r>
        <w:t xml:space="preserve">The temporal proximity to events reduces confidence levels</w:t>
      </w:r>
      <w:r>
        <w:t xml:space="preserve"> </w:t>
      </w:r>
      <w:r>
        <w:t xml:space="preserve">substantially. Unlike the 2008-2016 period, where we can assess Fed</w:t>
      </w:r>
      <w:r>
        <w:t xml:space="preserve"> </w:t>
      </w:r>
      <w:r>
        <w:t xml:space="preserve">policy effectiveness with benefit of hindsight, or even 2016-2021, where</w:t>
      </w:r>
      <w:r>
        <w:t xml:space="preserve"> </w:t>
      </w:r>
      <w:r>
        <w:t xml:space="preserve">the stress-test of institutional resilience reached resolution in the</w:t>
      </w:r>
      <w:r>
        <w:t xml:space="preserve"> </w:t>
      </w:r>
      <w:r>
        <w:t xml:space="preserve">certification of the 2020 election, the 2021-present period remains</w:t>
      </w:r>
      <w:r>
        <w:t xml:space="preserve"> </w:t>
      </w:r>
      <w:r>
        <w:t xml:space="preserve">genuinely open. The second Trump administration’s policy trajectory, the</w:t>
      </w:r>
      <w:r>
        <w:t xml:space="preserve"> </w:t>
      </w:r>
      <w:r>
        <w:t xml:space="preserve">durability of semiconductor reshoring, the trajectory of AI</w:t>
      </w:r>
      <w:r>
        <w:t xml:space="preserve"> </w:t>
      </w:r>
      <w:r>
        <w:t xml:space="preserve">development—these remain live questions where scholarly consensus has</w:t>
      </w:r>
      <w:r>
        <w:t xml:space="preserve"> </w:t>
      </w:r>
      <w:r>
        <w:t xml:space="preserve">not yet formed.</w:t>
      </w:r>
    </w:p>
    <w:p>
      <w:pPr>
        <w:pStyle w:val="BodyText"/>
      </w:pPr>
      <w:r>
        <w:t xml:space="preserve">This sub-period analysis therefore adopts explicit provisional framing.</w:t>
      </w:r>
      <w:r>
        <w:t xml:space="preserve"> </w:t>
      </w:r>
      <w:r>
        <w:t xml:space="preserve">Confidence ratings are predominantly MODERATE or LOW, reflecting</w:t>
      </w:r>
      <w:r>
        <w:t xml:space="preserve"> </w:t>
      </w:r>
      <w:r>
        <w:t xml:space="preserve">evidentiary limitations rather than analytical uncertainty about</w:t>
      </w:r>
      <w:r>
        <w:t xml:space="preserve"> </w:t>
      </w:r>
      <w:r>
        <w:t xml:space="preserve">methodology.</w:t>
      </w:r>
    </w:p>
    <w:bookmarkEnd w:id="79"/>
    <w:bookmarkStart w:id="81" w:name="Xfabd92cdc0f7591f200ceaf57cfae4b1fcd4ba0"/>
    <w:p>
      <w:pPr>
        <w:pStyle w:val="Heading2"/>
      </w:pPr>
      <w:r>
        <w:t xml:space="preserve">Domain 1: Governance and Political Institutions (2021-Present)</w:t>
      </w:r>
    </w:p>
    <w:bookmarkStart w:id="80" w:name="Xed1e0750124197118f5248623904cdde75d141c"/>
    <w:p>
      <w:pPr>
        <w:pStyle w:val="Heading3"/>
      </w:pPr>
      <w:r>
        <w:t xml:space="preserve">The Biden Administration: Attempted Restoration</w:t>
      </w:r>
    </w:p>
    <w:p>
      <w:pPr>
        <w:pStyle w:val="FirstParagraph"/>
      </w:pPr>
      <w:r>
        <w:t xml:space="preserve">The Biden presidency began with explicit restoration framing—the</w:t>
      </w:r>
      <w:r>
        <w:t xml:space="preserve"> </w:t>
      </w:r>
      <w:r>
        <w:t xml:space="preserve">campaign’s</w:t>
      </w:r>
      <w:r>
        <w:t xml:space="preserve"> </w:t>
      </w:r>
      <w:r>
        <w:t xml:space="preserve">“</w:t>
      </w:r>
      <w:r>
        <w:t xml:space="preserve">soul of the nation</w:t>
      </w:r>
      <w:r>
        <w:t xml:space="preserve">”</w:t>
      </w:r>
      <w:r>
        <w:t xml:space="preserve"> </w:t>
      </w:r>
      <w:r>
        <w:t xml:space="preserve">theme, inaugural address emphasis on</w:t>
      </w:r>
      <w:r>
        <w:t xml:space="preserve"> </w:t>
      </w:r>
      <w:r>
        <w:t xml:space="preserve">unity, and staffing choices emphasizing experience and normalcy. The</w:t>
      </w:r>
      <w:r>
        <w:t xml:space="preserve"> </w:t>
      </w:r>
      <w:r>
        <w:t xml:space="preserve">policy agenda combined ambitious legislative goals with traditional</w:t>
      </w:r>
      <w:r>
        <w:t xml:space="preserve"> </w:t>
      </w:r>
      <w:r>
        <w:t xml:space="preserve">institutional relationships.</w:t>
      </w:r>
    </w:p>
    <w:p>
      <w:pPr>
        <w:pStyle w:val="BodyText"/>
      </w:pPr>
      <w:r>
        <w:rPr>
          <w:bCs/>
          <w:b/>
        </w:rPr>
        <w:t xml:space="preserve">Legislative Achievement (2021-2022):</w:t>
      </w:r>
    </w:p>
    <w:p>
      <w:pPr>
        <w:pStyle w:val="BodyText"/>
      </w:pPr>
      <w:r>
        <w:t xml:space="preserve">The unified Democratic government (50-50 Senate with Vice Presidential</w:t>
      </w:r>
      <w:r>
        <w:t xml:space="preserve"> </w:t>
      </w:r>
      <w:r>
        <w:t xml:space="preserve">tiebreaker) produced notable legislation despite slim majorities:</w:t>
      </w:r>
    </w:p>
    <w:p>
      <w:pPr>
        <w:pStyle w:val="BodyText"/>
      </w:pPr>
      <w:r>
        <w:rPr>
          <w:iCs/>
          <w:i/>
        </w:rPr>
        <w:t xml:space="preserve">American Rescue Plan (March 2021):</w:t>
      </w:r>
      <w:r>
        <w:t xml:space="preserve"> </w:t>
      </w:r>
      <w:r>
        <w:t xml:space="preserve">The $1.9 trillion COVID relief</w:t>
      </w:r>
      <w:r>
        <w:t xml:space="preserve"> </w:t>
      </w:r>
      <w:r>
        <w:t xml:space="preserve">package passed via reconciliation without Republican votes. It included</w:t>
      </w:r>
      <w:r>
        <w:t xml:space="preserve"> </w:t>
      </w:r>
      <w:r>
        <w:t xml:space="preserve">$1,400 direct payments ($2,000 total with December 2020 payment),</w:t>
      </w:r>
      <w:r>
        <w:t xml:space="preserve"> </w:t>
      </w:r>
      <w:r>
        <w:t xml:space="preserve">enhanced unemployment benefits, child tax credit expansion, and</w:t>
      </w:r>
      <w:r>
        <w:t xml:space="preserve"> </w:t>
      </w:r>
      <w:r>
        <w:t xml:space="preserve">state/local fiscal relief. The scale exceeded expectations given narrow</w:t>
      </w:r>
      <w:r>
        <w:t xml:space="preserve"> </w:t>
      </w:r>
      <w:r>
        <w:t xml:space="preserve">majorities.</w:t>
      </w:r>
    </w:p>
    <w:p>
      <w:pPr>
        <w:pStyle w:val="BodyText"/>
      </w:pPr>
      <w:r>
        <w:rPr>
          <w:iCs/>
          <w:i/>
        </w:rPr>
        <w:t xml:space="preserve">Infrastructure Investment and Jobs Act (November 2021):</w:t>
      </w:r>
      <w:r>
        <w:t xml:space="preserve"> </w:t>
      </w:r>
      <w:r>
        <w:t xml:space="preserve">The $1.2</w:t>
      </w:r>
      <w:r>
        <w:t xml:space="preserve"> </w:t>
      </w:r>
      <w:r>
        <w:t xml:space="preserve">trillion bipartisan infrastructure law represented the largest</w:t>
      </w:r>
      <w:r>
        <w:t xml:space="preserve"> </w:t>
      </w:r>
      <w:r>
        <w:t xml:space="preserve">infrastructure investment in decades. It allocated $550 billion in new</w:t>
      </w:r>
      <w:r>
        <w:t xml:space="preserve"> </w:t>
      </w:r>
      <w:r>
        <w:t xml:space="preserve">spending across transportation, broadband, water systems, and grid</w:t>
      </w:r>
      <w:r>
        <w:t xml:space="preserve"> </w:t>
      </w:r>
      <w:r>
        <w:t xml:space="preserve">modernization. Nineteen Republican senators voted for passage—a rare</w:t>
      </w:r>
      <w:r>
        <w:t xml:space="preserve"> </w:t>
      </w:r>
      <w:r>
        <w:t xml:space="preserve">instance of bipartisan cooperation on major legislation.</w:t>
      </w:r>
    </w:p>
    <w:p>
      <w:pPr>
        <w:pStyle w:val="BodyText"/>
      </w:pPr>
      <w:r>
        <w:rPr>
          <w:iCs/>
          <w:i/>
        </w:rPr>
        <w:t xml:space="preserve">CHIPS and Science Act (August 2022):</w:t>
      </w:r>
      <w:r>
        <w:t xml:space="preserve"> </w:t>
      </w:r>
      <w:r>
        <w:t xml:space="preserve">The $280 billion legislation</w:t>
      </w:r>
      <w:r>
        <w:t xml:space="preserve"> </w:t>
      </w:r>
      <w:r>
        <w:t xml:space="preserve">targeting semiconductor reshoring and science investment passed with</w:t>
      </w:r>
      <w:r>
        <w:t xml:space="preserve"> </w:t>
      </w:r>
      <w:r>
        <w:t xml:space="preserve">bipartisan support (64-33 Senate). It included $52 billion in</w:t>
      </w:r>
      <w:r>
        <w:t xml:space="preserve"> </w:t>
      </w:r>
      <w:r>
        <w:t xml:space="preserve">semiconductor manufacturing incentives, $24 billion in manufacturing</w:t>
      </w:r>
      <w:r>
        <w:t xml:space="preserve"> </w:t>
      </w:r>
      <w:r>
        <w:t xml:space="preserve">investment tax credits, and $200 billion authorized for science and</w:t>
      </w:r>
      <w:r>
        <w:t xml:space="preserve"> </w:t>
      </w:r>
      <w:r>
        <w:t xml:space="preserve">research. The legislation represented direct response to supply chain</w:t>
      </w:r>
      <w:r>
        <w:t xml:space="preserve"> </w:t>
      </w:r>
      <w:r>
        <w:t xml:space="preserve">vulnerabilities exposed during COVID and competitive pressure from</w:t>
      </w:r>
      <w:r>
        <w:t xml:space="preserve"> </w:t>
      </w:r>
      <w:r>
        <w:t xml:space="preserve">China’s semiconductor ambitions.</w:t>
      </w:r>
    </w:p>
    <w:p>
      <w:pPr>
        <w:pStyle w:val="BodyText"/>
      </w:pPr>
      <w:r>
        <w:rPr>
          <w:iCs/>
          <w:i/>
        </w:rPr>
        <w:t xml:space="preserve">Inflation Reduction Act (August 2022):</w:t>
      </w:r>
      <w:r>
        <w:t xml:space="preserve"> </w:t>
      </w:r>
      <w:r>
        <w:t xml:space="preserve">The $739 billion</w:t>
      </w:r>
      <w:r>
        <w:t xml:space="preserve"> </w:t>
      </w:r>
      <w:r>
        <w:t xml:space="preserve">reconciliation package combined climate investment ($369 billion),</w:t>
      </w:r>
      <w:r>
        <w:t xml:space="preserve"> </w:t>
      </w:r>
      <w:r>
        <w:t xml:space="preserve">prescription drug pricing reform, and deficit reduction through</w:t>
      </w:r>
      <w:r>
        <w:t xml:space="preserve"> </w:t>
      </w:r>
      <w:r>
        <w:t xml:space="preserve">corporate minimum tax and IRS enforcement. It represented the largest</w:t>
      </w:r>
      <w:r>
        <w:t xml:space="preserve"> </w:t>
      </w:r>
      <w:r>
        <w:t xml:space="preserve">climate investment in American history despite the misleading title</w:t>
      </w:r>
      <w:r>
        <w:t xml:space="preserve"> </w:t>
      </w:r>
      <w:r>
        <w:t xml:space="preserve">(most economists agreed it would have minimal inflation impact).</w:t>
      </w:r>
    </w:p>
    <w:p>
      <w:pPr>
        <w:pStyle w:val="BodyText"/>
      </w:pPr>
      <w:r>
        <w:rPr>
          <w:bCs/>
          <w:b/>
        </w:rPr>
        <w:t xml:space="preserve">Legislative Limitations:</w:t>
      </w:r>
    </w:p>
    <w:p>
      <w:pPr>
        <w:pStyle w:val="BodyText"/>
      </w:pPr>
      <w:r>
        <w:t xml:space="preserve">Despite these achievements, major Biden priorities failed: - Build Back</w:t>
      </w:r>
      <w:r>
        <w:t xml:space="preserve"> </w:t>
      </w:r>
      <w:r>
        <w:t xml:space="preserve">Better: The $3.5 trillion social spending package collapsed due to</w:t>
      </w:r>
      <w:r>
        <w:t xml:space="preserve"> </w:t>
      </w:r>
      <w:r>
        <w:t xml:space="preserve">Manchin and Sinema opposition - Voting rights legislation: Failed to</w:t>
      </w:r>
      <w:r>
        <w:t xml:space="preserve"> </w:t>
      </w:r>
      <w:r>
        <w:t xml:space="preserve">overcome filibuster despite multiple attempts - Police reform: George</w:t>
      </w:r>
      <w:r>
        <w:t xml:space="preserve"> </w:t>
      </w:r>
      <w:r>
        <w:t xml:space="preserve">Floyd Justice in Policing Act stalled - Immigration reform: No</w:t>
      </w:r>
      <w:r>
        <w:t xml:space="preserve"> </w:t>
      </w:r>
      <w:r>
        <w:t xml:space="preserve">comprehensive legislation advanced</w:t>
      </w:r>
    </w:p>
    <w:p>
      <w:pPr>
        <w:pStyle w:val="BodyText"/>
      </w:pPr>
      <w:r>
        <w:rPr>
          <w:bCs/>
          <w:b/>
        </w:rPr>
        <w:t xml:space="preserve">Judicial Developments:</w:t>
      </w:r>
    </w:p>
    <w:p>
      <w:pPr>
        <w:pStyle w:val="BodyText"/>
      </w:pPr>
      <w:r>
        <w:t xml:space="preserve">Biden appointed Ketanji Brown Jackson to the Supreme Court (confirmed</w:t>
      </w:r>
      <w:r>
        <w:t xml:space="preserve"> </w:t>
      </w:r>
      <w:r>
        <w:t xml:space="preserve">April 2022, 53-47)—the first Black woman justice. However, the 6-3</w:t>
      </w:r>
      <w:r>
        <w:t xml:space="preserve"> </w:t>
      </w:r>
      <w:r>
        <w:t xml:space="preserve">conservative majority delivered transformative rulings:</w:t>
      </w:r>
    </w:p>
    <w:p>
      <w:pPr>
        <w:pStyle w:val="BodyText"/>
      </w:pPr>
      <w:r>
        <w:rPr>
          <w:iCs/>
          <w:i/>
        </w:rPr>
        <w:t xml:space="preserve">Dobbs v. Jackson Women’s Health (June 2022):</w:t>
      </w:r>
      <w:r>
        <w:t xml:space="preserve"> </w:t>
      </w:r>
      <w:r>
        <w:t xml:space="preserve">Overturned Roe v. Wade</w:t>
      </w:r>
      <w:r>
        <w:t xml:space="preserve"> </w:t>
      </w:r>
      <w:r>
        <w:t xml:space="preserve">(1973), eliminating federal constitutional protection for abortion</w:t>
      </w:r>
      <w:r>
        <w:t xml:space="preserve"> </w:t>
      </w:r>
      <w:r>
        <w:t xml:space="preserve">access. The decision generated significant political backlash,</w:t>
      </w:r>
      <w:r>
        <w:t xml:space="preserve"> </w:t>
      </w:r>
      <w:r>
        <w:t xml:space="preserve">contributing to Democratic overperformance in 2022 midterms.</w:t>
      </w:r>
    </w:p>
    <w:p>
      <w:pPr>
        <w:pStyle w:val="BodyText"/>
      </w:pPr>
      <w:r>
        <w:rPr>
          <w:iCs/>
          <w:i/>
        </w:rPr>
        <w:t xml:space="preserve">West Virginia v. EPA (June 2022):</w:t>
      </w:r>
      <w:r>
        <w:t xml:space="preserve"> </w:t>
      </w:r>
      <w:r>
        <w:t xml:space="preserve">Articulated</w:t>
      </w:r>
      <w:r>
        <w:t xml:space="preserve"> </w:t>
      </w:r>
      <w:r>
        <w:t xml:space="preserve">“</w:t>
      </w:r>
      <w:r>
        <w:t xml:space="preserve">major questions</w:t>
      </w:r>
      <w:r>
        <w:t xml:space="preserve"> </w:t>
      </w:r>
      <w:r>
        <w:t xml:space="preserve">doctrine</w:t>
      </w:r>
      <w:r>
        <w:t xml:space="preserve">”</w:t>
      </w:r>
      <w:r>
        <w:t xml:space="preserve"> </w:t>
      </w:r>
      <w:r>
        <w:t xml:space="preserve">limiting agency regulatory authority without clear</w:t>
      </w:r>
      <w:r>
        <w:t xml:space="preserve"> </w:t>
      </w:r>
      <w:r>
        <w:t xml:space="preserve">congressional authorization. The decision constrained administrative</w:t>
      </w:r>
      <w:r>
        <w:t xml:space="preserve"> </w:t>
      </w:r>
      <w:r>
        <w:t xml:space="preserve">state capacity and signaled further limitations pending.</w:t>
      </w:r>
    </w:p>
    <w:p>
      <w:pPr>
        <w:pStyle w:val="BodyText"/>
      </w:pPr>
      <w:r>
        <w:rPr>
          <w:iCs/>
          <w:i/>
        </w:rPr>
        <w:t xml:space="preserve">Trump v. United States (July 2024):</w:t>
      </w:r>
      <w:r>
        <w:t xml:space="preserve"> </w:t>
      </w:r>
      <w:r>
        <w:t xml:space="preserve">Established broad presidential</w:t>
      </w:r>
      <w:r>
        <w:t xml:space="preserve"> </w:t>
      </w:r>
      <w:r>
        <w:t xml:space="preserve">immunity from criminal prosecution for official acts. The decision,</w:t>
      </w:r>
      <w:r>
        <w:t xml:space="preserve"> </w:t>
      </w:r>
      <w:r>
        <w:t xml:space="preserve">arriving during active criminal proceedings against former President</w:t>
      </w:r>
      <w:r>
        <w:t xml:space="preserve"> </w:t>
      </w:r>
      <w:r>
        <w:t xml:space="preserve">Trump, represented dramatic expansion of executive immunity doctrine.</w:t>
      </w:r>
    </w:p>
    <w:p>
      <w:pPr>
        <w:pStyle w:val="BodyText"/>
      </w:pPr>
      <w:r>
        <w:rPr>
          <w:bCs/>
          <w:b/>
        </w:rPr>
        <w:t xml:space="preserve">The 2024 Election:</w:t>
      </w:r>
    </w:p>
    <w:p>
      <w:pPr>
        <w:pStyle w:val="BodyText"/>
      </w:pPr>
      <w:r>
        <w:t xml:space="preserve">The 2024 presidential election produced Donald Trump’s return to power</w:t>
      </w:r>
      <w:r>
        <w:t xml:space="preserve"> </w:t>
      </w:r>
      <w:r>
        <w:t xml:space="preserve">with clear popular vote victory (approximately 50.6% to 48%) and</w:t>
      </w:r>
      <w:r>
        <w:t xml:space="preserve"> </w:t>
      </w:r>
      <w:r>
        <w:t xml:space="preserve">Electoral College margin (312-226). Republicans captured Senate control</w:t>
      </w:r>
      <w:r>
        <w:t xml:space="preserve"> </w:t>
      </w:r>
      <w:r>
        <w:t xml:space="preserve">(53-47) and retained House majority. The election represented: -</w:t>
      </w:r>
      <w:r>
        <w:t xml:space="preserve"> </w:t>
      </w:r>
      <w:r>
        <w:t xml:space="preserve">Rejection of Biden administration approach - Normalized electoral</w:t>
      </w:r>
      <w:r>
        <w:t xml:space="preserve"> </w:t>
      </w:r>
      <w:r>
        <w:t xml:space="preserve">outcome (no significant fraud claims against winner) - Unprecedented:</w:t>
      </w:r>
      <w:r>
        <w:t xml:space="preserve"> </w:t>
      </w:r>
      <w:r>
        <w:t xml:space="preserve">first president elected to non-consecutive terms since Grover Cleveland</w:t>
      </w:r>
    </w:p>
    <w:p>
      <w:pPr>
        <w:pStyle w:val="BodyText"/>
      </w:pPr>
      <w:r>
        <w:rPr>
          <w:bCs/>
          <w:b/>
        </w:rPr>
        <w:t xml:space="preserve">Second Trump Administration (January 2025-Present):</w:t>
      </w:r>
    </w:p>
    <w:p>
      <w:pPr>
        <w:pStyle w:val="BodyText"/>
      </w:pPr>
      <w:r>
        <w:t xml:space="preserve">The early months of the second Trump administration present analytical</w:t>
      </w:r>
      <w:r>
        <w:t xml:space="preserve"> </w:t>
      </w:r>
      <w:r>
        <w:t xml:space="preserve">challenges. Policy directions include: - Aggressive tariff expansion:</w:t>
      </w:r>
      <w:r>
        <w:t xml:space="preserve"> </w:t>
      </w:r>
      <w:r>
        <w:t xml:space="preserve">25% on Canada/Mexico, escalating rates on China - Executive action</w:t>
      </w:r>
      <w:r>
        <w:t xml:space="preserve"> </w:t>
      </w:r>
      <w:r>
        <w:t xml:space="preserve">emphasis: Multiple executive orders on first day - Personnel strategy:</w:t>
      </w:r>
      <w:r>
        <w:t xml:space="preserve"> </w:t>
      </w:r>
      <w:r>
        <w:t xml:space="preserve">Loyalty emphasis in appointments - Regulatory approach: Deregulation</w:t>
      </w:r>
      <w:r>
        <w:t xml:space="preserve"> </w:t>
      </w:r>
      <w:r>
        <w:t xml:space="preserve">across agencies</w:t>
      </w:r>
    </w:p>
    <w:p>
      <w:pPr>
        <w:pStyle w:val="BodyText"/>
      </w:pPr>
      <w:r>
        <w:rPr>
          <w:bCs/>
          <w:b/>
        </w:rPr>
        <w:t xml:space="preserve">The V-Dem Reclassification Controversy:</w:t>
      </w:r>
    </w:p>
    <w:p>
      <w:pPr>
        <w:pStyle w:val="BodyText"/>
      </w:pPr>
      <w:r>
        <w:t xml:space="preserve">The Varieties of Democracy (V-Dem) Institute’s late 2025</w:t>
      </w:r>
      <w:r>
        <w:t xml:space="preserve"> </w:t>
      </w:r>
      <w:r>
        <w:t xml:space="preserve">reclassification of the United States as an</w:t>
      </w:r>
      <w:r>
        <w:t xml:space="preserve"> </w:t>
      </w:r>
      <w:r>
        <w:t xml:space="preserve">“</w:t>
      </w:r>
      <w:r>
        <w:t xml:space="preserve">electoral autocracy</w:t>
      </w:r>
      <w:r>
        <w:t xml:space="preserve">”</w:t>
      </w:r>
      <w:r>
        <w:t xml:space="preserve"> </w:t>
      </w:r>
      <w:r>
        <w:t xml:space="preserve">generated significant scholarly debate. The reclassification</w:t>
      </w:r>
      <w:r>
        <w:t xml:space="preserve"> </w:t>
      </w:r>
      <w:r>
        <w:t xml:space="preserve">reflected: - Expert coder assessments of democratic quality decline -</w:t>
      </w:r>
      <w:r>
        <w:t xml:space="preserve"> </w:t>
      </w:r>
      <w:r>
        <w:t xml:space="preserve">Concerns about electoral integrity contestation -</w:t>
      </w:r>
      <w:r>
        <w:t xml:space="preserve"> </w:t>
      </w:r>
      <w:r>
        <w:t xml:space="preserve">Executive-legislative-judicial relationship changes</w:t>
      </w:r>
    </w:p>
    <w:p>
      <w:pPr>
        <w:pStyle w:val="BodyText"/>
      </w:pPr>
      <w:r>
        <w:t xml:space="preserve">However, the reclassification has faced methodological criticism:</w:t>
      </w:r>
    </w:p>
    <w:p>
      <w:pPr>
        <w:pStyle w:val="BodyText"/>
      </w:pPr>
      <w:r>
        <w:t xml:space="preserve">Jonas Wolff (Peace Research Institute Frankfurt) argued V-Dem’s approach</w:t>
      </w:r>
      <w:r>
        <w:t xml:space="preserve"> </w:t>
      </w:r>
      <w:r>
        <w:t xml:space="preserve">“</w:t>
      </w:r>
      <w:r>
        <w:t xml:space="preserve">abandons its pluralist conceptualization of democracy for an</w:t>
      </w:r>
      <w:r>
        <w:t xml:space="preserve"> </w:t>
      </w:r>
      <w:r>
        <w:t xml:space="preserve">electoralist understanding where quality of elections becomes dominant</w:t>
      </w:r>
      <w:r>
        <w:t xml:space="preserve"> </w:t>
      </w:r>
      <w:r>
        <w:t xml:space="preserve">criterion.</w:t>
      </w:r>
      <w:r>
        <w:t xml:space="preserve">”</w:t>
      </w:r>
      <w:r>
        <w:t xml:space="preserve"> </w:t>
      </w:r>
      <w:r>
        <w:t xml:space="preserve">The timing of reclassification—based on events still</w:t>
      </w:r>
      <w:r>
        <w:t xml:space="preserve"> </w:t>
      </w:r>
      <w:r>
        <w:t xml:space="preserve">unfolding—raised questions about contemporaneous measurement validity.</w:t>
      </w:r>
    </w:p>
    <w:p>
      <w:pPr>
        <w:pStyle w:val="BodyText"/>
      </w:pPr>
      <w:r>
        <w:t xml:space="preserve">The Bright Line Watch project (academic survey of democracy experts)</w:t>
      </w:r>
      <w:r>
        <w:t xml:space="preserve"> </w:t>
      </w:r>
      <w:r>
        <w:t xml:space="preserve">shows concerning but less dramatic trends: composite score declining</w:t>
      </w:r>
      <w:r>
        <w:t xml:space="preserve"> </w:t>
      </w:r>
      <w:r>
        <w:t xml:space="preserve">from 61 (2017-2024 average) to 47 (projected 2027), representing</w:t>
      </w:r>
      <w:r>
        <w:t xml:space="preserve"> </w:t>
      </w:r>
      <w:r>
        <w:t xml:space="preserve">significant erosion but not the categorical transformation implied by</w:t>
      </w:r>
      <w:r>
        <w:t xml:space="preserve"> </w:t>
      </w:r>
      <w:r>
        <w:t xml:space="preserve">“</w:t>
      </w:r>
      <w:r>
        <w:t xml:space="preserve">electoral autocracy.</w:t>
      </w:r>
      <w:r>
        <w:t xml:space="preserve">”</w:t>
      </w:r>
    </w:p>
    <w:p>
      <w:pPr>
        <w:pStyle w:val="BodyText"/>
      </w:pPr>
      <w:r>
        <w:t xml:space="preserve">Freedom House 2024 score (83/100, eleven points below 2010) places the</w:t>
      </w:r>
      <w:r>
        <w:t xml:space="preserve"> </w:t>
      </w:r>
      <w:r>
        <w:t xml:space="preserve">US alongside Croatia, Mongolia, and Panama—problematic but still</w:t>
      </w:r>
      <w:r>
        <w:t xml:space="preserve"> </w:t>
      </w:r>
      <w:r>
        <w:t xml:space="preserve">within</w:t>
      </w:r>
      <w:r>
        <w:t xml:space="preserve"> </w:t>
      </w:r>
      <w:r>
        <w:t xml:space="preserve">“</w:t>
      </w:r>
      <w:r>
        <w:t xml:space="preserve">free</w:t>
      </w:r>
      <w:r>
        <w:t xml:space="preserve">”</w:t>
      </w:r>
      <w:r>
        <w:t xml:space="preserve"> </w:t>
      </w:r>
      <w:r>
        <w:t xml:space="preserve">category.</w:t>
      </w:r>
    </w:p>
    <w:p>
      <w:pPr>
        <w:pStyle w:val="BodyText"/>
      </w:pPr>
      <w:r>
        <w:rPr>
          <w:bCs/>
          <w:b/>
        </w:rPr>
        <w:t xml:space="preserve">Assessment:</w:t>
      </w:r>
    </w:p>
    <w:p>
      <w:pPr>
        <w:pStyle w:val="BodyText"/>
      </w:pPr>
      <w:r>
        <w:t xml:space="preserve">The governance domain presents the starkest interpretive challenge. By</w:t>
      </w:r>
      <w:r>
        <w:t xml:space="preserve"> </w:t>
      </w:r>
      <w:r>
        <w:t xml:space="preserve">some measures (V-Dem reclassification), American democracy has</w:t>
      </w:r>
      <w:r>
        <w:t xml:space="preserve"> </w:t>
      </w:r>
      <w:r>
        <w:t xml:space="preserve">experienced categorical deterioration. By others (Freedom House,</w:t>
      </w:r>
      <w:r>
        <w:t xml:space="preserve"> </w:t>
      </w:r>
      <w:r>
        <w:t xml:space="preserve">Polity), decline is significant but within historical parameters for</w:t>
      </w:r>
      <w:r>
        <w:t xml:space="preserve"> </w:t>
      </w:r>
      <w:r>
        <w:t xml:space="preserve">democratic backsliding that often reverses.</w:t>
      </w:r>
    </w:p>
    <w:p>
      <w:pPr>
        <w:pStyle w:val="BodyText"/>
      </w:pPr>
      <w:r>
        <w:t xml:space="preserve">The original Session 4 draft’s governance decline claim (6.0 → 3.0, 50%</w:t>
      </w:r>
      <w:r>
        <w:t xml:space="preserve"> </w:t>
      </w:r>
      <w:r>
        <w:t xml:space="preserve">decline) is</w:t>
      </w:r>
      <w:r>
        <w:t xml:space="preserve"> </w:t>
      </w:r>
      <w:r>
        <w:rPr>
          <w:bCs/>
          <w:b/>
        </w:rPr>
        <w:t xml:space="preserve">demonstrably indefensible</w:t>
      </w:r>
      <w:r>
        <w:t xml:space="preserve">. No standardized governance</w:t>
      </w:r>
      <w:r>
        <w:t xml:space="preserve"> </w:t>
      </w:r>
      <w:r>
        <w:t xml:space="preserve">measure supports such dramatic collapse. The revised assessment (6.0 →</w:t>
      </w:r>
      <w:r>
        <w:t xml:space="preserve"> </w:t>
      </w:r>
      <w:r>
        <w:t xml:space="preserve">5.0, 17% decline through late 2024, with uncertainty increasing for 2025</w:t>
      </w:r>
      <w:r>
        <w:t xml:space="preserve"> </w:t>
      </w:r>
      <w:r>
        <w:t xml:space="preserve">developments) aligns with triangulated evidence while acknowledging</w:t>
      </w:r>
      <w:r>
        <w:t xml:space="preserve"> </w:t>
      </w:r>
      <w:r>
        <w:t xml:space="preserve">genuine erosion.</w:t>
      </w:r>
    </w:p>
    <w:p>
      <w:pPr>
        <w:pStyle w:val="BodyText"/>
      </w:pPr>
      <w:r>
        <w:rPr>
          <w:bCs/>
          <w:b/>
        </w:rPr>
        <w:t xml:space="preserve">Score: 5.5 → 5.0 → 4.5 (trajectory declining)</w:t>
      </w:r>
    </w:p>
    <w:p>
      <w:pPr>
        <w:pStyle w:val="BodyText"/>
      </w:pPr>
      <w:r>
        <w:t xml:space="preserve">The 2021-2024 period (5.0) showed attempted institutional restoration</w:t>
      </w:r>
      <w:r>
        <w:t xml:space="preserve"> </w:t>
      </w:r>
      <w:r>
        <w:t xml:space="preserve">with mixed results. The 2025 period introduces additional uncertainty</w:t>
      </w:r>
      <w:r>
        <w:t xml:space="preserve"> </w:t>
      </w:r>
      <w:r>
        <w:t xml:space="preserve">that provisionally warrants further decline (4.5), though this</w:t>
      </w:r>
      <w:r>
        <w:t xml:space="preserve"> </w:t>
      </w:r>
      <w:r>
        <w:t xml:space="preserve">assessment may require revision as the second Trump administration’s</w:t>
      </w:r>
      <w:r>
        <w:t xml:space="preserve"> </w:t>
      </w:r>
      <w:r>
        <w:t xml:space="preserve">trajectory clarifies.</w:t>
      </w:r>
    </w:p>
    <w:p>
      <w:pPr>
        <w:pStyle w:val="BodyText"/>
      </w:pPr>
      <w:r>
        <w:rPr>
          <w:bCs/>
          <w:b/>
        </w:rPr>
        <w:t xml:space="preserve">Confidence: MODERATE-LOW for 2025 assessment; HIGH for methodology</w:t>
      </w:r>
      <w:r>
        <w:rPr>
          <w:bCs/>
          <w:b/>
        </w:rPr>
        <w:t xml:space="preserve"> </w:t>
      </w:r>
      <w:r>
        <w:rPr>
          <w:bCs/>
          <w:b/>
        </w:rPr>
        <w:t xml:space="preserve">correction</w:t>
      </w:r>
    </w:p>
    <w:bookmarkEnd w:id="80"/>
    <w:bookmarkEnd w:id="81"/>
    <w:bookmarkStart w:id="83" w:name="X34703be5d83522eb1c235f94d09c5e6590d7b31"/>
    <w:p>
      <w:pPr>
        <w:pStyle w:val="Heading2"/>
      </w:pPr>
      <w:r>
        <w:t xml:space="preserve">Domain 2: Legal and Institutional Framework (2021-Present)</w:t>
      </w:r>
    </w:p>
    <w:bookmarkStart w:id="82" w:name="supreme-court-transformation-effects"/>
    <w:p>
      <w:pPr>
        <w:pStyle w:val="Heading3"/>
      </w:pPr>
      <w:r>
        <w:t xml:space="preserve">Supreme Court Transformation Effects</w:t>
      </w:r>
    </w:p>
    <w:p>
      <w:pPr>
        <w:pStyle w:val="FirstParagraph"/>
      </w:pPr>
      <w:r>
        <w:t xml:space="preserve">The conservative supermajority’s doctrinal project accelerated</w:t>
      </w:r>
      <w:r>
        <w:t xml:space="preserve"> </w:t>
      </w:r>
      <w:r>
        <w:t xml:space="preserve">dramatically:</w:t>
      </w:r>
    </w:p>
    <w:p>
      <w:pPr>
        <w:pStyle w:val="BodyText"/>
      </w:pPr>
      <w:r>
        <w:rPr>
          <w:bCs/>
          <w:b/>
        </w:rPr>
        <w:t xml:space="preserve">Major Questions Doctrine Expansion:</w:t>
      </w:r>
    </w:p>
    <w:p>
      <w:pPr>
        <w:pStyle w:val="BodyText"/>
      </w:pPr>
      <w:r>
        <w:t xml:space="preserve">West Virginia v. EPA established that agencies require clear</w:t>
      </w:r>
      <w:r>
        <w:t xml:space="preserve"> </w:t>
      </w:r>
      <w:r>
        <w:t xml:space="preserve">congressional authorization for rules with major economic or political</w:t>
      </w:r>
      <w:r>
        <w:t xml:space="preserve"> </w:t>
      </w:r>
      <w:r>
        <w:t xml:space="preserve">significance. Subsequent applications include: - Student loan</w:t>
      </w:r>
      <w:r>
        <w:t xml:space="preserve"> </w:t>
      </w:r>
      <w:r>
        <w:t xml:space="preserve">forgiveness: Biden v. Nebraska (June 2023) struck down broad forgiveness</w:t>
      </w:r>
      <w:r>
        <w:t xml:space="preserve"> </w:t>
      </w:r>
      <w:r>
        <w:t xml:space="preserve">program - Regulatory scope: Loper Bright Enterprises v. Raimondo (June</w:t>
      </w:r>
      <w:r>
        <w:t xml:space="preserve"> </w:t>
      </w:r>
      <w:r>
        <w:t xml:space="preserve">2024) overturned Chevron deference</w:t>
      </w:r>
    </w:p>
    <w:p>
      <w:pPr>
        <w:pStyle w:val="BodyText"/>
      </w:pPr>
      <w:r>
        <w:t xml:space="preserve">The Chevron overruling represents doctrinal earthquake. For forty years,</w:t>
      </w:r>
      <w:r>
        <w:t xml:space="preserve"> </w:t>
      </w:r>
      <w:r>
        <w:t xml:space="preserve">Chevron v. Natural Resources Defense Council (1984) required courts to</w:t>
      </w:r>
      <w:r>
        <w:t xml:space="preserve"> </w:t>
      </w:r>
      <w:r>
        <w:t xml:space="preserve">defer to reasonable agency interpretations of ambiguous statutes. Loper</w:t>
      </w:r>
      <w:r>
        <w:t xml:space="preserve"> </w:t>
      </w:r>
      <w:r>
        <w:t xml:space="preserve">Bright shifts interpretive authority from agencies to judges, with</w:t>
      </w:r>
      <w:r>
        <w:t xml:space="preserve"> </w:t>
      </w:r>
      <w:r>
        <w:t xml:space="preserve">profound implications for regulatory state capacity.</w:t>
      </w:r>
    </w:p>
    <w:p>
      <w:pPr>
        <w:pStyle w:val="BodyText"/>
      </w:pPr>
      <w:r>
        <w:rPr>
          <w:bCs/>
          <w:b/>
        </w:rPr>
        <w:t xml:space="preserve">Property and Commerce:</w:t>
      </w:r>
    </w:p>
    <w:p>
      <w:pPr>
        <w:pStyle w:val="BodyText"/>
      </w:pPr>
      <w:r>
        <w:t xml:space="preserve">The takings jurisprudence has expanded protections: - Tyler v. Hennepin</w:t>
      </w:r>
      <w:r>
        <w:t xml:space="preserve"> </w:t>
      </w:r>
      <w:r>
        <w:t xml:space="preserve">County (2023): Unanimous ruling that retaining surplus from tax</w:t>
      </w:r>
      <w:r>
        <w:t xml:space="preserve"> </w:t>
      </w:r>
      <w:r>
        <w:t xml:space="preserve">foreclosure sales constitutes unconstitutional taking - Commerce Clause:</w:t>
      </w:r>
      <w:r>
        <w:t xml:space="preserve"> </w:t>
      </w:r>
      <w:r>
        <w:t xml:space="preserve">Potential limitations on dormant commerce doctrine pending</w:t>
      </w:r>
    </w:p>
    <w:p>
      <w:pPr>
        <w:pStyle w:val="BodyText"/>
      </w:pPr>
      <w:r>
        <w:rPr>
          <w:bCs/>
          <w:b/>
        </w:rPr>
        <w:t xml:space="preserve">Criminal Justice:</w:t>
      </w:r>
    </w:p>
    <w:p>
      <w:pPr>
        <w:pStyle w:val="BodyText"/>
      </w:pPr>
      <w:r>
        <w:t xml:space="preserve">Presidential immunity ruling (Trump v. United States) creates novel</w:t>
      </w:r>
      <w:r>
        <w:t xml:space="preserve"> </w:t>
      </w:r>
      <w:r>
        <w:t xml:space="preserve">protection category. The decision held that presidents have absolute</w:t>
      </w:r>
      <w:r>
        <w:t xml:space="preserve"> </w:t>
      </w:r>
      <w:r>
        <w:t xml:space="preserve">immunity for core constitutional powers and presumptive immunity for</w:t>
      </w:r>
      <w:r>
        <w:t xml:space="preserve"> </w:t>
      </w:r>
      <w:r>
        <w:t xml:space="preserve">official acts, with the burden on prosecutors to demonstrate acts fall</w:t>
      </w:r>
      <w:r>
        <w:t xml:space="preserve"> </w:t>
      </w:r>
      <w:r>
        <w:t xml:space="preserve">outside immunity scope. Justice Sotomayor’s dissent characterized it as</w:t>
      </w:r>
      <w:r>
        <w:t xml:space="preserve"> </w:t>
      </w:r>
      <w:r>
        <w:t xml:space="preserve">placing the president</w:t>
      </w:r>
      <w:r>
        <w:t xml:space="preserve"> </w:t>
      </w:r>
      <w:r>
        <w:t xml:space="preserve">“</w:t>
      </w:r>
      <w:r>
        <w:t xml:space="preserve">above the law.</w:t>
      </w:r>
      <w:r>
        <w:t xml:space="preserve">”</w:t>
      </w:r>
    </w:p>
    <w:p>
      <w:pPr>
        <w:pStyle w:val="BodyText"/>
      </w:pPr>
      <w:r>
        <w:rPr>
          <w:bCs/>
          <w:b/>
        </w:rPr>
        <w:t xml:space="preserve">State-Level Divergence:</w:t>
      </w:r>
    </w:p>
    <w:p>
      <w:pPr>
        <w:pStyle w:val="BodyText"/>
      </w:pPr>
      <w:r>
        <w:t xml:space="preserve">Post-Dobbs, dramatic state divergence emerged: - Abortion bans: 14</w:t>
      </w:r>
      <w:r>
        <w:t xml:space="preserve"> </w:t>
      </w:r>
      <w:r>
        <w:t xml:space="preserve">states implemented near-total bans - Protective legislation: Multiple</w:t>
      </w:r>
      <w:r>
        <w:t xml:space="preserve"> </w:t>
      </w:r>
      <w:r>
        <w:t xml:space="preserve">states codified abortion rights - Interstate implications: Travel</w:t>
      </w:r>
      <w:r>
        <w:t xml:space="preserve"> </w:t>
      </w:r>
      <w:r>
        <w:t xml:space="preserve">restrictions, medication access conflicts</w:t>
      </w:r>
    </w:p>
    <w:p>
      <w:pPr>
        <w:pStyle w:val="BodyText"/>
      </w:pPr>
      <w:r>
        <w:t xml:space="preserve">This divergence represents federalism operating as designed—states as</w:t>
      </w:r>
      <w:r>
        <w:t xml:space="preserve"> </w:t>
      </w:r>
      <w:r>
        <w:t xml:space="preserve">laboratories—but also creates rights patchwork unprecedented in modern</w:t>
      </w:r>
      <w:r>
        <w:t xml:space="preserve"> </w:t>
      </w:r>
      <w:r>
        <w:t xml:space="preserve">era.</w:t>
      </w:r>
    </w:p>
    <w:p>
      <w:pPr>
        <w:pStyle w:val="BodyText"/>
      </w:pPr>
      <w:r>
        <w:rPr>
          <w:bCs/>
          <w:b/>
        </w:rPr>
        <w:t xml:space="preserve">Rule of Law Indicators:</w:t>
      </w:r>
    </w:p>
    <w:p>
      <w:pPr>
        <w:pStyle w:val="BodyText"/>
      </w:pPr>
      <w:r>
        <w:t xml:space="preserve">World Justice Project Rule of Law Index (2024): - US rank: 26th globally</w:t>
      </w:r>
      <w:r>
        <w:t xml:space="preserve"> </w:t>
      </w:r>
      <w:r>
        <w:t xml:space="preserve">(down from 21st in 2020) - Constraints on government: 0.72 (declining) -</w:t>
      </w:r>
      <w:r>
        <w:t xml:space="preserve"> </w:t>
      </w:r>
      <w:r>
        <w:t xml:space="preserve">Absence of corruption: 0.69 (stable) - Criminal justice: 0.61</w:t>
      </w:r>
      <w:r>
        <w:t xml:space="preserve"> </w:t>
      </w:r>
      <w:r>
        <w:t xml:space="preserve">(declining)</w:t>
      </w:r>
    </w:p>
    <w:p>
      <w:pPr>
        <w:pStyle w:val="BodyText"/>
      </w:pPr>
      <w:r>
        <w:t xml:space="preserve">The decline reflects both institutional changes and perception shifts</w:t>
      </w:r>
      <w:r>
        <w:t xml:space="preserve"> </w:t>
      </w:r>
      <w:r>
        <w:t xml:space="preserve">rather than wholesale collapse.</w:t>
      </w:r>
    </w:p>
    <w:p>
      <w:pPr>
        <w:pStyle w:val="BodyText"/>
      </w:pPr>
      <w:r>
        <w:rPr>
          <w:bCs/>
          <w:b/>
        </w:rPr>
        <w:t xml:space="preserve">Score: 5.5 → 5.0 (-9%)</w:t>
      </w:r>
    </w:p>
    <w:p>
      <w:pPr>
        <w:pStyle w:val="BodyText"/>
      </w:pPr>
      <w:r>
        <w:t xml:space="preserve">Legal institutions continue functioning but face significant</w:t>
      </w:r>
      <w:r>
        <w:t xml:space="preserve"> </w:t>
      </w:r>
      <w:r>
        <w:t xml:space="preserve">transformation. The Chevron overruling will have multi-decade effects on</w:t>
      </w:r>
      <w:r>
        <w:t xml:space="preserve"> </w:t>
      </w:r>
      <w:r>
        <w:t xml:space="preserve">regulatory capacity. State divergence creates implementation challenges.</w:t>
      </w:r>
      <w:r>
        <w:t xml:space="preserve"> </w:t>
      </w:r>
      <w:r>
        <w:t xml:space="preserve">The immunity ruling introduces novel executive protection. However,</w:t>
      </w:r>
      <w:r>
        <w:t xml:space="preserve"> </w:t>
      </w:r>
      <w:r>
        <w:t xml:space="preserve">courts remain operational, contracts enforceable, property rights</w:t>
      </w:r>
      <w:r>
        <w:t xml:space="preserve"> </w:t>
      </w:r>
      <w:r>
        <w:t xml:space="preserve">protected—fundamental legal infrastructure persists.</w:t>
      </w:r>
    </w:p>
    <w:p>
      <w:pPr>
        <w:pStyle w:val="BodyText"/>
      </w:pPr>
      <w:r>
        <w:rPr>
          <w:bCs/>
          <w:b/>
        </w:rPr>
        <w:t xml:space="preserve">Confidence: HIGH for doctrinal analysis; MODERATE for trajectory</w:t>
      </w:r>
    </w:p>
    <w:bookmarkEnd w:id="82"/>
    <w:bookmarkEnd w:id="83"/>
    <w:bookmarkStart w:id="86" w:name="Xf4e4426829b2fb2efac08ca9def4c5cd46eec88"/>
    <w:p>
      <w:pPr>
        <w:pStyle w:val="Heading2"/>
      </w:pPr>
      <w:r>
        <w:t xml:space="preserve">Domain 3: Military and Defense Capabilities (2021-Present)</w:t>
      </w:r>
    </w:p>
    <w:bookmarkStart w:id="84" w:name="afghanistan-withdrawal-and-aftermath"/>
    <w:p>
      <w:pPr>
        <w:pStyle w:val="Heading3"/>
      </w:pPr>
      <w:r>
        <w:t xml:space="preserve">Afghanistan Withdrawal and Aftermath</w:t>
      </w:r>
    </w:p>
    <w:p>
      <w:pPr>
        <w:pStyle w:val="FirstParagraph"/>
      </w:pPr>
      <w:r>
        <w:t xml:space="preserve">The August 2021 withdrawal from Afghanistan represented the end of</w:t>
      </w:r>
      <w:r>
        <w:t xml:space="preserve"> </w:t>
      </w:r>
      <w:r>
        <w:t xml:space="preserve">America’s longest war:</w:t>
      </w:r>
    </w:p>
    <w:p>
      <w:pPr>
        <w:pStyle w:val="BodyText"/>
      </w:pPr>
      <w:r>
        <w:rPr>
          <w:bCs/>
          <w:b/>
        </w:rPr>
        <w:t xml:space="preserve">Execution Failures:</w:t>
      </w:r>
      <w:r>
        <w:t xml:space="preserve"> </w:t>
      </w:r>
      <w:r>
        <w:t xml:space="preserve">- Kabul collapse: Government fell faster than</w:t>
      </w:r>
      <w:r>
        <w:t xml:space="preserve"> </w:t>
      </w:r>
      <w:r>
        <w:t xml:space="preserve">intelligence predicted - Evacuation chaos: Abbey Gate bombing killed 13</w:t>
      </w:r>
      <w:r>
        <w:t xml:space="preserve"> </w:t>
      </w:r>
      <w:r>
        <w:t xml:space="preserve">US service members, 170+ Afghans - Equipment abandonment: Significant</w:t>
      </w:r>
      <w:r>
        <w:t xml:space="preserve"> </w:t>
      </w:r>
      <w:r>
        <w:t xml:space="preserve">military hardware left behind - Ally abandonment: Many Afghan partners</w:t>
      </w:r>
      <w:r>
        <w:t xml:space="preserve"> </w:t>
      </w:r>
      <w:r>
        <w:t xml:space="preserve">unable to evacuate</w:t>
      </w:r>
    </w:p>
    <w:p>
      <w:pPr>
        <w:pStyle w:val="BodyText"/>
      </w:pPr>
      <w:r>
        <w:rPr>
          <w:bCs/>
          <w:b/>
        </w:rPr>
        <w:t xml:space="preserve">Strategic Assessment:</w:t>
      </w:r>
      <w:r>
        <w:t xml:space="preserve"> </w:t>
      </w:r>
      <w:r>
        <w:t xml:space="preserve">The withdrawal decision—made by Trump</w:t>
      </w:r>
      <w:r>
        <w:t xml:space="preserve"> </w:t>
      </w:r>
      <w:r>
        <w:t xml:space="preserve">administration, executed by Biden—reflected bipartisan consensus that</w:t>
      </w:r>
      <w:r>
        <w:t xml:space="preserve"> </w:t>
      </w:r>
      <w:r>
        <w:t xml:space="preserve">the mission had failed. However, execution failures damaged credibility</w:t>
      </w:r>
      <w:r>
        <w:t xml:space="preserve"> </w:t>
      </w:r>
      <w:r>
        <w:t xml:space="preserve">with allies and adversaries. The political fallout contributed to</w:t>
      </w:r>
      <w:r>
        <w:t xml:space="preserve"> </w:t>
      </w:r>
      <w:r>
        <w:t xml:space="preserve">Biden’s declining approval ratings.</w:t>
      </w:r>
    </w:p>
    <w:bookmarkEnd w:id="84"/>
    <w:bookmarkStart w:id="85" w:name="X1e14680a61ac477ac50cca040cb13591b4c2216"/>
    <w:p>
      <w:pPr>
        <w:pStyle w:val="Heading3"/>
      </w:pPr>
      <w:r>
        <w:t xml:space="preserve">Ukraine Response: Hegemonic Capacity Demonstrated</w:t>
      </w:r>
    </w:p>
    <w:p>
      <w:pPr>
        <w:pStyle w:val="FirstParagraph"/>
      </w:pPr>
      <w:r>
        <w:t xml:space="preserve">Russia’s February 2022 invasion of Ukraine triggered the most</w:t>
      </w:r>
      <w:r>
        <w:t xml:space="preserve"> </w:t>
      </w:r>
      <w:r>
        <w:t xml:space="preserve">significant test of American hegemonic capacity since the Cold War:</w:t>
      </w:r>
    </w:p>
    <w:p>
      <w:pPr>
        <w:pStyle w:val="BodyText"/>
      </w:pPr>
      <w:r>
        <w:rPr>
          <w:bCs/>
          <w:b/>
        </w:rPr>
        <w:t xml:space="preserve">Intelligence Success:</w:t>
      </w:r>
      <w:r>
        <w:t xml:space="preserve"> </w:t>
      </w:r>
      <w:r>
        <w:t xml:space="preserve">American intelligence agencies accurately</w:t>
      </w:r>
      <w:r>
        <w:t xml:space="preserve"> </w:t>
      </w:r>
      <w:r>
        <w:t xml:space="preserve">predicted invasion timing and scope, publicly releasing assessments to</w:t>
      </w:r>
      <w:r>
        <w:t xml:space="preserve"> </w:t>
      </w:r>
      <w:r>
        <w:t xml:space="preserve">counter Russian information operations. This represented</w:t>
      </w:r>
      <w:r>
        <w:t xml:space="preserve"> </w:t>
      </w:r>
      <w:r>
        <w:t xml:space="preserve">intelligence-as-diplomacy innovation—using classification authority</w:t>
      </w:r>
      <w:r>
        <w:t xml:space="preserve"> </w:t>
      </w:r>
      <w:r>
        <w:t xml:space="preserve">for strategic messaging rather than traditional secrecy.</w:t>
      </w:r>
    </w:p>
    <w:p>
      <w:pPr>
        <w:pStyle w:val="BodyText"/>
      </w:pPr>
      <w:r>
        <w:rPr>
          <w:bCs/>
          <w:b/>
        </w:rPr>
        <w:t xml:space="preserve">Security Assistance:</w:t>
      </w:r>
    </w:p>
    <w:p>
      <w:pPr>
        <w:pStyle w:val="BodyText"/>
      </w:pPr>
      <w:r>
        <w:t xml:space="preserve">US military aid to Ukraine (through late 2024): - Total committed:</w:t>
      </w:r>
      <w:r>
        <w:t xml:space="preserve"> </w:t>
      </w:r>
      <w:r>
        <w:t xml:space="preserve">Approximately $175 billion (economic and military combined) - Military</w:t>
      </w:r>
      <w:r>
        <w:t xml:space="preserve"> </w:t>
      </w:r>
      <w:r>
        <w:t xml:space="preserve">equipment: HIMARS, Patriot systems, tanks, artillery, ammunition -</w:t>
      </w:r>
      <w:r>
        <w:t xml:space="preserve"> </w:t>
      </w:r>
      <w:r>
        <w:t xml:space="preserve">Intelligence sharing: Real-time targeting information - Training:</w:t>
      </w:r>
      <w:r>
        <w:t xml:space="preserve"> </w:t>
      </w:r>
      <w:r>
        <w:t xml:space="preserve">Ukrainian forces trained on NATO systems</w:t>
      </w:r>
    </w:p>
    <w:p>
      <w:pPr>
        <w:pStyle w:val="BodyText"/>
      </w:pPr>
      <w:r>
        <w:rPr>
          <w:bCs/>
          <w:b/>
        </w:rPr>
        <w:t xml:space="preserve">Alliance Coordination:</w:t>
      </w:r>
    </w:p>
    <w:p>
      <w:pPr>
        <w:pStyle w:val="BodyText"/>
      </w:pPr>
      <w:r>
        <w:t xml:space="preserve">The Ukraine response demonstrated alliance architecture value: - NATO</w:t>
      </w:r>
      <w:r>
        <w:t xml:space="preserve"> </w:t>
      </w:r>
      <w:r>
        <w:t xml:space="preserve">expansion: Finland (2023) and Sweden (2024) joined, adding strategic</w:t>
      </w:r>
      <w:r>
        <w:t xml:space="preserve"> </w:t>
      </w:r>
      <w:r>
        <w:t xml:space="preserve">capability - Burden sharing: European allies contributed substantially -</w:t>
      </w:r>
      <w:r>
        <w:t xml:space="preserve"> </w:t>
      </w:r>
      <w:r>
        <w:t xml:space="preserve">Coordination mechanisms: Regular meetings, joint decision-making</w:t>
      </w:r>
    </w:p>
    <w:p>
      <w:pPr>
        <w:pStyle w:val="BodyText"/>
      </w:pPr>
      <w:r>
        <w:rPr>
          <w:bCs/>
          <w:b/>
        </w:rPr>
        <w:t xml:space="preserve">Limitations:</w:t>
      </w:r>
      <w:r>
        <w:t xml:space="preserve"> </w:t>
      </w:r>
      <w:r>
        <w:t xml:space="preserve">- Escalation management: Careful calibration to avoid</w:t>
      </w:r>
      <w:r>
        <w:t xml:space="preserve"> </w:t>
      </w:r>
      <w:r>
        <w:t xml:space="preserve">direct NATO-Russia conflict - Sustainability questions: Ammunition</w:t>
      </w:r>
      <w:r>
        <w:t xml:space="preserve"> </w:t>
      </w:r>
      <w:r>
        <w:t xml:space="preserve">production capacity strained - Political durability: Domestic support</w:t>
      </w:r>
      <w:r>
        <w:t xml:space="preserve"> </w:t>
      </w:r>
      <w:r>
        <w:t xml:space="preserve">fluctuating</w:t>
      </w:r>
    </w:p>
    <w:p>
      <w:pPr>
        <w:pStyle w:val="BodyText"/>
      </w:pPr>
      <w:r>
        <w:rPr>
          <w:bCs/>
          <w:b/>
        </w:rPr>
        <w:t xml:space="preserve">AUKUS and Indo-Pacific:</w:t>
      </w:r>
    </w:p>
    <w:p>
      <w:pPr>
        <w:pStyle w:val="BodyText"/>
      </w:pPr>
      <w:r>
        <w:t xml:space="preserve">The September 2021 AUKUS agreement (Australia-UK-US) for nuclear</w:t>
      </w:r>
      <w:r>
        <w:t xml:space="preserve"> </w:t>
      </w:r>
      <w:r>
        <w:t xml:space="preserve">submarine technology transfer to Australia represented major</w:t>
      </w:r>
      <w:r>
        <w:t xml:space="preserve"> </w:t>
      </w:r>
      <w:r>
        <w:t xml:space="preserve">Indo-Pacific commitment: - Technology sharing: Unprecedented transfer of</w:t>
      </w:r>
      <w:r>
        <w:t xml:space="preserve"> </w:t>
      </w:r>
      <w:r>
        <w:t xml:space="preserve">nuclear propulsion technology - Strategic signal: Clear focus on China</w:t>
      </w:r>
      <w:r>
        <w:t xml:space="preserve"> </w:t>
      </w:r>
      <w:r>
        <w:t xml:space="preserve">competition - Alliance deepening: Tighter integration with key regional</w:t>
      </w:r>
      <w:r>
        <w:t xml:space="preserve"> </w:t>
      </w:r>
      <w:r>
        <w:t xml:space="preserve">partner</w:t>
      </w:r>
    </w:p>
    <w:p>
      <w:pPr>
        <w:pStyle w:val="BodyText"/>
      </w:pPr>
      <w:r>
        <w:rPr>
          <w:bCs/>
          <w:b/>
        </w:rPr>
        <w:t xml:space="preserve">Defense Spending (SIPRI 2024):</w:t>
      </w:r>
    </w:p>
    <w:p>
      <w:pPr>
        <w:numPr>
          <w:ilvl w:val="0"/>
          <w:numId w:val="1001"/>
        </w:numPr>
        <w:pStyle w:val="Compact"/>
      </w:pPr>
      <w:r>
        <w:t xml:space="preserve">US military spending: $916 billion (2023), rising to $997 billion</w:t>
      </w:r>
      <w:r>
        <w:t xml:space="preserve"> </w:t>
      </w:r>
      <w:r>
        <w:t xml:space="preserve">(2024 estimate)</w:t>
      </w:r>
    </w:p>
    <w:p>
      <w:pPr>
        <w:numPr>
          <w:ilvl w:val="0"/>
          <w:numId w:val="1001"/>
        </w:numPr>
        <w:pStyle w:val="Compact"/>
      </w:pPr>
      <w:r>
        <w:t xml:space="preserve">Global share: 37% of worldwide military expenditure</w:t>
      </w:r>
    </w:p>
    <w:p>
      <w:pPr>
        <w:numPr>
          <w:ilvl w:val="0"/>
          <w:numId w:val="1001"/>
        </w:numPr>
        <w:pStyle w:val="Compact"/>
      </w:pPr>
      <w:r>
        <w:t xml:space="preserve">Comparison: 3.2x China’s $314 billion, exceeding next 10 countries</w:t>
      </w:r>
      <w:r>
        <w:t xml:space="preserve"> </w:t>
      </w:r>
      <w:r>
        <w:t xml:space="preserve">combined</w:t>
      </w:r>
    </w:p>
    <w:p>
      <w:pPr>
        <w:numPr>
          <w:ilvl w:val="0"/>
          <w:numId w:val="1001"/>
        </w:numPr>
        <w:pStyle w:val="Compact"/>
      </w:pPr>
      <w:r>
        <w:t xml:space="preserve">NATO total: $1.506 trillion (55% of global spending)</w:t>
      </w:r>
    </w:p>
    <w:p>
      <w:pPr>
        <w:pStyle w:val="FirstParagraph"/>
      </w:pPr>
      <w:r>
        <w:rPr>
          <w:bCs/>
          <w:b/>
        </w:rPr>
        <w:t xml:space="preserve">Capability Assessment:</w:t>
      </w:r>
    </w:p>
    <w:p>
      <w:pPr>
        <w:pStyle w:val="BodyText"/>
      </w:pPr>
      <w:r>
        <w:t xml:space="preserve">The military domain shows resilience despite strategic setbacks: -</w:t>
      </w:r>
      <w:r>
        <w:t xml:space="preserve"> </w:t>
      </w:r>
      <w:r>
        <w:t xml:space="preserve">Afghanistan: Tactical failure, strategic reorientation - Ukraine:</w:t>
      </w:r>
      <w:r>
        <w:t xml:space="preserve"> </w:t>
      </w:r>
      <w:r>
        <w:t xml:space="preserve">Demonstrated capacity for extended proxy conflict - Indo-Pacific:</w:t>
      </w:r>
      <w:r>
        <w:t xml:space="preserve"> </w:t>
      </w:r>
      <w:r>
        <w:t xml:space="preserve">Increased focus and resource allocation - Alliance architecture:</w:t>
      </w:r>
      <w:r>
        <w:t xml:space="preserve"> </w:t>
      </w:r>
      <w:r>
        <w:t xml:space="preserve">Strengthened rather than weakened</w:t>
      </w:r>
    </w:p>
    <w:p>
      <w:pPr>
        <w:pStyle w:val="BodyText"/>
      </w:pPr>
      <w:r>
        <w:rPr>
          <w:bCs/>
          <w:b/>
        </w:rPr>
        <w:t xml:space="preserve">Score: 7.5 → 7.5 (stable)</w:t>
      </w:r>
    </w:p>
    <w:p>
      <w:pPr>
        <w:pStyle w:val="BodyText"/>
      </w:pPr>
      <w:r>
        <w:t xml:space="preserve">Military domain maintains highest score among all domains. Spending</w:t>
      </w:r>
      <w:r>
        <w:t xml:space="preserve"> </w:t>
      </w:r>
      <w:r>
        <w:t xml:space="preserve">levels unprecedented, alliance architecture strengthened, capability</w:t>
      </w:r>
      <w:r>
        <w:t xml:space="preserve"> </w:t>
      </w:r>
      <w:r>
        <w:t xml:space="preserve">demonstrated in Ukraine support. Afghanistan withdrawal represented</w:t>
      </w:r>
      <w:r>
        <w:t xml:space="preserve"> </w:t>
      </w:r>
      <w:r>
        <w:t xml:space="preserve">policy failure but not military incapacity. The question of</w:t>
      </w:r>
      <w:r>
        <w:t xml:space="preserve"> </w:t>
      </w:r>
      <w:r>
        <w:t xml:space="preserve">overextension—simultaneous commitments in Europe and</w:t>
      </w:r>
      <w:r>
        <w:t xml:space="preserve"> </w:t>
      </w:r>
      <w:r>
        <w:t xml:space="preserve">Indo-Pacific—remains open but has not yet manifested in reduced</w:t>
      </w:r>
      <w:r>
        <w:t xml:space="preserve"> </w:t>
      </w:r>
      <w:r>
        <w:t xml:space="preserve">effectiveness.</w:t>
      </w:r>
    </w:p>
    <w:p>
      <w:pPr>
        <w:pStyle w:val="BodyText"/>
      </w:pPr>
      <w:r>
        <w:rPr>
          <w:bCs/>
          <w:b/>
        </w:rPr>
        <w:t xml:space="preserve">Confidence: HIGH</w:t>
      </w:r>
    </w:p>
    <w:bookmarkEnd w:id="85"/>
    <w:bookmarkEnd w:id="86"/>
    <w:bookmarkStart w:id="88" w:name="X4fec183ff1f08f96dc79f4df29cf4a33e64013b"/>
    <w:p>
      <w:pPr>
        <w:pStyle w:val="Heading2"/>
      </w:pPr>
      <w:r>
        <w:t xml:space="preserve">Domain 4: Social and Demographic Structures (2021-Present)</w:t>
      </w:r>
    </w:p>
    <w:bookmarkStart w:id="87" w:name="post-pandemic-social-landscape"/>
    <w:p>
      <w:pPr>
        <w:pStyle w:val="Heading3"/>
      </w:pPr>
      <w:r>
        <w:t xml:space="preserve">Post-Pandemic Social Landscape</w:t>
      </w:r>
    </w:p>
    <w:p>
      <w:pPr>
        <w:pStyle w:val="FirstParagraph"/>
      </w:pPr>
      <w:r>
        <w:rPr>
          <w:bCs/>
          <w:b/>
        </w:rPr>
        <w:t xml:space="preserve">Mortality and Life Expectancy:</w:t>
      </w:r>
    </w:p>
    <w:p>
      <w:pPr>
        <w:pStyle w:val="BodyText"/>
      </w:pPr>
      <w:r>
        <w:t xml:space="preserve">COVID-19 mortality impact: - Total US deaths (through 2024):</w:t>
      </w:r>
      <w:r>
        <w:t xml:space="preserve"> </w:t>
      </w:r>
      <w:r>
        <w:t xml:space="preserve">Approximately 1.2 million - Life expectancy: 78.8 years (2019) → 76.4</w:t>
      </w:r>
      <w:r>
        <w:t xml:space="preserve"> </w:t>
      </w:r>
      <w:r>
        <w:t xml:space="preserve">years (2021) → partial recovery to 77.5 (2023) - Comparative</w:t>
      </w:r>
      <w:r>
        <w:t xml:space="preserve"> </w:t>
      </w:r>
      <w:r>
        <w:t xml:space="preserve">performance: US decline exceeded peer democracies</w:t>
      </w:r>
    </w:p>
    <w:p>
      <w:pPr>
        <w:pStyle w:val="BodyText"/>
      </w:pPr>
      <w:r>
        <w:t xml:space="preserve">“</w:t>
      </w:r>
      <w:r>
        <w:t xml:space="preserve">Deaths of despair</w:t>
      </w:r>
      <w:r>
        <w:t xml:space="preserve">”</w:t>
      </w:r>
      <w:r>
        <w:t xml:space="preserve"> </w:t>
      </w:r>
      <w:r>
        <w:t xml:space="preserve">continued: - Drug overdose deaths: 107,941 (2023),</w:t>
      </w:r>
      <w:r>
        <w:t xml:space="preserve"> </w:t>
      </w:r>
      <w:r>
        <w:t xml:space="preserve">down slightly from 2022 peak - Suicide rates: Elevated, particularly</w:t>
      </w:r>
      <w:r>
        <w:t xml:space="preserve"> </w:t>
      </w:r>
      <w:r>
        <w:t xml:space="preserve">among young adults - Combined effect: Continuing drag on life expectancy</w:t>
      </w:r>
    </w:p>
    <w:p>
      <w:pPr>
        <w:pStyle w:val="BodyText"/>
      </w:pPr>
      <w:r>
        <w:rPr>
          <w:bCs/>
          <w:b/>
        </w:rPr>
        <w:t xml:space="preserve">Inequality Measures:</w:t>
      </w:r>
    </w:p>
    <w:p>
      <w:pPr>
        <w:pStyle w:val="BodyText"/>
      </w:pPr>
      <w:r>
        <w:t xml:space="preserve">Post-pandemic inequality dynamics: - Gini coefficient: Slight decline</w:t>
      </w:r>
      <w:r>
        <w:t xml:space="preserve"> </w:t>
      </w:r>
      <w:r>
        <w:t xml:space="preserve">(0.494 in 2021 to 0.486 in 2023) due to transfer payments - Wealth</w:t>
      </w:r>
      <w:r>
        <w:t xml:space="preserve"> </w:t>
      </w:r>
      <w:r>
        <w:t xml:space="preserve">concentration: Top 1% hold approximately 32% of wealth (2023) - Labor</w:t>
      </w:r>
      <w:r>
        <w:t xml:space="preserve"> </w:t>
      </w:r>
      <w:r>
        <w:t xml:space="preserve">market: Tight conditions improved worker bargaining power temporarily -</w:t>
      </w:r>
      <w:r>
        <w:t xml:space="preserve"> </w:t>
      </w:r>
      <w:r>
        <w:t xml:space="preserve">Inflation impact: Real wage gains eroded by 2021-2022 inflation surge</w:t>
      </w:r>
    </w:p>
    <w:p>
      <w:pPr>
        <w:pStyle w:val="BodyText"/>
      </w:pPr>
      <w:r>
        <w:rPr>
          <w:bCs/>
          <w:b/>
        </w:rPr>
        <w:t xml:space="preserve">Immigration and Demographics:</w:t>
      </w:r>
    </w:p>
    <w:p>
      <w:pPr>
        <w:pStyle w:val="BodyText"/>
      </w:pPr>
      <w:r>
        <w:t xml:space="preserve">Immigration surge (2023-2024): - Border encounters: Record levels (2.5</w:t>
      </w:r>
      <w:r>
        <w:t xml:space="preserve"> </w:t>
      </w:r>
      <w:r>
        <w:t xml:space="preserve">million FY2023) - Asylum processing: Overwhelmed systems - Political</w:t>
      </w:r>
      <w:r>
        <w:t xml:space="preserve"> </w:t>
      </w:r>
      <w:r>
        <w:t xml:space="preserve">salience: Immigration became top voter concern by late 2024</w:t>
      </w:r>
    </w:p>
    <w:p>
      <w:pPr>
        <w:pStyle w:val="BodyText"/>
      </w:pPr>
      <w:r>
        <w:t xml:space="preserve">Demographic trends: - Population growth: Slowing (0.4% in 2023) -</w:t>
      </w:r>
      <w:r>
        <w:t xml:space="preserve"> </w:t>
      </w:r>
      <w:r>
        <w:t xml:space="preserve">Fertility rate: 1.62 births per woman (2023)—well below replacement -</w:t>
      </w:r>
      <w:r>
        <w:t xml:space="preserve"> </w:t>
      </w:r>
      <w:r>
        <w:t xml:space="preserve">Aging: 65+ population growing faster than working age</w:t>
      </w:r>
    </w:p>
    <w:p>
      <w:pPr>
        <w:pStyle w:val="BodyText"/>
      </w:pPr>
      <w:r>
        <w:rPr>
          <w:bCs/>
          <w:b/>
        </w:rPr>
        <w:t xml:space="preserve">Social Cohesion Indicators:</w:t>
      </w:r>
    </w:p>
    <w:p>
      <w:pPr>
        <w:pStyle w:val="BodyText"/>
      </w:pPr>
      <w:r>
        <w:t xml:space="preserve">Trust and polarization: - Interpersonal trust: 30% say</w:t>
      </w:r>
      <w:r>
        <w:t xml:space="preserve"> </w:t>
      </w:r>
      <w:r>
        <w:t xml:space="preserve">“</w:t>
      </w:r>
      <w:r>
        <w:t xml:space="preserve">most people can</w:t>
      </w:r>
      <w:r>
        <w:t xml:space="preserve"> </w:t>
      </w:r>
      <w:r>
        <w:t xml:space="preserve">be trusted</w:t>
      </w:r>
      <w:r>
        <w:t xml:space="preserve">”</w:t>
      </w:r>
      <w:r>
        <w:t xml:space="preserve"> </w:t>
      </w:r>
      <w:r>
        <w:t xml:space="preserve">(Pew, 2023) - Institutional trust: Federal government trust</w:t>
      </w:r>
      <w:r>
        <w:t xml:space="preserve"> </w:t>
      </w:r>
      <w:r>
        <w:t xml:space="preserve">at 22% (Gallup, 2024) - Polarization: Cross-party animosity at historic</w:t>
      </w:r>
      <w:r>
        <w:t xml:space="preserve"> </w:t>
      </w:r>
      <w:r>
        <w:t xml:space="preserve">highs</w:t>
      </w:r>
    </w:p>
    <w:p>
      <w:pPr>
        <w:pStyle w:val="BodyText"/>
      </w:pPr>
      <w:r>
        <w:t xml:space="preserve">“</w:t>
      </w:r>
      <w:r>
        <w:t xml:space="preserve">Affective polarization</w:t>
      </w:r>
      <w:r>
        <w:t xml:space="preserve">”</w:t>
      </w:r>
      <w:r>
        <w:t xml:space="preserve"> </w:t>
      </w:r>
      <w:r>
        <w:t xml:space="preserve">(dislike of opposing party) has increased</w:t>
      </w:r>
      <w:r>
        <w:t xml:space="preserve"> </w:t>
      </w:r>
      <w:r>
        <w:t xml:space="preserve">substantially: - 1980s: ~20% of partisans expressed</w:t>
      </w:r>
      <w:r>
        <w:t xml:space="preserve"> </w:t>
      </w:r>
      <w:r>
        <w:t xml:space="preserve">“</w:t>
      </w:r>
      <w:r>
        <w:t xml:space="preserve">very unfavorable</w:t>
      </w:r>
      <w:r>
        <w:t xml:space="preserve">”</w:t>
      </w:r>
      <w:r>
        <w:t xml:space="preserve"> </w:t>
      </w:r>
      <w:r>
        <w:t xml:space="preserve">views of opposing party - 2024: ~60%+ of partisans express</w:t>
      </w:r>
      <w:r>
        <w:t xml:space="preserve"> </w:t>
      </w:r>
      <w:r>
        <w:t xml:space="preserve">“</w:t>
      </w:r>
      <w:r>
        <w:t xml:space="preserve">very</w:t>
      </w:r>
      <w:r>
        <w:t xml:space="preserve"> </w:t>
      </w:r>
      <w:r>
        <w:t xml:space="preserve">unfavorable</w:t>
      </w:r>
      <w:r>
        <w:t xml:space="preserve">”</w:t>
      </w:r>
      <w:r>
        <w:t xml:space="preserve"> </w:t>
      </w:r>
      <w:r>
        <w:t xml:space="preserve">views</w:t>
      </w:r>
    </w:p>
    <w:p>
      <w:pPr>
        <w:pStyle w:val="BodyText"/>
      </w:pPr>
      <w:r>
        <w:rPr>
          <w:bCs/>
          <w:b/>
        </w:rPr>
        <w:t xml:space="preserve">Score: 4.5 → 4.0 (-11%)</w:t>
      </w:r>
    </w:p>
    <w:p>
      <w:pPr>
        <w:pStyle w:val="BodyText"/>
      </w:pPr>
      <w:r>
        <w:t xml:space="preserve">Social domain shows continued deterioration. Life expectancy recovery</w:t>
      </w:r>
      <w:r>
        <w:t xml:space="preserve"> </w:t>
      </w:r>
      <w:r>
        <w:t xml:space="preserve">incomplete, inequality persistent, social cohesion weak. Immigration</w:t>
      </w:r>
      <w:r>
        <w:t xml:space="preserve"> </w:t>
      </w:r>
      <w:r>
        <w:t xml:space="preserve">pressures compound demographic challenges. The post-pandemic period has</w:t>
      </w:r>
      <w:r>
        <w:t xml:space="preserve"> </w:t>
      </w:r>
      <w:r>
        <w:t xml:space="preserve">not produced the social healing some anticipated.</w:t>
      </w:r>
    </w:p>
    <w:p>
      <w:pPr>
        <w:pStyle w:val="BodyText"/>
      </w:pPr>
      <w:r>
        <w:rPr>
          <w:bCs/>
          <w:b/>
        </w:rPr>
        <w:t xml:space="preserve">Confidence: MODERATE-HIGH</w:t>
      </w:r>
    </w:p>
    <w:bookmarkEnd w:id="87"/>
    <w:bookmarkEnd w:id="88"/>
    <w:bookmarkStart w:id="90" w:name="X04fdb4010b5e6656eb98fdceb504d5529746a5d"/>
    <w:p>
      <w:pPr>
        <w:pStyle w:val="Heading2"/>
      </w:pPr>
      <w:r>
        <w:t xml:space="preserve">Domain 5: Educational and Knowledge Systems (2021-Present)</w:t>
      </w:r>
    </w:p>
    <w:bookmarkStart w:id="89" w:name="learning-loss-and-recovery"/>
    <w:p>
      <w:pPr>
        <w:pStyle w:val="Heading3"/>
      </w:pPr>
      <w:r>
        <w:t xml:space="preserve">Learning Loss and Recovery</w:t>
      </w:r>
    </w:p>
    <w:p>
      <w:pPr>
        <w:pStyle w:val="FirstParagraph"/>
      </w:pPr>
      <w:r>
        <w:rPr>
          <w:bCs/>
          <w:b/>
        </w:rPr>
        <w:t xml:space="preserve">Pandemic Educational Impact:</w:t>
      </w:r>
    </w:p>
    <w:p>
      <w:pPr>
        <w:pStyle w:val="BodyText"/>
      </w:pPr>
      <w:r>
        <w:t xml:space="preserve">Learning loss quantification: - NAEP 2022: Largest decline in</w:t>
      </w:r>
      <w:r>
        <w:t xml:space="preserve"> </w:t>
      </w:r>
      <w:r>
        <w:t xml:space="preserve">mathematics since 1990; significant reading decline - Recovery (2024):</w:t>
      </w:r>
      <w:r>
        <w:t xml:space="preserve"> </w:t>
      </w:r>
      <w:r>
        <w:t xml:space="preserve">Partial improvement, but not to pre-pandemic levels - Disparities:</w:t>
      </w:r>
      <w:r>
        <w:t xml:space="preserve"> </w:t>
      </w:r>
      <w:r>
        <w:t xml:space="preserve">Low-income and minority students experienced larger losses</w:t>
      </w:r>
    </w:p>
    <w:p>
      <w:pPr>
        <w:pStyle w:val="BodyText"/>
      </w:pPr>
      <w:r>
        <w:rPr>
          <w:bCs/>
          <w:b/>
        </w:rPr>
        <w:t xml:space="preserve">Higher Education:</w:t>
      </w:r>
    </w:p>
    <w:p>
      <w:pPr>
        <w:pStyle w:val="BodyText"/>
      </w:pPr>
      <w:r>
        <w:t xml:space="preserve">University enrollment: - Undergraduate enrollment: Declined 9%</w:t>
      </w:r>
      <w:r>
        <w:t xml:space="preserve"> </w:t>
      </w:r>
      <w:r>
        <w:t xml:space="preserve">(2019-2022), partial recovery (2023-2024) - Graduate enrollment: Stable</w:t>
      </w:r>
      <w:r>
        <w:t xml:space="preserve"> </w:t>
      </w:r>
      <w:r>
        <w:t xml:space="preserve">or growing - Community college: Sharp decline, slow recovery</w:t>
      </w:r>
    </w:p>
    <w:p>
      <w:pPr>
        <w:pStyle w:val="BodyText"/>
      </w:pPr>
      <w:r>
        <w:t xml:space="preserve">International student enrollment: - Post-COVID recovery: Return to</w:t>
      </w:r>
      <w:r>
        <w:t xml:space="preserve"> </w:t>
      </w:r>
      <w:r>
        <w:t xml:space="preserve">pre-pandemic levels by 2023-2024 - Competition: Other countries actively</w:t>
      </w:r>
      <w:r>
        <w:t xml:space="preserve"> </w:t>
      </w:r>
      <w:r>
        <w:t xml:space="preserve">recruiting students US restrictions deterred</w:t>
      </w:r>
    </w:p>
    <w:p>
      <w:pPr>
        <w:pStyle w:val="BodyText"/>
      </w:pPr>
      <w:r>
        <w:rPr>
          <w:bCs/>
          <w:b/>
        </w:rPr>
        <w:t xml:space="preserve">CHIPS Act Workforce Implications:</w:t>
      </w:r>
    </w:p>
    <w:p>
      <w:pPr>
        <w:pStyle w:val="BodyText"/>
      </w:pPr>
      <w:r>
        <w:t xml:space="preserve">Semiconductor manufacturing workforce: - Current workforce: ~300,000</w:t>
      </w:r>
      <w:r>
        <w:t xml:space="preserve"> </w:t>
      </w:r>
      <w:r>
        <w:t xml:space="preserve">(industry estimate) - Projected need: 115,000+ additional workers by</w:t>
      </w:r>
      <w:r>
        <w:t xml:space="preserve"> </w:t>
      </w:r>
      <w:r>
        <w:t xml:space="preserve">2030 - Training gap: Existing programs insufficient for projected</w:t>
      </w:r>
      <w:r>
        <w:t xml:space="preserve"> </w:t>
      </w:r>
      <w:r>
        <w:t xml:space="preserve">demand - Immigration policy: H-1B restrictions complicate skilled worker</w:t>
      </w:r>
      <w:r>
        <w:t xml:space="preserve"> </w:t>
      </w:r>
      <w:r>
        <w:t xml:space="preserve">recruitment</w:t>
      </w:r>
    </w:p>
    <w:p>
      <w:pPr>
        <w:pStyle w:val="BodyText"/>
      </w:pPr>
      <w:r>
        <w:rPr>
          <w:bCs/>
          <w:b/>
        </w:rPr>
        <w:t xml:space="preserve">Research Enterprise:</w:t>
      </w:r>
    </w:p>
    <w:p>
      <w:pPr>
        <w:pStyle w:val="BodyText"/>
      </w:pPr>
      <w:r>
        <w:t xml:space="preserve">Federal R&amp;D trends: - Federal R&amp;D spending: $207 billion (FY2024</w:t>
      </w:r>
      <w:r>
        <w:t xml:space="preserve"> </w:t>
      </w:r>
      <w:r>
        <w:t xml:space="preserve">request) - CHIPS and Science Act: $200 billion authorized for research</w:t>
      </w:r>
      <w:r>
        <w:t xml:space="preserve"> </w:t>
      </w:r>
      <w:r>
        <w:t xml:space="preserve">(implementation ongoing) - China competition: Increasing focus on</w:t>
      </w:r>
      <w:r>
        <w:t xml:space="preserve"> </w:t>
      </w:r>
      <w:r>
        <w:t xml:space="preserve">maintaining research leadership</w:t>
      </w:r>
    </w:p>
    <w:p>
      <w:pPr>
        <w:pStyle w:val="BodyText"/>
      </w:pPr>
      <w:r>
        <w:t xml:space="preserve">Publication and citation metrics: - Chinese scientific publications now</w:t>
      </w:r>
      <w:r>
        <w:t xml:space="preserve"> </w:t>
      </w:r>
      <w:r>
        <w:t xml:space="preserve">exceed US by volume - US maintains lead in high-impact citations but</w:t>
      </w:r>
      <w:r>
        <w:t xml:space="preserve"> </w:t>
      </w:r>
      <w:r>
        <w:t xml:space="preserve">lead narrowing - STEM PhD production: China now produces more STEM PhDs</w:t>
      </w:r>
      <w:r>
        <w:t xml:space="preserve"> </w:t>
      </w:r>
      <w:r>
        <w:t xml:space="preserve">than US</w:t>
      </w:r>
    </w:p>
    <w:p>
      <w:pPr>
        <w:pStyle w:val="BodyText"/>
      </w:pPr>
      <w:r>
        <w:rPr>
          <w:bCs/>
          <w:b/>
        </w:rPr>
        <w:t xml:space="preserve">Score: 6.0 → 5.5 (-8%)</w:t>
      </w:r>
    </w:p>
    <w:p>
      <w:pPr>
        <w:pStyle w:val="BodyText"/>
      </w:pPr>
      <w:r>
        <w:t xml:space="preserve">Educational domain faces compound challenges: learning loss recovery</w:t>
      </w:r>
      <w:r>
        <w:t xml:space="preserve"> </w:t>
      </w:r>
      <w:r>
        <w:t xml:space="preserve">incomplete, workforce pipeline concerns for strategic industries,</w:t>
      </w:r>
      <w:r>
        <w:t xml:space="preserve"> </w:t>
      </w:r>
      <w:r>
        <w:t xml:space="preserve">international competition intensifying. The strengths—elite research</w:t>
      </w:r>
      <w:r>
        <w:t xml:space="preserve"> </w:t>
      </w:r>
      <w:r>
        <w:t xml:space="preserve">universities, innovation ecosystem—persist but face growing pressure.</w:t>
      </w:r>
    </w:p>
    <w:p>
      <w:pPr>
        <w:pStyle w:val="BodyText"/>
      </w:pPr>
      <w:r>
        <w:rPr>
          <w:bCs/>
          <w:b/>
        </w:rPr>
        <w:t xml:space="preserve">Confidence: MODERATE-HIGH</w:t>
      </w:r>
    </w:p>
    <w:bookmarkEnd w:id="89"/>
    <w:bookmarkEnd w:id="90"/>
    <w:bookmarkStart w:id="92" w:name="Xfc24f352646172757cec4835589d11c2a0cb33f"/>
    <w:p>
      <w:pPr>
        <w:pStyle w:val="Heading2"/>
      </w:pPr>
      <w:r>
        <w:t xml:space="preserve">Domain 6: Cultural and Soft Power (2021-Present)</w:t>
      </w:r>
    </w:p>
    <w:bookmarkStart w:id="91" w:name="soft-power-trajectory"/>
    <w:p>
      <w:pPr>
        <w:pStyle w:val="Heading3"/>
      </w:pPr>
      <w:r>
        <w:t xml:space="preserve">Soft Power Trajectory</w:t>
      </w:r>
    </w:p>
    <w:p>
      <w:pPr>
        <w:pStyle w:val="FirstParagraph"/>
      </w:pPr>
      <w:r>
        <w:rPr>
          <w:bCs/>
          <w:b/>
        </w:rPr>
        <w:t xml:space="preserve">Biden Era Recovery:</w:t>
      </w:r>
    </w:p>
    <w:p>
      <w:pPr>
        <w:pStyle w:val="BodyText"/>
      </w:pPr>
      <w:r>
        <w:t xml:space="preserve">Global favorability recovered from Trump-era lows: - Pew Global</w:t>
      </w:r>
      <w:r>
        <w:t xml:space="preserve"> </w:t>
      </w:r>
      <w:r>
        <w:t xml:space="preserve">Attitudes (2021): US favorability rose to 61% median across surveyed</w:t>
      </w:r>
      <w:r>
        <w:t xml:space="preserve"> </w:t>
      </w:r>
      <w:r>
        <w:t xml:space="preserve">countries - NATO confidence: Recovered substantially - International</w:t>
      </w:r>
      <w:r>
        <w:t xml:space="preserve"> </w:t>
      </w:r>
      <w:r>
        <w:t xml:space="preserve">cooperation: Rejoined Paris Agreement, WHO engagement</w:t>
      </w:r>
    </w:p>
    <w:p>
      <w:pPr>
        <w:pStyle w:val="BodyText"/>
      </w:pPr>
      <w:r>
        <w:rPr>
          <w:bCs/>
          <w:b/>
        </w:rPr>
        <w:t xml:space="preserve">Gaza Conflict Impact (October 2023-Present):</w:t>
      </w:r>
    </w:p>
    <w:p>
      <w:pPr>
        <w:pStyle w:val="BodyText"/>
      </w:pPr>
      <w:r>
        <w:t xml:space="preserve">The Israel-Gaza conflict significantly damaged US global standing: -</w:t>
      </w:r>
      <w:r>
        <w:t xml:space="preserve"> </w:t>
      </w:r>
      <w:r>
        <w:t xml:space="preserve">Arab world: Favorability collapsed to single digits in many countries -</w:t>
      </w:r>
      <w:r>
        <w:t xml:space="preserve"> </w:t>
      </w:r>
      <w:r>
        <w:t xml:space="preserve">European allies: Criticism of US policy approach - Global South:</w:t>
      </w:r>
      <w:r>
        <w:t xml:space="preserve"> </w:t>
      </w:r>
      <w:r>
        <w:t xml:space="preserve">Perception of double standards (Ukraine vs. Gaza) - UN votes: US</w:t>
      </w:r>
      <w:r>
        <w:t xml:space="preserve"> </w:t>
      </w:r>
      <w:r>
        <w:t xml:space="preserve">isolation on ceasefire resolutions</w:t>
      </w:r>
    </w:p>
    <w:p>
      <w:pPr>
        <w:pStyle w:val="BodyText"/>
      </w:pPr>
      <w:r>
        <w:rPr>
          <w:bCs/>
          <w:b/>
        </w:rPr>
        <w:t xml:space="preserve">Cultural Export:</w:t>
      </w:r>
    </w:p>
    <w:p>
      <w:pPr>
        <w:pStyle w:val="BodyText"/>
      </w:pPr>
      <w:r>
        <w:t xml:space="preserve">American cultural products maintain global reach: - Streaming: Netflix,</w:t>
      </w:r>
      <w:r>
        <w:t xml:space="preserve"> </w:t>
      </w:r>
      <w:r>
        <w:t xml:space="preserve">Disney+ expanding globally - Social media: US platforms dominant (though</w:t>
      </w:r>
      <w:r>
        <w:t xml:space="preserve"> </w:t>
      </w:r>
      <w:r>
        <w:t xml:space="preserve">TikTok complicates picture) - Music, film: Continued global appeal -</w:t>
      </w:r>
      <w:r>
        <w:t xml:space="preserve"> </w:t>
      </w:r>
      <w:r>
        <w:t xml:space="preserve">Higher education: International demand persistent</w:t>
      </w:r>
    </w:p>
    <w:p>
      <w:pPr>
        <w:pStyle w:val="BodyText"/>
      </w:pPr>
      <w:r>
        <w:rPr>
          <w:bCs/>
          <w:b/>
        </w:rPr>
        <w:t xml:space="preserve">Soft Power Index (Brand Finance 2024):</w:t>
      </w:r>
    </w:p>
    <w:p>
      <w:pPr>
        <w:numPr>
          <w:ilvl w:val="0"/>
          <w:numId w:val="1002"/>
        </w:numPr>
        <w:pStyle w:val="Compact"/>
      </w:pPr>
      <w:r>
        <w:t xml:space="preserve">US rank: 1st globally</w:t>
      </w:r>
    </w:p>
    <w:p>
      <w:pPr>
        <w:numPr>
          <w:ilvl w:val="0"/>
          <w:numId w:val="1002"/>
        </w:numPr>
        <w:pStyle w:val="Compact"/>
      </w:pPr>
      <w:r>
        <w:t xml:space="preserve">Score: 70.7 (down from 72.5 in 2021)</w:t>
      </w:r>
    </w:p>
    <w:p>
      <w:pPr>
        <w:numPr>
          <w:ilvl w:val="0"/>
          <w:numId w:val="1002"/>
        </w:numPr>
        <w:pStyle w:val="Compact"/>
      </w:pPr>
      <w:r>
        <w:t xml:space="preserve">Components: Business/trade strength; culture somewhat weaker</w:t>
      </w:r>
    </w:p>
    <w:p>
      <w:pPr>
        <w:pStyle w:val="FirstParagraph"/>
      </w:pPr>
      <w:r>
        <w:t xml:space="preserve">The index suggests structural soft power remains strong while specific</w:t>
      </w:r>
      <w:r>
        <w:t xml:space="preserve"> </w:t>
      </w:r>
      <w:r>
        <w:t xml:space="preserve">policy decisions create periodic damage.</w:t>
      </w:r>
    </w:p>
    <w:p>
      <w:pPr>
        <w:pStyle w:val="BodyText"/>
      </w:pPr>
      <w:r>
        <w:rPr>
          <w:bCs/>
          <w:b/>
        </w:rPr>
        <w:t xml:space="preserve">Second Trump Administration Impact:</w:t>
      </w:r>
    </w:p>
    <w:p>
      <w:pPr>
        <w:pStyle w:val="BodyText"/>
      </w:pPr>
      <w:r>
        <w:t xml:space="preserve">Early 2025 developments: - Tariff rhetoric: Strained relations with</w:t>
      </w:r>
      <w:r>
        <w:t xml:space="preserve"> </w:t>
      </w:r>
      <w:r>
        <w:t xml:space="preserve">traditional allies - NATO commitment questions: Recurring uncertainty -</w:t>
      </w:r>
      <w:r>
        <w:t xml:space="preserve"> </w:t>
      </w:r>
      <w:r>
        <w:t xml:space="preserve">Multilateral withdrawal signals: Paris Agreement exit announced</w:t>
      </w:r>
    </w:p>
    <w:p>
      <w:pPr>
        <w:pStyle w:val="BodyText"/>
      </w:pPr>
      <w:r>
        <w:rPr>
          <w:bCs/>
          <w:b/>
        </w:rPr>
        <w:t xml:space="preserve">Score: 5.5 → 5.0 → 4.5 (trajectory declining)</w:t>
      </w:r>
    </w:p>
    <w:p>
      <w:pPr>
        <w:pStyle w:val="BodyText"/>
      </w:pPr>
      <w:r>
        <w:t xml:space="preserve">Soft power domain shows most volatile trajectory. Biden-era recovery</w:t>
      </w:r>
      <w:r>
        <w:t xml:space="preserve"> </w:t>
      </w:r>
      <w:r>
        <w:t xml:space="preserve">substantial but Gaza conflict reversed gains. Second Trump</w:t>
      </w:r>
      <w:r>
        <w:t xml:space="preserve"> </w:t>
      </w:r>
      <w:r>
        <w:t xml:space="preserve">administration introduces additional uncertainty. Structural soft power</w:t>
      </w:r>
      <w:r>
        <w:t xml:space="preserve"> </w:t>
      </w:r>
      <w:r>
        <w:t xml:space="preserve">(cultural products, education, economy) more durable than</w:t>
      </w:r>
      <w:r>
        <w:t xml:space="preserve"> </w:t>
      </w:r>
      <w:r>
        <w:t xml:space="preserve">policy-dependent diplomatic standing.</w:t>
      </w:r>
    </w:p>
    <w:p>
      <w:pPr>
        <w:pStyle w:val="BodyText"/>
      </w:pPr>
      <w:r>
        <w:rPr>
          <w:bCs/>
          <w:b/>
        </w:rPr>
        <w:t xml:space="preserve">Confidence: MODERATE for structural; LOW for current trajectory</w:t>
      </w:r>
    </w:p>
    <w:bookmarkEnd w:id="91"/>
    <w:bookmarkEnd w:id="92"/>
    <w:bookmarkStart w:id="94" w:name="X8177aba59536c259885738ed8c7b7d70263135f"/>
    <w:p>
      <w:pPr>
        <w:pStyle w:val="Heading2"/>
      </w:pPr>
      <w:r>
        <w:t xml:space="preserve">Domain 7: Technological and Innovation Systems (2021-Present)</w:t>
      </w:r>
    </w:p>
    <w:bookmarkStart w:id="93" w:name="ai-revolution"/>
    <w:p>
      <w:pPr>
        <w:pStyle w:val="Heading3"/>
      </w:pPr>
      <w:r>
        <w:t xml:space="preserve">AI Revolution</w:t>
      </w:r>
    </w:p>
    <w:p>
      <w:pPr>
        <w:pStyle w:val="FirstParagraph"/>
      </w:pPr>
      <w:r>
        <w:rPr>
          <w:bCs/>
          <w:b/>
        </w:rPr>
        <w:t xml:space="preserve">Generative AI Emergence:</w:t>
      </w:r>
    </w:p>
    <w:p>
      <w:pPr>
        <w:pStyle w:val="BodyText"/>
      </w:pPr>
      <w:r>
        <w:t xml:space="preserve">The period witnessed transformative AI developments: - ChatGPT (November</w:t>
      </w:r>
      <w:r>
        <w:t xml:space="preserve"> </w:t>
      </w:r>
      <w:r>
        <w:t xml:space="preserve">2022): Fastest consumer technology adoption in history - GPT-4 (March</w:t>
      </w:r>
      <w:r>
        <w:t xml:space="preserve"> </w:t>
      </w:r>
      <w:r>
        <w:t xml:space="preserve">2023): Demonstrated expanded capabilities - Competition: Anthropic,</w:t>
      </w:r>
      <w:r>
        <w:t xml:space="preserve"> </w:t>
      </w:r>
      <w:r>
        <w:t xml:space="preserve">Google, Meta all releasing advanced models - Investment: Tens of</w:t>
      </w:r>
      <w:r>
        <w:t xml:space="preserve"> </w:t>
      </w:r>
      <w:r>
        <w:t xml:space="preserve">billions in AI infrastructure and development</w:t>
      </w:r>
    </w:p>
    <w:p>
      <w:pPr>
        <w:pStyle w:val="BodyText"/>
      </w:pPr>
      <w:r>
        <w:rPr>
          <w:bCs/>
          <w:b/>
        </w:rPr>
        <w:t xml:space="preserve">US AI Leadership:</w:t>
      </w:r>
    </w:p>
    <w:p>
      <w:pPr>
        <w:pStyle w:val="BodyText"/>
      </w:pPr>
      <w:r>
        <w:t xml:space="preserve">American AI position: - Leading companies: OpenAI, Anthropic, Google,</w:t>
      </w:r>
      <w:r>
        <w:t xml:space="preserve"> </w:t>
      </w:r>
      <w:r>
        <w:t xml:space="preserve">Meta—all US-headquartered - Computing infrastructure: Major data</w:t>
      </w:r>
      <w:r>
        <w:t xml:space="preserve"> </w:t>
      </w:r>
      <w:r>
        <w:t xml:space="preserve">centers concentrated in US - Talent: Top AI researchers</w:t>
      </w:r>
      <w:r>
        <w:t xml:space="preserve"> </w:t>
      </w:r>
      <w:r>
        <w:t xml:space="preserve">disproportionately US-based or US-trained - Investment: US venture</w:t>
      </w:r>
      <w:r>
        <w:t xml:space="preserve"> </w:t>
      </w:r>
      <w:r>
        <w:t xml:space="preserve">capital dominates AI funding</w:t>
      </w:r>
    </w:p>
    <w:p>
      <w:pPr>
        <w:pStyle w:val="BodyText"/>
      </w:pPr>
      <w:r>
        <w:rPr>
          <w:bCs/>
          <w:b/>
        </w:rPr>
        <w:t xml:space="preserve">Semiconductor Reshoring:</w:t>
      </w:r>
    </w:p>
    <w:p>
      <w:pPr>
        <w:pStyle w:val="BodyText"/>
      </w:pPr>
      <w:r>
        <w:t xml:space="preserve">CHIPS Act implementation progress (through late 2025): - Announced</w:t>
      </w:r>
      <w:r>
        <w:t xml:space="preserve"> </w:t>
      </w:r>
      <w:r>
        <w:t xml:space="preserve">investments: $630+ billion since 2020 - Projects: 140+ across 28</w:t>
      </w:r>
      <w:r>
        <w:t xml:space="preserve"> </w:t>
      </w:r>
      <w:r>
        <w:t xml:space="preserve">states - Jobs: 500,000+ projected - Leading examples: - TSMC Arizona:</w:t>
      </w:r>
      <w:r>
        <w:t xml:space="preserve"> </w:t>
      </w:r>
      <w:r>
        <w:t xml:space="preserve">Operating at 92%+ yields, matching Taiwan - Intel Ohio: Major fab under</w:t>
      </w:r>
      <w:r>
        <w:t xml:space="preserve"> </w:t>
      </w:r>
      <w:r>
        <w:t xml:space="preserve">construction - Samsung Texas: Expansion ongoing - Micron Idaho/New York:</w:t>
      </w:r>
      <w:r>
        <w:t xml:space="preserve"> </w:t>
      </w:r>
      <w:r>
        <w:t xml:space="preserve">Memory manufacturing</w:t>
      </w:r>
    </w:p>
    <w:p>
      <w:pPr>
        <w:pStyle w:val="BodyText"/>
      </w:pPr>
      <w:r>
        <w:t xml:space="preserve">Semiconductor Industry Association (December 2025) assessment: - US</w:t>
      </w:r>
      <w:r>
        <w:t xml:space="preserve"> </w:t>
      </w:r>
      <w:r>
        <w:t xml:space="preserve">leading-edge capacity: 0% (2020) → projected 20% (2030) - Government</w:t>
      </w:r>
      <w:r>
        <w:t xml:space="preserve"> </w:t>
      </w:r>
      <w:r>
        <w:t xml:space="preserve">investment: $52 billion direct subsidies disbursing - Private</w:t>
      </w:r>
      <w:r>
        <w:t xml:space="preserve"> </w:t>
      </w:r>
      <w:r>
        <w:t xml:space="preserve">investment: Substantial leverage achieved</w:t>
      </w:r>
    </w:p>
    <w:p>
      <w:pPr>
        <w:pStyle w:val="BodyText"/>
      </w:pPr>
      <w:r>
        <w:rPr>
          <w:bCs/>
          <w:b/>
        </w:rPr>
        <w:t xml:space="preserve">Technology Export Controls:</w:t>
      </w:r>
    </w:p>
    <w:p>
      <w:pPr>
        <w:pStyle w:val="BodyText"/>
      </w:pPr>
      <w:r>
        <w:t xml:space="preserve">Semiconductor export restrictions to China: - October 2022 rules:</w:t>
      </w:r>
      <w:r>
        <w:t xml:space="preserve"> </w:t>
      </w:r>
      <w:r>
        <w:t xml:space="preserve">Restricted advanced chips, manufacturing equipment, US persons - October</w:t>
      </w:r>
      <w:r>
        <w:t xml:space="preserve"> </w:t>
      </w:r>
      <w:r>
        <w:t xml:space="preserve">2023 updates: Closed loopholes, expanded scope - 2024-2025 refinements:</w:t>
      </w:r>
      <w:r>
        <w:t xml:space="preserve"> </w:t>
      </w:r>
      <w:r>
        <w:t xml:space="preserve">Addressing circumvention, third-country transfers</w:t>
      </w:r>
    </w:p>
    <w:p>
      <w:pPr>
        <w:pStyle w:val="BodyText"/>
      </w:pPr>
      <w:r>
        <w:t xml:space="preserve">Effects assessment: - Chinese AI development: Constrained but not</w:t>
      </w:r>
      <w:r>
        <w:t xml:space="preserve"> </w:t>
      </w:r>
      <w:r>
        <w:t xml:space="preserve">halted - NVIDIA revenue: China sales declined substantially -</w:t>
      </w:r>
      <w:r>
        <w:t xml:space="preserve"> </w:t>
      </w:r>
      <w:r>
        <w:t xml:space="preserve">Alternative suppliers: Limited options exist</w:t>
      </w:r>
    </w:p>
    <w:p>
      <w:pPr>
        <w:pStyle w:val="BodyText"/>
      </w:pPr>
      <w:r>
        <w:rPr>
          <w:bCs/>
          <w:b/>
        </w:rPr>
        <w:t xml:space="preserve">Quantum Computing:</w:t>
      </w:r>
    </w:p>
    <w:p>
      <w:pPr>
        <w:pStyle w:val="BodyText"/>
      </w:pPr>
      <w:r>
        <w:t xml:space="preserve">Emerging competition: - Google</w:t>
      </w:r>
      <w:r>
        <w:t xml:space="preserve"> </w:t>
      </w:r>
      <w:r>
        <w:t xml:space="preserve">“</w:t>
      </w:r>
      <w:r>
        <w:t xml:space="preserve">Willow</w:t>
      </w:r>
      <w:r>
        <w:t xml:space="preserve">”</w:t>
      </w:r>
      <w:r>
        <w:t xml:space="preserve"> </w:t>
      </w:r>
      <w:r>
        <w:t xml:space="preserve">chip: Significant error</w:t>
      </w:r>
      <w:r>
        <w:t xml:space="preserve"> </w:t>
      </w:r>
      <w:r>
        <w:t xml:space="preserve">correction advance (December 2024) - IBM roadmap: Progressive capability</w:t>
      </w:r>
      <w:r>
        <w:t xml:space="preserve"> </w:t>
      </w:r>
      <w:r>
        <w:t xml:space="preserve">expansion - Government investment: National Quantum Initiative ongoing -</w:t>
      </w:r>
      <w:r>
        <w:t xml:space="preserve"> </w:t>
      </w:r>
      <w:r>
        <w:t xml:space="preserve">China competition: Active programs, unclear capability comparison</w:t>
      </w:r>
    </w:p>
    <w:p>
      <w:pPr>
        <w:pStyle w:val="BodyText"/>
      </w:pPr>
      <w:r>
        <w:rPr>
          <w:bCs/>
          <w:b/>
        </w:rPr>
        <w:t xml:space="preserve">Score: 7.0 → 7.0 (stable, with upside potential)</w:t>
      </w:r>
    </w:p>
    <w:p>
      <w:pPr>
        <w:pStyle w:val="BodyText"/>
      </w:pPr>
      <w:r>
        <w:t xml:space="preserve">Technology domain shows remarkable resilience. US leads AI revolution,</w:t>
      </w:r>
      <w:r>
        <w:t xml:space="preserve"> </w:t>
      </w:r>
      <w:r>
        <w:t xml:space="preserve">semiconductor reshoring proceeding, quantum computing advancing. The</w:t>
      </w:r>
      <w:r>
        <w:t xml:space="preserve"> </w:t>
      </w:r>
      <w:r>
        <w:t xml:space="preserve">emergence of transformative AI during this period potentially extends</w:t>
      </w:r>
      <w:r>
        <w:t xml:space="preserve"> </w:t>
      </w:r>
      <w:r>
        <w:t xml:space="preserve">American technological hegemony. However, execution risks</w:t>
      </w:r>
      <w:r>
        <w:t xml:space="preserve"> </w:t>
      </w:r>
      <w:r>
        <w:t xml:space="preserve">remain—reshoring timelines uncertain, export controls’ long-term</w:t>
      </w:r>
      <w:r>
        <w:t xml:space="preserve"> </w:t>
      </w:r>
      <w:r>
        <w:t xml:space="preserve">efficacy unclear.</w:t>
      </w:r>
    </w:p>
    <w:p>
      <w:pPr>
        <w:pStyle w:val="BodyText"/>
      </w:pPr>
      <w:r>
        <w:rPr>
          <w:bCs/>
          <w:b/>
        </w:rPr>
        <w:t xml:space="preserve">Confidence: HIGH for current assessment; MODERATE for trajectory</w:t>
      </w:r>
    </w:p>
    <w:bookmarkEnd w:id="93"/>
    <w:bookmarkEnd w:id="94"/>
    <w:bookmarkStart w:id="96" w:name="X0d3ccd660f29d2ca2127656b7b7c899a7322ad9"/>
    <w:p>
      <w:pPr>
        <w:pStyle w:val="Heading2"/>
      </w:pPr>
      <w:r>
        <w:t xml:space="preserve">Domain 8: Information and Intelligence Systems (2021-Present)</w:t>
      </w:r>
    </w:p>
    <w:bookmarkStart w:id="95" w:name="ukraine-intelligence-success"/>
    <w:p>
      <w:pPr>
        <w:pStyle w:val="Heading3"/>
      </w:pPr>
      <w:r>
        <w:t xml:space="preserve">Ukraine Intelligence Success</w:t>
      </w:r>
    </w:p>
    <w:p>
      <w:pPr>
        <w:pStyle w:val="FirstParagraph"/>
      </w:pPr>
      <w:r>
        <w:t xml:space="preserve">The Ukraine conflict demonstrated intelligence capabilities:</w:t>
      </w:r>
    </w:p>
    <w:p>
      <w:pPr>
        <w:pStyle w:val="BodyText"/>
      </w:pPr>
      <w:r>
        <w:rPr>
          <w:bCs/>
          <w:b/>
        </w:rPr>
        <w:t xml:space="preserve">Pre-Invasion Intelligence:</w:t>
      </w:r>
      <w:r>
        <w:t xml:space="preserve"> </w:t>
      </w:r>
      <w:r>
        <w:t xml:space="preserve">- Accurate prediction: US intelligence</w:t>
      </w:r>
      <w:r>
        <w:t xml:space="preserve"> </w:t>
      </w:r>
      <w:r>
        <w:t xml:space="preserve">correctly assessed invasion timing and scope - Public release:</w:t>
      </w:r>
      <w:r>
        <w:t xml:space="preserve"> </w:t>
      </w:r>
      <w:r>
        <w:t xml:space="preserve">Unprecedented declassification for strategic effect - Allied</w:t>
      </w:r>
      <w:r>
        <w:t xml:space="preserve"> </w:t>
      </w:r>
      <w:r>
        <w:t xml:space="preserve">coordination: Intelligence sharing enabled unified response</w:t>
      </w:r>
    </w:p>
    <w:p>
      <w:pPr>
        <w:pStyle w:val="BodyText"/>
      </w:pPr>
      <w:r>
        <w:rPr>
          <w:bCs/>
          <w:b/>
        </w:rPr>
        <w:t xml:space="preserve">Operational Support:</w:t>
      </w:r>
      <w:r>
        <w:t xml:space="preserve"> </w:t>
      </w:r>
      <w:r>
        <w:t xml:space="preserve">- Targeting: Real-time intelligence supporting</w:t>
      </w:r>
      <w:r>
        <w:t xml:space="preserve"> </w:t>
      </w:r>
      <w:r>
        <w:t xml:space="preserve">Ukrainian operations - Cyber defense: Assistance protecting Ukrainian</w:t>
      </w:r>
      <w:r>
        <w:t xml:space="preserve"> </w:t>
      </w:r>
      <w:r>
        <w:t xml:space="preserve">infrastructure - Information operations: Countering Russian narratives</w:t>
      </w:r>
    </w:p>
    <w:p>
      <w:pPr>
        <w:pStyle w:val="BodyText"/>
      </w:pPr>
      <w:r>
        <w:rPr>
          <w:bCs/>
          <w:b/>
        </w:rPr>
        <w:t xml:space="preserve">Domestic Information Environment:</w:t>
      </w:r>
    </w:p>
    <w:p>
      <w:pPr>
        <w:pStyle w:val="BodyText"/>
      </w:pPr>
      <w:r>
        <w:t xml:space="preserve">The domestic information landscape remains contested:</w:t>
      </w:r>
    </w:p>
    <w:p>
      <w:pPr>
        <w:pStyle w:val="BodyText"/>
      </w:pPr>
      <w:r>
        <w:rPr>
          <w:iCs/>
          <w:i/>
        </w:rPr>
        <w:t xml:space="preserve">Election Information:</w:t>
      </w:r>
      <w:r>
        <w:t xml:space="preserve"> </w:t>
      </w:r>
      <w:r>
        <w:t xml:space="preserve">- 2020 aftermath: Persistent false claims</w:t>
      </w:r>
      <w:r>
        <w:t xml:space="preserve"> </w:t>
      </w:r>
      <w:r>
        <w:t xml:space="preserve">despite court rejections - Platform moderation: Evolving and contested</w:t>
      </w:r>
      <w:r>
        <w:t xml:space="preserve"> </w:t>
      </w:r>
      <w:r>
        <w:t xml:space="preserve">approaches - Foreign interference: Ongoing attempts identified and</w:t>
      </w:r>
      <w:r>
        <w:t xml:space="preserve"> </w:t>
      </w:r>
      <w:r>
        <w:t xml:space="preserve">countered</w:t>
      </w:r>
    </w:p>
    <w:p>
      <w:pPr>
        <w:pStyle w:val="BodyText"/>
      </w:pPr>
      <w:r>
        <w:rPr>
          <w:iCs/>
          <w:i/>
        </w:rPr>
        <w:t xml:space="preserve">AI-Generated Content:</w:t>
      </w:r>
      <w:r>
        <w:t xml:space="preserve"> </w:t>
      </w:r>
      <w:r>
        <w:t xml:space="preserve">- Deepfakes: Emerging concern for election</w:t>
      </w:r>
      <w:r>
        <w:t xml:space="preserve"> </w:t>
      </w:r>
      <w:r>
        <w:t xml:space="preserve">integrity - Platform responses: Detection and labeling efforts -</w:t>
      </w:r>
      <w:r>
        <w:t xml:space="preserve"> </w:t>
      </w:r>
      <w:r>
        <w:t xml:space="preserve">Regulatory gaps: No comprehensive framework</w:t>
      </w:r>
    </w:p>
    <w:p>
      <w:pPr>
        <w:pStyle w:val="BodyText"/>
      </w:pPr>
      <w:r>
        <w:rPr>
          <w:bCs/>
          <w:b/>
        </w:rPr>
        <w:t xml:space="preserve">Cyber Security:</w:t>
      </w:r>
    </w:p>
    <w:p>
      <w:pPr>
        <w:pStyle w:val="BodyText"/>
      </w:pPr>
      <w:r>
        <w:t xml:space="preserve">Major incidents: - Colonial Pipeline (2021): Ransomware disrupted fuel</w:t>
      </w:r>
      <w:r>
        <w:t xml:space="preserve"> </w:t>
      </w:r>
      <w:r>
        <w:t xml:space="preserve">supply - SolarWinds aftermath: Continued remediation - Microsoft</w:t>
      </w:r>
      <w:r>
        <w:t xml:space="preserve"> </w:t>
      </w:r>
      <w:r>
        <w:t xml:space="preserve">Exchange: Widespread exploitation - Chinese state actors: Ongoing</w:t>
      </w:r>
      <w:r>
        <w:t xml:space="preserve"> </w:t>
      </w:r>
      <w:r>
        <w:t xml:space="preserve">espionage campaigns</w:t>
      </w:r>
    </w:p>
    <w:p>
      <w:pPr>
        <w:pStyle w:val="BodyText"/>
      </w:pPr>
      <w:r>
        <w:t xml:space="preserve">Response improvements: - CISA expansion: Cybersecurity agency capacity</w:t>
      </w:r>
      <w:r>
        <w:t xml:space="preserve"> </w:t>
      </w:r>
      <w:r>
        <w:t xml:space="preserve">increased - Public-private coordination: Improved information sharing -</w:t>
      </w:r>
      <w:r>
        <w:t xml:space="preserve"> </w:t>
      </w:r>
      <w:r>
        <w:t xml:space="preserve">Incident response: Faster detection and attribution</w:t>
      </w:r>
    </w:p>
    <w:p>
      <w:pPr>
        <w:pStyle w:val="BodyText"/>
      </w:pPr>
      <w:r>
        <w:rPr>
          <w:bCs/>
          <w:b/>
        </w:rPr>
        <w:t xml:space="preserve">Score: 6.5 → 6.0 (-8%)</w:t>
      </w:r>
    </w:p>
    <w:p>
      <w:pPr>
        <w:pStyle w:val="BodyText"/>
      </w:pPr>
      <w:r>
        <w:t xml:space="preserve">Information domain shows mixed performance. Ukraine intelligence success</w:t>
      </w:r>
      <w:r>
        <w:t xml:space="preserve"> </w:t>
      </w:r>
      <w:r>
        <w:t xml:space="preserve">demonstrates capability. Domestic information environment remains</w:t>
      </w:r>
      <w:r>
        <w:t xml:space="preserve"> </w:t>
      </w:r>
      <w:r>
        <w:t xml:space="preserve">problematic with no clear improvement trajectory. Cyber vulnerabilities</w:t>
      </w:r>
      <w:r>
        <w:t xml:space="preserve"> </w:t>
      </w:r>
      <w:r>
        <w:t xml:space="preserve">persist despite improved response capacity.</w:t>
      </w:r>
    </w:p>
    <w:p>
      <w:pPr>
        <w:pStyle w:val="BodyText"/>
      </w:pPr>
      <w:r>
        <w:rPr>
          <w:bCs/>
          <w:b/>
        </w:rPr>
        <w:t xml:space="preserve">Confidence: MODERATE-HIGH</w:t>
      </w:r>
    </w:p>
    <w:bookmarkEnd w:id="95"/>
    <w:bookmarkEnd w:id="96"/>
    <w:bookmarkStart w:id="98" w:name="Xa44e644d0b67879d1b9d3b6b111add02576f457"/>
    <w:p>
      <w:pPr>
        <w:pStyle w:val="Heading2"/>
      </w:pPr>
      <w:r>
        <w:t xml:space="preserve">Domain 9: Economic and Financial Systems (2021-Present)</w:t>
      </w:r>
    </w:p>
    <w:bookmarkStart w:id="97" w:name="inflation-crisis-and-response"/>
    <w:p>
      <w:pPr>
        <w:pStyle w:val="Heading3"/>
      </w:pPr>
      <w:r>
        <w:t xml:space="preserve">Inflation Crisis and Response</w:t>
      </w:r>
    </w:p>
    <w:p>
      <w:pPr>
        <w:pStyle w:val="FirstParagraph"/>
      </w:pPr>
      <w:r>
        <w:rPr>
          <w:bCs/>
          <w:b/>
        </w:rPr>
        <w:t xml:space="preserve">Inflation Surge:</w:t>
      </w:r>
    </w:p>
    <w:p>
      <w:pPr>
        <w:pStyle w:val="BodyText"/>
      </w:pPr>
      <w:r>
        <w:t xml:space="preserve">The post-pandemic inflation surge represented the most significant price</w:t>
      </w:r>
      <w:r>
        <w:t xml:space="preserve"> </w:t>
      </w:r>
      <w:r>
        <w:t xml:space="preserve">instability since the 1970s: - CPI trajectory: 1.4% (January 2021) →</w:t>
      </w:r>
      <w:r>
        <w:t xml:space="preserve"> </w:t>
      </w:r>
      <w:r>
        <w:t xml:space="preserve">9.1% peak (June 2022) → 2.4% (late 2024) - Causes: Pandemic supply</w:t>
      </w:r>
      <w:r>
        <w:t xml:space="preserve"> </w:t>
      </w:r>
      <w:r>
        <w:t xml:space="preserve">disruptions, fiscal stimulus, energy prices, demand surge - Political</w:t>
      </w:r>
      <w:r>
        <w:t xml:space="preserve"> </w:t>
      </w:r>
      <w:r>
        <w:t xml:space="preserve">salience: Inflation became top voter concern</w:t>
      </w:r>
    </w:p>
    <w:p>
      <w:pPr>
        <w:pStyle w:val="BodyText"/>
      </w:pPr>
      <w:r>
        <w:rPr>
          <w:bCs/>
          <w:b/>
        </w:rPr>
        <w:t xml:space="preserve">Federal Reserve Response:</w:t>
      </w:r>
    </w:p>
    <w:p>
      <w:pPr>
        <w:pStyle w:val="BodyText"/>
      </w:pPr>
      <w:r>
        <w:t xml:space="preserve">The Fed executed the most aggressive tightening cycle since Volcker: -</w:t>
      </w:r>
      <w:r>
        <w:t xml:space="preserve"> </w:t>
      </w:r>
      <w:r>
        <w:t xml:space="preserve">Rate increases: 0-0.25% (March 2022) → 5.25-5.50% (July 2023) - 525</w:t>
      </w:r>
      <w:r>
        <w:t xml:space="preserve"> </w:t>
      </w:r>
      <w:r>
        <w:t xml:space="preserve">basis points in 17 months - Quantitative tightening: Balance sheet</w:t>
      </w:r>
      <w:r>
        <w:t xml:space="preserve"> </w:t>
      </w:r>
      <w:r>
        <w:t xml:space="preserve">reduction from $8.9T peak - Forward guidance:</w:t>
      </w:r>
      <w:r>
        <w:t xml:space="preserve"> </w:t>
      </w:r>
      <w:r>
        <w:t xml:space="preserve">“</w:t>
      </w:r>
      <w:r>
        <w:t xml:space="preserve">Higher for longer</w:t>
      </w:r>
      <w:r>
        <w:t xml:space="preserve">”</w:t>
      </w:r>
      <w:r>
        <w:t xml:space="preserve"> </w:t>
      </w:r>
      <w:r>
        <w:t xml:space="preserve">messaging</w:t>
      </w:r>
    </w:p>
    <w:p>
      <w:pPr>
        <w:pStyle w:val="BodyText"/>
      </w:pPr>
      <w:r>
        <w:rPr>
          <w:bCs/>
          <w:b/>
        </w:rPr>
        <w:t xml:space="preserve">Labor Market:</w:t>
      </w:r>
    </w:p>
    <w:p>
      <w:pPr>
        <w:pStyle w:val="BodyText"/>
      </w:pPr>
      <w:r>
        <w:t xml:space="preserve">Post-pandemic labor market dynamics: - Unemployment: Fell to 3.4%</w:t>
      </w:r>
      <w:r>
        <w:t xml:space="preserve"> </w:t>
      </w:r>
      <w:r>
        <w:t xml:space="preserve">(January 2023)—lowest since 1969 -</w:t>
      </w:r>
      <w:r>
        <w:t xml:space="preserve"> </w:t>
      </w:r>
      <w:r>
        <w:t xml:space="preserve">“</w:t>
      </w:r>
      <w:r>
        <w:t xml:space="preserve">Great Resignation</w:t>
      </w:r>
      <w:r>
        <w:t xml:space="preserve">”</w:t>
      </w:r>
      <w:r>
        <w:t xml:space="preserve">: Elevated quit</w:t>
      </w:r>
      <w:r>
        <w:t xml:space="preserve"> </w:t>
      </w:r>
      <w:r>
        <w:t xml:space="preserve">rates signaling worker confidence - Wage growth: Real wages eventually</w:t>
      </w:r>
      <w:r>
        <w:t xml:space="preserve"> </w:t>
      </w:r>
      <w:r>
        <w:t xml:space="preserve">turned positive after inflation peaked - Participation: Gradual recovery</w:t>
      </w:r>
      <w:r>
        <w:t xml:space="preserve"> </w:t>
      </w:r>
      <w:r>
        <w:t xml:space="preserve">but below pre-pandemic trend</w:t>
      </w:r>
    </w:p>
    <w:p>
      <w:pPr>
        <w:pStyle w:val="BodyText"/>
      </w:pPr>
      <w:r>
        <w:rPr>
          <w:bCs/>
          <w:b/>
        </w:rPr>
        <w:t xml:space="preserve">“</w:t>
      </w:r>
      <w:r>
        <w:rPr>
          <w:bCs/>
          <w:b/>
        </w:rPr>
        <w:t xml:space="preserve">Soft Landing</w:t>
      </w:r>
      <w:r>
        <w:rPr>
          <w:bCs/>
          <w:b/>
        </w:rPr>
        <w:t xml:space="preserve">”</w:t>
      </w:r>
      <w:r>
        <w:rPr>
          <w:bCs/>
          <w:b/>
        </w:rPr>
        <w:t xml:space="preserve"> </w:t>
      </w:r>
      <w:r>
        <w:rPr>
          <w:bCs/>
          <w:b/>
        </w:rPr>
        <w:t xml:space="preserve">Achievement:</w:t>
      </w:r>
    </w:p>
    <w:p>
      <w:pPr>
        <w:pStyle w:val="BodyText"/>
      </w:pPr>
      <w:r>
        <w:t xml:space="preserve">By late 2024, the Fed appeared to have achieved rare soft landing: -</w:t>
      </w:r>
      <w:r>
        <w:t xml:space="preserve"> </w:t>
      </w:r>
      <w:r>
        <w:t xml:space="preserve">Inflation: Declined without recession - Unemployment: Remained low</w:t>
      </w:r>
      <w:r>
        <w:t xml:space="preserve"> </w:t>
      </w:r>
      <w:r>
        <w:t xml:space="preserve">(around 4%) - Growth: Continued positive - Comparison: Volcker</w:t>
      </w:r>
      <w:r>
        <w:t xml:space="preserve"> </w:t>
      </w:r>
      <w:r>
        <w:t xml:space="preserve">disinflation required 10%+ unemployment</w:t>
      </w:r>
    </w:p>
    <w:p>
      <w:pPr>
        <w:pStyle w:val="BodyText"/>
      </w:pPr>
      <w:r>
        <w:t xml:space="preserve">This outcome exceeded most forecasts; recession probability estimates</w:t>
      </w:r>
      <w:r>
        <w:t xml:space="preserve"> </w:t>
      </w:r>
      <w:r>
        <w:t xml:space="preserve">peaked around 60% in late 2022.</w:t>
      </w:r>
    </w:p>
    <w:p>
      <w:pPr>
        <w:pStyle w:val="BodyText"/>
      </w:pPr>
      <w:r>
        <w:rPr>
          <w:bCs/>
          <w:b/>
        </w:rPr>
        <w:t xml:space="preserve">Dollar System Status (2024-2025):</w:t>
      </w:r>
    </w:p>
    <w:p>
      <w:pPr>
        <w:pStyle w:val="BodyText"/>
      </w:pPr>
      <w:r>
        <w:t xml:space="preserve">IMF COFER data (Q2 2025): - Dollar share: 56.32% - Decline from Q3 2024</w:t>
      </w:r>
      <w:r>
        <w:t xml:space="preserve"> </w:t>
      </w:r>
      <w:r>
        <w:t xml:space="preserve">(58.4%): Approximately 2 percentage points</w:t>
      </w:r>
    </w:p>
    <w:p>
      <w:pPr>
        <w:pStyle w:val="BodyText"/>
      </w:pPr>
      <w:r>
        <w:t xml:space="preserve">Critical context on Q1-Q2 2025 decline: Analysis of the decline reveals</w:t>
      </w:r>
      <w:r>
        <w:t xml:space="preserve"> </w:t>
      </w:r>
      <w:r>
        <w:t xml:space="preserve">approximately 92% attributable to valuation effects (dollar weakening)</w:t>
      </w:r>
      <w:r>
        <w:t xml:space="preserve"> </w:t>
      </w:r>
      <w:r>
        <w:t xml:space="preserve">rather than active diversification. When the dollar depreciates against</w:t>
      </w:r>
      <w:r>
        <w:t xml:space="preserve"> </w:t>
      </w:r>
      <w:r>
        <w:t xml:space="preserve">other currencies, non-dollar reserves increase in dollar terms,</w:t>
      </w:r>
      <w:r>
        <w:t xml:space="preserve"> </w:t>
      </w:r>
      <w:r>
        <w:t xml:space="preserve">mechanically reducing dollar share without any actual reallocation.</w:t>
      </w:r>
    </w:p>
    <w:p>
      <w:pPr>
        <w:pStyle w:val="BodyText"/>
      </w:pPr>
      <w:r>
        <w:t xml:space="preserve">Alternative currency shares: - Euro: 19.84% - Japanese yen: 5.54% -</w:t>
      </w:r>
      <w:r>
        <w:t xml:space="preserve"> </w:t>
      </w:r>
      <w:r>
        <w:t xml:space="preserve">British pound: 4.91% - Chinese renminbi: 2.12% - Other: 11.27%</w:t>
      </w:r>
      <w:r>
        <w:t xml:space="preserve"> </w:t>
      </w:r>
      <w:r>
        <w:t xml:space="preserve">(including</w:t>
      </w:r>
      <w:r>
        <w:t xml:space="preserve"> </w:t>
      </w:r>
      <w:r>
        <w:t xml:space="preserve">“</w:t>
      </w:r>
      <w:r>
        <w:t xml:space="preserve">nontraditional currencies</w:t>
      </w:r>
      <w:r>
        <w:t xml:space="preserve">”</w:t>
      </w:r>
      <w:r>
        <w:t xml:space="preserve">)</w:t>
      </w:r>
    </w:p>
    <w:p>
      <w:pPr>
        <w:pStyle w:val="BodyText"/>
      </w:pPr>
      <w:r>
        <w:t xml:space="preserve">The Arslanalp-Eichengreen-Simpson-Bell finding remains operative:</w:t>
      </w:r>
      <w:r>
        <w:t xml:space="preserve"> </w:t>
      </w:r>
      <w:r>
        <w:t xml:space="preserve">three-quarters of diversification flows to currencies within the Fed’s</w:t>
      </w:r>
      <w:r>
        <w:t xml:space="preserve"> </w:t>
      </w:r>
      <w:r>
        <w:t xml:space="preserve">swap network or extended dollar-based financial system.</w:t>
      </w:r>
    </w:p>
    <w:p>
      <w:pPr>
        <w:pStyle w:val="BodyText"/>
      </w:pPr>
      <w:r>
        <w:rPr>
          <w:bCs/>
          <w:b/>
        </w:rPr>
        <w:t xml:space="preserve">De-Dollarization Assessment:</w:t>
      </w:r>
    </w:p>
    <w:p>
      <w:pPr>
        <w:pStyle w:val="BodyText"/>
      </w:pPr>
      <w:r>
        <w:t xml:space="preserve">The de-dollarization narrative requires careful parsing:</w:t>
      </w:r>
    </w:p>
    <w:p>
      <w:pPr>
        <w:pStyle w:val="BodyText"/>
      </w:pPr>
      <w:r>
        <w:rPr>
          <w:iCs/>
          <w:i/>
        </w:rPr>
        <w:t xml:space="preserve">What Has Happened:</w:t>
      </w:r>
      <w:r>
        <w:t xml:space="preserve"> </w:t>
      </w:r>
      <w:r>
        <w:t xml:space="preserve">- Dollar reserve share has declined from 71% (2000)</w:t>
      </w:r>
      <w:r>
        <w:t xml:space="preserve"> </w:t>
      </w:r>
      <w:r>
        <w:t xml:space="preserve">to 56% (2025) - This represents real reduction in dollar concentration -</w:t>
      </w:r>
      <w:r>
        <w:t xml:space="preserve"> </w:t>
      </w:r>
      <w:r>
        <w:t xml:space="preserve">Diversification is genuine phenomenon</w:t>
      </w:r>
    </w:p>
    <w:p>
      <w:pPr>
        <w:pStyle w:val="BodyText"/>
      </w:pPr>
      <w:r>
        <w:rPr>
          <w:iCs/>
          <w:i/>
        </w:rPr>
        <w:t xml:space="preserve">What Has Not Happened:</w:t>
      </w:r>
      <w:r>
        <w:t xml:space="preserve"> </w:t>
      </w:r>
      <w:r>
        <w:t xml:space="preserve">- No credible alternative reserve currency has</w:t>
      </w:r>
      <w:r>
        <w:t xml:space="preserve"> </w:t>
      </w:r>
      <w:r>
        <w:t xml:space="preserve">emerged - Renminbi share remains marginal (2.12%) despite China’s</w:t>
      </w:r>
      <w:r>
        <w:t xml:space="preserve"> </w:t>
      </w:r>
      <w:r>
        <w:t xml:space="preserve">economic weight - No significant shift to commodity-backed alternatives</w:t>
      </w:r>
      <w:r>
        <w:t xml:space="preserve"> </w:t>
      </w:r>
      <w:r>
        <w:t xml:space="preserve">(Pozsar’s</w:t>
      </w:r>
      <w:r>
        <w:t xml:space="preserve"> </w:t>
      </w:r>
      <w:r>
        <w:t xml:space="preserve">“</w:t>
      </w:r>
      <w:r>
        <w:t xml:space="preserve">Bretton Woods III</w:t>
      </w:r>
      <w:r>
        <w:t xml:space="preserve">”</w:t>
      </w:r>
      <w:r>
        <w:t xml:space="preserve"> </w:t>
      </w:r>
      <w:r>
        <w:t xml:space="preserve">retracted) - Dollar remains dominant for</w:t>
      </w:r>
      <w:r>
        <w:t xml:space="preserve"> </w:t>
      </w:r>
      <w:r>
        <w:t xml:space="preserve">trade invoicing, debt denomination, FX transactions</w:t>
      </w:r>
    </w:p>
    <w:p>
      <w:pPr>
        <w:pStyle w:val="BodyText"/>
      </w:pPr>
      <w:r>
        <w:rPr>
          <w:iCs/>
          <w:i/>
        </w:rPr>
        <w:t xml:space="preserve">Structural Lock-In:</w:t>
      </w:r>
      <w:r>
        <w:t xml:space="preserve"> </w:t>
      </w:r>
      <w:r>
        <w:t xml:space="preserve">Adam Tooze’s assessment:</w:t>
      </w:r>
      <w:r>
        <w:t xml:space="preserve"> </w:t>
      </w:r>
      <w:r>
        <w:t xml:space="preserve">“</w:t>
      </w:r>
      <w:r>
        <w:t xml:space="preserve">The alternatives are</w:t>
      </w:r>
      <w:r>
        <w:t xml:space="preserve"> </w:t>
      </w:r>
      <w:r>
        <w:t xml:space="preserve">finance fiction—there is nowhere else to go.</w:t>
      </w:r>
      <w:r>
        <w:t xml:space="preserve">”</w:t>
      </w:r>
    </w:p>
    <w:p>
      <w:pPr>
        <w:pStyle w:val="BodyText"/>
      </w:pPr>
      <w:r>
        <w:t xml:space="preserve">The dollar system’s persistence reflects: - Deep capital markets with</w:t>
      </w:r>
      <w:r>
        <w:t xml:space="preserve"> </w:t>
      </w:r>
      <w:r>
        <w:t xml:space="preserve">rule of law - Fed willingness to serve as global lender of last resort -</w:t>
      </w:r>
      <w:r>
        <w:t xml:space="preserve"> </w:t>
      </w:r>
      <w:r>
        <w:t xml:space="preserve">Network effects and switching costs - Absence of viable alternative</w:t>
      </w:r>
    </w:p>
    <w:p>
      <w:pPr>
        <w:pStyle w:val="BodyText"/>
      </w:pPr>
      <w:r>
        <w:rPr>
          <w:bCs/>
          <w:b/>
        </w:rPr>
        <w:t xml:space="preserve">Federal Debt:</w:t>
      </w:r>
    </w:p>
    <w:p>
      <w:pPr>
        <w:pStyle w:val="BodyText"/>
      </w:pPr>
      <w:r>
        <w:t xml:space="preserve">Fiscal trajectory: - Federal debt: $33.8 trillion (January 2024),</w:t>
      </w:r>
      <w:r>
        <w:t xml:space="preserve"> </w:t>
      </w:r>
      <w:r>
        <w:t xml:space="preserve">approximately $36 trillion (early 2025) - Debt-to-GDP: Approximately</w:t>
      </w:r>
      <w:r>
        <w:t xml:space="preserve"> </w:t>
      </w:r>
      <w:r>
        <w:t xml:space="preserve">120% - Interest costs: Rising to ~$1 trillion annually - CBO</w:t>
      </w:r>
      <w:r>
        <w:t xml:space="preserve"> </w:t>
      </w:r>
      <w:r>
        <w:t xml:space="preserve">projections: Continued increase under current law</w:t>
      </w:r>
    </w:p>
    <w:p>
      <w:pPr>
        <w:pStyle w:val="BodyText"/>
      </w:pPr>
      <w:r>
        <w:t xml:space="preserve">The fiscal trajectory represents genuine long-term vulnerability, though</w:t>
      </w:r>
      <w:r>
        <w:t xml:space="preserve"> </w:t>
      </w:r>
      <w:r>
        <w:t xml:space="preserve">immediate crisis is not imminent given dollar reserve status.</w:t>
      </w:r>
    </w:p>
    <w:p>
      <w:pPr>
        <w:pStyle w:val="BodyText"/>
      </w:pPr>
      <w:r>
        <w:rPr>
          <w:bCs/>
          <w:b/>
        </w:rPr>
        <w:t xml:space="preserve">Tariff Policy (2025):</w:t>
      </w:r>
    </w:p>
    <w:p>
      <w:pPr>
        <w:pStyle w:val="BodyText"/>
      </w:pPr>
      <w:r>
        <w:t xml:space="preserve">Second Trump administration tariff expansion: - 25% on Canada and Mexico</w:t>
      </w:r>
      <w:r>
        <w:t xml:space="preserve"> </w:t>
      </w:r>
      <w:r>
        <w:t xml:space="preserve">(announced) - Escalating rates on China - Broader tariff threats against</w:t>
      </w:r>
      <w:r>
        <w:t xml:space="preserve"> </w:t>
      </w:r>
      <w:r>
        <w:t xml:space="preserve">other trading partners - Economic impact: Uncertainty elevated,</w:t>
      </w:r>
      <w:r>
        <w:t xml:space="preserve"> </w:t>
      </w:r>
      <w:r>
        <w:t xml:space="preserve">inflation concerns renewed</w:t>
      </w:r>
    </w:p>
    <w:p>
      <w:pPr>
        <w:pStyle w:val="BodyText"/>
      </w:pPr>
      <w:r>
        <w:rPr>
          <w:bCs/>
          <w:b/>
        </w:rPr>
        <w:t xml:space="preserve">Score: 5.5 → 5.0 (-9%)</w:t>
      </w:r>
    </w:p>
    <w:p>
      <w:pPr>
        <w:pStyle w:val="BodyText"/>
      </w:pPr>
      <w:r>
        <w:t xml:space="preserve">Economic/financial domain shows successful inflation management but</w:t>
      </w:r>
      <w:r>
        <w:t xml:space="preserve"> </w:t>
      </w:r>
      <w:r>
        <w:t xml:space="preserve">structural concerns persist. The Fed demonstrated capacity to engineer</w:t>
      </w:r>
      <w:r>
        <w:t xml:space="preserve"> </w:t>
      </w:r>
      <w:r>
        <w:t xml:space="preserve">soft landing—significant institutional achievement. However, fiscal</w:t>
      </w:r>
      <w:r>
        <w:t xml:space="preserve"> </w:t>
      </w:r>
      <w:r>
        <w:t xml:space="preserve">trajectory unsustainable long-term, tariff policy introduces new risks,</w:t>
      </w:r>
      <w:r>
        <w:t xml:space="preserve"> </w:t>
      </w:r>
      <w:r>
        <w:t xml:space="preserve">and even successful inflation management leaves debt burden elevated.</w:t>
      </w:r>
    </w:p>
    <w:p>
      <w:pPr>
        <w:pStyle w:val="BodyText"/>
      </w:pPr>
      <w:r>
        <w:rPr>
          <w:bCs/>
          <w:b/>
        </w:rPr>
        <w:t xml:space="preserve">Confidence: HIGH for inflation management assessment; MODERATE for</w:t>
      </w:r>
      <w:r>
        <w:rPr>
          <w:bCs/>
          <w:b/>
        </w:rPr>
        <w:t xml:space="preserve"> </w:t>
      </w:r>
      <w:r>
        <w:rPr>
          <w:bCs/>
          <w:b/>
        </w:rPr>
        <w:t xml:space="preserve">fiscal trajectory; LOW for tariff impact</w:t>
      </w:r>
    </w:p>
    <w:bookmarkEnd w:id="97"/>
    <w:bookmarkEnd w:id="98"/>
    <w:bookmarkStart w:id="99" w:name="X4e219acbb1d377b0c93b1403f4ec80e4a9434a8"/>
    <w:p>
      <w:pPr>
        <w:pStyle w:val="Heading2"/>
      </w:pPr>
      <w:r>
        <w:t xml:space="preserve">Sub-Period III Summary: Contested Present, Uncertain Trajectory</w:t>
      </w:r>
    </w:p>
    <w:p>
      <w:pPr>
        <w:pStyle w:val="FirstParagraph"/>
      </w:pPr>
      <w:r>
        <w:t xml:space="preserve">The 2021-present period defies simple characterization. By some</w:t>
      </w:r>
      <w:r>
        <w:t xml:space="preserve"> </w:t>
      </w:r>
      <w:r>
        <w:t xml:space="preserve">measures, hegemonic capacity demonstrated: - Ukraine response showed</w:t>
      </w:r>
      <w:r>
        <w:t xml:space="preserve"> </w:t>
      </w:r>
      <w:r>
        <w:t xml:space="preserve">alliance coordination and security assistance capacity - AI leadership</w:t>
      </w:r>
      <w:r>
        <w:t xml:space="preserve"> </w:t>
      </w:r>
      <w:r>
        <w:t xml:space="preserve">consolidated American technological edge - Semiconductor reshoring</w:t>
      </w:r>
      <w:r>
        <w:t xml:space="preserve"> </w:t>
      </w:r>
      <w:r>
        <w:t xml:space="preserve">progressing - Inflation soft landing achieved</w:t>
      </w:r>
    </w:p>
    <w:p>
      <w:pPr>
        <w:pStyle w:val="BodyText"/>
      </w:pPr>
      <w:r>
        <w:t xml:space="preserve">By other measures, erosion continued: - Governance quality indices</w:t>
      </w:r>
      <w:r>
        <w:t xml:space="preserve"> </w:t>
      </w:r>
      <w:r>
        <w:t xml:space="preserve">declined further - Social cohesion remained weak - Soft power damaged by</w:t>
      </w:r>
      <w:r>
        <w:t xml:space="preserve"> </w:t>
      </w:r>
      <w:r>
        <w:t xml:space="preserve">Gaza policy - Fiscal trajectory unsustainable</w:t>
      </w:r>
    </w:p>
    <w:p>
      <w:pPr>
        <w:pStyle w:val="BodyText"/>
      </w:pPr>
      <w:r>
        <w:rPr>
          <w:bCs/>
          <w:b/>
        </w:rPr>
        <w:t xml:space="preserve">Composite Score Trajectory (2021-Present):</w:t>
      </w:r>
      <w:r>
        <w:t xml:space="preserve"> </w:t>
      </w:r>
      <w:r>
        <w:t xml:space="preserve">- 2021 Average: 5.72 -</w:t>
      </w:r>
      <w:r>
        <w:t xml:space="preserve"> </w:t>
      </w:r>
      <w:r>
        <w:t xml:space="preserve">2025 Average: 5.33 - Decline: -0.39 (-6.8%)</w:t>
      </w:r>
    </w:p>
    <w:p>
      <w:pPr>
        <w:pStyle w:val="BodyText"/>
      </w:pPr>
      <w:r>
        <w:rPr>
          <w:bCs/>
          <w:b/>
        </w:rPr>
        <w:t xml:space="preserve">Cumulative Decline (2008-2025):</w:t>
      </w:r>
      <w:r>
        <w:t xml:space="preserve"> </w:t>
      </w:r>
      <w:r>
        <w:t xml:space="preserve">- 2008 Average: 6.78 - 2025 Average:</w:t>
      </w:r>
      <w:r>
        <w:t xml:space="preserve"> </w:t>
      </w:r>
      <w:r>
        <w:t xml:space="preserve">5.33 - Total Decline: -1.45 (-21.4%)</w:t>
      </w:r>
    </w:p>
    <w:p>
      <w:pPr>
        <w:pStyle w:val="BodyText"/>
      </w:pPr>
      <w:r>
        <w:t xml:space="preserve">This cumulative decline exceeds the 13% figure in some earlier</w:t>
      </w:r>
      <w:r>
        <w:t xml:space="preserve"> </w:t>
      </w:r>
      <w:r>
        <w:t xml:space="preserve">assessments but remains substantially below terminal thresholds observed</w:t>
      </w:r>
      <w:r>
        <w:t xml:space="preserve"> </w:t>
      </w:r>
      <w:r>
        <w:t xml:space="preserve">in predecessor hegemons (British ~35%, Dutch ~42%, Spanish ~48%).</w:t>
      </w:r>
    </w:p>
    <w:p>
      <w:pPr>
        <w:pStyle w:val="BodyText"/>
      </w:pPr>
      <w:r>
        <w:t xml:space="preserve">The question is not whether decline has occurred—it has. The question</w:t>
      </w:r>
      <w:r>
        <w:t xml:space="preserve"> </w:t>
      </w:r>
      <w:r>
        <w:t xml:space="preserve">is whether observed decline represents signal crisis (recoverable,</w:t>
      </w:r>
      <w:r>
        <w:t xml:space="preserve"> </w:t>
      </w:r>
      <w:r>
        <w:t xml:space="preserve">adaptive) or early-stage terminal decline (accelerating, irreversible).</w:t>
      </w:r>
      <w:r>
        <w:t xml:space="preserve"> </w:t>
      </w:r>
      <w:r>
        <w:t xml:space="preserve">The evidence supports signal crisis interpretation while acknowledging</w:t>
      </w:r>
      <w:r>
        <w:t xml:space="preserve"> </w:t>
      </w:r>
      <w:r>
        <w:t xml:space="preserve">genuine uncertainty about trajectory.</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 COUNTER-EVIDENCE AND COMPETING INTERPRETATIONS</w:t>
            </w:r>
          </w:p>
        </w:tc>
      </w:tr>
      <w:tr>
        <w:tc>
          <w:tcPr/>
          <w:p>
            <w:pPr>
              <w:pStyle w:val="Compact"/>
              <w:jc w:val="left"/>
            </w:pPr>
            <w:r>
              <w:t xml:space="preserve">## Overview: The Scholarly Case Against Decline</w:t>
            </w:r>
          </w:p>
        </w:tc>
      </w:tr>
      <w:tr>
        <w:tc>
          <w:tcPr/>
          <w:p>
            <w:pPr>
              <w:pStyle w:val="Compact"/>
              <w:jc w:val="left"/>
            </w:pPr>
            <w:r>
              <w:t xml:space="preserve">Intellectual honesty requires serious engagement with scholars who</w:t>
            </w:r>
            <w:r>
              <w:t xml:space="preserve"> </w:t>
            </w:r>
            <w:r>
              <w:t xml:space="preserve">reject or substantially qualify decline narratives. The following</w:t>
            </w:r>
            <w:r>
              <w:t xml:space="preserve"> </w:t>
            </w:r>
            <w:r>
              <w:t xml:space="preserve">section presents the strongest available counter-evidence, drawn from</w:t>
            </w:r>
            <w:r>
              <w:t xml:space="preserve"> </w:t>
            </w:r>
            <w:r>
              <w:t xml:space="preserve">leading international relations scholars, economists, and policy</w:t>
            </w:r>
            <w:r>
              <w:t xml:space="preserve"> </w:t>
            </w:r>
            <w:r>
              <w:t xml:space="preserve">analysts. The purpose is not to dismiss these arguments but to</w:t>
            </w:r>
            <w:r>
              <w:t xml:space="preserve"> </w:t>
            </w:r>
            <w:r>
              <w:t xml:space="preserve">demonstrate that the signal crisis interpretation survives hostile</w:t>
            </w:r>
            <w:r>
              <w:t xml:space="preserve"> </w:t>
            </w:r>
            <w:r>
              <w:t xml:space="preserve">scrutiny.</w:t>
            </w:r>
          </w:p>
        </w:tc>
      </w:tr>
    </w:tbl>
    <w:bookmarkEnd w:id="99"/>
    <w:bookmarkStart w:id="103" w:name="X4bfb10c78a1b7f5f72dd9545e792c27ed3c288a"/>
    <w:p>
      <w:pPr>
        <w:pStyle w:val="Heading2"/>
      </w:pPr>
      <w:r>
        <w:t xml:space="preserve">Counter-Evidence 1: Michael Beckley and</w:t>
      </w:r>
      <w:r>
        <w:t xml:space="preserve"> </w:t>
      </w:r>
      <w:r>
        <w:t xml:space="preserve">“</w:t>
      </w:r>
      <w:r>
        <w:t xml:space="preserve">Net Resources</w:t>
      </w:r>
      <w:r>
        <w:t xml:space="preserve">”</w:t>
      </w:r>
    </w:p>
    <w:bookmarkStart w:id="100" w:name="the-core-argument"/>
    <w:p>
      <w:pPr>
        <w:pStyle w:val="Heading3"/>
      </w:pPr>
      <w:r>
        <w:t xml:space="preserve">The Core Argument</w:t>
      </w:r>
    </w:p>
    <w:p>
      <w:pPr>
        <w:pStyle w:val="FirstParagraph"/>
      </w:pPr>
      <w:r>
        <w:t xml:space="preserve">Michael Beckley (Tufts University) developed the most sophisticated</w:t>
      </w:r>
      <w:r>
        <w:t xml:space="preserve"> </w:t>
      </w:r>
      <w:r>
        <w:t xml:space="preserve">quantitative challenge to decline narratives in</w:t>
      </w:r>
      <w:r>
        <w:t xml:space="preserve"> </w:t>
      </w:r>
      <w:r>
        <w:rPr>
          <w:iCs/>
          <w:i/>
        </w:rPr>
        <w:t xml:space="preserve">Unrivaled: Why America</w:t>
      </w:r>
      <w:r>
        <w:rPr>
          <w:iCs/>
          <w:i/>
        </w:rPr>
        <w:t xml:space="preserve"> </w:t>
      </w:r>
      <w:r>
        <w:rPr>
          <w:iCs/>
          <w:i/>
        </w:rPr>
        <w:t xml:space="preserve">Will Remain the World’s Sole Superpower</w:t>
      </w:r>
      <w:r>
        <w:t xml:space="preserve"> </w:t>
      </w:r>
      <w:r>
        <w:t xml:space="preserve">(2018) and refined it in</w:t>
      </w:r>
      <w:r>
        <w:t xml:space="preserve"> </w:t>
      </w:r>
      <w:r>
        <w:rPr>
          <w:iCs/>
          <w:i/>
        </w:rPr>
        <w:t xml:space="preserve">Danger Zone: The Coming Conflict with China</w:t>
      </w:r>
      <w:r>
        <w:t xml:space="preserve"> </w:t>
      </w:r>
      <w:r>
        <w:t xml:space="preserve">(2022, with Hal Brands).</w:t>
      </w:r>
    </w:p>
    <w:p>
      <w:pPr>
        <w:pStyle w:val="BodyText"/>
      </w:pPr>
      <w:r>
        <w:rPr>
          <w:bCs/>
          <w:b/>
        </w:rPr>
        <w:t xml:space="preserve">Standard Indicators Exaggerate Rivals:</w:t>
      </w:r>
    </w:p>
    <w:p>
      <w:pPr>
        <w:pStyle w:val="BodyText"/>
      </w:pPr>
      <w:r>
        <w:t xml:space="preserve">Beckley argues that</w:t>
      </w:r>
      <w:r>
        <w:t xml:space="preserve"> </w:t>
      </w:r>
      <w:r>
        <w:t xml:space="preserve">“</w:t>
      </w:r>
      <w:r>
        <w:t xml:space="preserve">standard indicators exaggerate the wealth and</w:t>
      </w:r>
      <w:r>
        <w:t xml:space="preserve"> </w:t>
      </w:r>
      <w:r>
        <w:t xml:space="preserve">military power of poor, populous countries like China and India.</w:t>
      </w:r>
      <w:r>
        <w:t xml:space="preserve">”</w:t>
      </w:r>
      <w:r>
        <w:t xml:space="preserve"> </w:t>
      </w:r>
      <w:r>
        <w:t xml:space="preserve">His</w:t>
      </w:r>
      <w:r>
        <w:t xml:space="preserve"> </w:t>
      </w:r>
      <w:r>
        <w:t xml:space="preserve">“</w:t>
      </w:r>
      <w:r>
        <w:t xml:space="preserve">net resources</w:t>
      </w:r>
      <w:r>
        <w:t xml:space="preserve">”</w:t>
      </w:r>
      <w:r>
        <w:t xml:space="preserve"> </w:t>
      </w:r>
      <w:r>
        <w:t xml:space="preserve">methodology subtracts production costs (raw materials,</w:t>
      </w:r>
      <w:r>
        <w:t xml:space="preserve"> </w:t>
      </w:r>
      <w:r>
        <w:t xml:space="preserve">capital depreciation), welfare costs (subsistence consumption), and</w:t>
      </w:r>
      <w:r>
        <w:t xml:space="preserve"> </w:t>
      </w:r>
      <w:r>
        <w:t xml:space="preserve">security costs (internal security, border defense) from GDP to derive</w:t>
      </w:r>
      <w:r>
        <w:t xml:space="preserve"> </w:t>
      </w:r>
      <w:r>
        <w:t xml:space="preserve">actual power-projection capacity.</w:t>
      </w:r>
    </w:p>
    <w:p>
      <w:pPr>
        <w:pStyle w:val="BodyText"/>
      </w:pPr>
      <w:r>
        <w:rPr>
          <w:bCs/>
          <w:b/>
        </w:rPr>
        <w:t xml:space="preserve">Quantitative Findings:</w:t>
      </w:r>
    </w:p>
    <w:p>
      <w:pPr>
        <w:pStyle w:val="BodyText"/>
      </w:pPr>
      <w:r>
        <w:t xml:space="preserve">Using net resources methodology: - US workers generate approximately</w:t>
      </w:r>
      <w:r>
        <w:t xml:space="preserve"> </w:t>
      </w:r>
      <w:r>
        <w:rPr>
          <w:bCs/>
          <w:b/>
        </w:rPr>
        <w:t xml:space="preserve">7x the output</w:t>
      </w:r>
      <w:r>
        <w:t xml:space="preserve"> </w:t>
      </w:r>
      <w:r>
        <w:t xml:space="preserve">of Chinese workers on average - Roughly one-third of</w:t>
      </w:r>
      <w:r>
        <w:t xml:space="preserve"> </w:t>
      </w:r>
      <w:r>
        <w:t xml:space="preserve">China’s industrial production</w:t>
      </w:r>
      <w:r>
        <w:t xml:space="preserve"> </w:t>
      </w:r>
      <w:r>
        <w:t xml:space="preserve">“</w:t>
      </w:r>
      <w:r>
        <w:t xml:space="preserve">goes to waste</w:t>
      </w:r>
      <w:r>
        <w:t xml:space="preserve">”</w:t>
      </w:r>
      <w:r>
        <w:t xml:space="preserve"> </w:t>
      </w:r>
      <w:r>
        <w:t xml:space="preserve">(defective products,</w:t>
      </w:r>
      <w:r>
        <w:t xml:space="preserve"> </w:t>
      </w:r>
      <w:r>
        <w:t xml:space="preserve">inventory rot, pollution remediation) - Approximately 35% of China’s</w:t>
      </w:r>
      <w:r>
        <w:t xml:space="preserve"> </w:t>
      </w:r>
      <w:r>
        <w:t xml:space="preserve">military budget goes to internal security (People’s Armed Police,</w:t>
      </w:r>
      <w:r>
        <w:t xml:space="preserve"> </w:t>
      </w:r>
      <w:r>
        <w:t xml:space="preserve">stability maintenance) - Effective military spending differential</w:t>
      </w:r>
      <w:r>
        <w:t xml:space="preserve"> </w:t>
      </w:r>
      <w:r>
        <w:t xml:space="preserve">significantly larger than nominal figures suggest</w:t>
      </w:r>
    </w:p>
    <w:p>
      <w:pPr>
        <w:pStyle w:val="BodyText"/>
      </w:pPr>
      <w:r>
        <w:rPr>
          <w:bCs/>
          <w:b/>
        </w:rPr>
        <w:t xml:space="preserve">Implications:</w:t>
      </w:r>
    </w:p>
    <w:p>
      <w:pPr>
        <w:pStyle w:val="BodyText"/>
      </w:pPr>
      <w:r>
        <w:t xml:space="preserve">If Beckley’s methodology is valid, linear extrapolations of Chinese</w:t>
      </w:r>
      <w:r>
        <w:t xml:space="preserve"> </w:t>
      </w:r>
      <w:r>
        <w:t xml:space="preserve">overtaking are fundamentally flawed. China’s GDP reached approximately</w:t>
      </w:r>
      <w:r>
        <w:t xml:space="preserve"> </w:t>
      </w:r>
      <w:r>
        <w:t xml:space="preserve">70% of US levels by PPP—but net resources comparison suggests actual</w:t>
      </w:r>
      <w:r>
        <w:t xml:space="preserve"> </w:t>
      </w:r>
      <w:r>
        <w:t xml:space="preserve">power-projection capacity remains far smaller.</w:t>
      </w:r>
    </w:p>
    <w:bookmarkEnd w:id="100"/>
    <w:bookmarkStart w:id="101" w:name="the-evolution-to-danger-zone"/>
    <w:p>
      <w:pPr>
        <w:pStyle w:val="Heading3"/>
      </w:pPr>
      <w:r>
        <w:t xml:space="preserve">The Evolution to</w:t>
      </w:r>
      <w:r>
        <w:t xml:space="preserve"> </w:t>
      </w:r>
      <w:r>
        <w:t xml:space="preserve">“</w:t>
      </w:r>
      <w:r>
        <w:t xml:space="preserve">Danger Zone</w:t>
      </w:r>
      <w:r>
        <w:t xml:space="preserve">”</w:t>
      </w:r>
    </w:p>
    <w:p>
      <w:pPr>
        <w:pStyle w:val="FirstParagraph"/>
      </w:pPr>
      <w:r>
        <w:t xml:space="preserve">By 2022, Beckley’s argument evolved significantly.</w:t>
      </w:r>
      <w:r>
        <w:t xml:space="preserve"> </w:t>
      </w:r>
      <w:r>
        <w:rPr>
          <w:iCs/>
          <w:i/>
        </w:rPr>
        <w:t xml:space="preserve">Danger Zone</w:t>
      </w:r>
      <w:r>
        <w:t xml:space="preserve"> </w:t>
      </w:r>
      <w:r>
        <w:t xml:space="preserve">(with</w:t>
      </w:r>
      <w:r>
        <w:t xml:space="preserve"> </w:t>
      </w:r>
      <w:r>
        <w:t xml:space="preserve">Hal Brands) argues that China behaves aggressively</w:t>
      </w:r>
      <w:r>
        <w:t xml:space="preserve"> </w:t>
      </w:r>
      <w:r>
        <w:t xml:space="preserve">“</w:t>
      </w:r>
      <w:r>
        <w:t xml:space="preserve">not because it is</w:t>
      </w:r>
      <w:r>
        <w:t xml:space="preserve"> </w:t>
      </w:r>
      <w:r>
        <w:t xml:space="preserve">confident, rising power, but because it is peaking power whose economy</w:t>
      </w:r>
      <w:r>
        <w:t xml:space="preserve"> </w:t>
      </w:r>
      <w:r>
        <w:t xml:space="preserve">is slowing while rivals multiply.</w:t>
      </w:r>
      <w:r>
        <w:t xml:space="preserve">”</w:t>
      </w:r>
    </w:p>
    <w:p>
      <w:pPr>
        <w:pStyle w:val="BodyText"/>
      </w:pPr>
      <w:r>
        <w:rPr>
          <w:bCs/>
          <w:b/>
        </w:rPr>
        <w:t xml:space="preserve">Peak China Indicators:</w:t>
      </w:r>
      <w:r>
        <w:t xml:space="preserve"> </w:t>
      </w:r>
      <w:r>
        <w:t xml:space="preserve">- Working-age population peaked 2015 -</w:t>
      </w:r>
      <w:r>
        <w:t xml:space="preserve"> </w:t>
      </w:r>
      <w:r>
        <w:t xml:space="preserve">Property sector crisis (Evergrande default 2021, ongoing contagion) -</w:t>
      </w:r>
      <w:r>
        <w:t xml:space="preserve"> </w:t>
      </w:r>
      <w:r>
        <w:t xml:space="preserve">Total factor productivity growth declining - Technology access</w:t>
      </w:r>
      <w:r>
        <w:t xml:space="preserve"> </w:t>
      </w:r>
      <w:r>
        <w:t xml:space="preserve">restricted (semiconductor export controls) - Youth unemployment elevated</w:t>
      </w:r>
      <w:r>
        <w:t xml:space="preserve"> </w:t>
      </w:r>
      <w:r>
        <w:t xml:space="preserve">(officially over 20% before statistical discontinuation)</w:t>
      </w:r>
    </w:p>
    <w:p>
      <w:pPr>
        <w:pStyle w:val="BodyText"/>
      </w:pPr>
      <w:r>
        <w:rPr>
          <w:bCs/>
          <w:b/>
        </w:rPr>
        <w:t xml:space="preserve">Policy Implications:</w:t>
      </w:r>
    </w:p>
    <w:p>
      <w:pPr>
        <w:pStyle w:val="BodyText"/>
      </w:pPr>
      <w:r>
        <w:t xml:space="preserve">The</w:t>
      </w:r>
      <w:r>
        <w:t xml:space="preserve"> </w:t>
      </w:r>
      <w:r>
        <w:t xml:space="preserve">“</w:t>
      </w:r>
      <w:r>
        <w:t xml:space="preserve">Peak China</w:t>
      </w:r>
      <w:r>
        <w:t xml:space="preserve">”</w:t>
      </w:r>
      <w:r>
        <w:t xml:space="preserve"> </w:t>
      </w:r>
      <w:r>
        <w:t xml:space="preserve">thesis suggests a</w:t>
      </w:r>
      <w:r>
        <w:t xml:space="preserve"> </w:t>
      </w:r>
      <w:r>
        <w:t xml:space="preserve">“</w:t>
      </w:r>
      <w:r>
        <w:t xml:space="preserve">danger zone</w:t>
      </w:r>
      <w:r>
        <w:t xml:space="preserve">”</w:t>
      </w:r>
      <w:r>
        <w:t xml:space="preserve"> </w:t>
      </w:r>
      <w:r>
        <w:t xml:space="preserve">of heightened conflict</w:t>
      </w:r>
      <w:r>
        <w:t xml:space="preserve"> </w:t>
      </w:r>
      <w:r>
        <w:t xml:space="preserve">risk—peaking powers historically more prone to risk-taking. But it</w:t>
      </w:r>
      <w:r>
        <w:t xml:space="preserve"> </w:t>
      </w:r>
      <w:r>
        <w:t xml:space="preserve">also implies that long-term hegemonic challenge from China is less</w:t>
      </w:r>
      <w:r>
        <w:t xml:space="preserve"> </w:t>
      </w:r>
      <w:r>
        <w:t xml:space="preserve">likely than commonly assumed.</w:t>
      </w:r>
    </w:p>
    <w:bookmarkEnd w:id="101"/>
    <w:bookmarkStart w:id="102" w:name="assessment"/>
    <w:p>
      <w:pPr>
        <w:pStyle w:val="Heading3"/>
      </w:pPr>
      <w:r>
        <w:t xml:space="preserve">Assessment</w:t>
      </w:r>
    </w:p>
    <w:p>
      <w:pPr>
        <w:pStyle w:val="FirstParagraph"/>
      </w:pPr>
      <w:r>
        <w:t xml:space="preserve">Beckley’s work represents the most rigorous quantitative challenge to</w:t>
      </w:r>
      <w:r>
        <w:t xml:space="preserve"> </w:t>
      </w:r>
      <w:r>
        <w:t xml:space="preserve">decline narratives. The net resources methodology has faced some</w:t>
      </w:r>
      <w:r>
        <w:t xml:space="preserve"> </w:t>
      </w:r>
      <w:r>
        <w:t xml:space="preserve">criticism (data quality concerns, aggregation challenges) but has not</w:t>
      </w:r>
      <w:r>
        <w:t xml:space="preserve"> </w:t>
      </w:r>
      <w:r>
        <w:t xml:space="preserve">been definitively refuted.</w:t>
      </w:r>
    </w:p>
    <w:p>
      <w:pPr>
        <w:pStyle w:val="BodyText"/>
      </w:pPr>
      <w:r>
        <w:rPr>
          <w:bCs/>
          <w:b/>
        </w:rPr>
        <w:t xml:space="preserve">Integration with CAS Framework:</w:t>
      </w:r>
    </w:p>
    <w:p>
      <w:pPr>
        <w:pStyle w:val="BodyText"/>
      </w:pPr>
      <w:r>
        <w:t xml:space="preserve">The Beckley analysis is</w:t>
      </w:r>
      <w:r>
        <w:t xml:space="preserve"> </w:t>
      </w:r>
      <w:r>
        <w:rPr>
          <w:bCs/>
          <w:b/>
        </w:rPr>
        <w:t xml:space="preserve">compatible with signal crisis</w:t>
      </w:r>
      <w:r>
        <w:rPr>
          <w:bCs/>
          <w:b/>
        </w:rPr>
        <w:t xml:space="preserve"> </w:t>
      </w:r>
      <w:r>
        <w:rPr>
          <w:bCs/>
          <w:b/>
        </w:rPr>
        <w:t xml:space="preserve">interpretation</w:t>
      </w:r>
      <w:r>
        <w:t xml:space="preserve">. It suggests that observed American decline is real but</w:t>
      </w:r>
      <w:r>
        <w:t xml:space="preserve"> </w:t>
      </w:r>
      <w:r>
        <w:t xml:space="preserve">that relative position remains stronger than nominal measures indicate.</w:t>
      </w:r>
      <w:r>
        <w:t xml:space="preserve"> </w:t>
      </w:r>
      <w:r>
        <w:t xml:space="preserve">The absence of credible successor is not merely strategic fortune but</w:t>
      </w:r>
      <w:r>
        <w:t xml:space="preserve"> </w:t>
      </w:r>
      <w:r>
        <w:t xml:space="preserve">reflects structural constraints on rivals.</w:t>
      </w:r>
    </w:p>
    <w:p>
      <w:pPr>
        <w:pStyle w:val="BodyText"/>
      </w:pPr>
      <w:r>
        <w:rPr>
          <w:bCs/>
          <w:b/>
        </w:rPr>
        <w:t xml:space="preserve">Confidence in Counter-Evidence: MODERATE-HIGH</w:t>
      </w:r>
    </w:p>
    <w:p>
      <w:pPr>
        <w:pStyle w:val="BodyText"/>
      </w:pPr>
      <w:r>
        <w:t xml:space="preserve">Beckley’s methodology has gained significant scholarly support. The Peak</w:t>
      </w:r>
      <w:r>
        <w:t xml:space="preserve"> </w:t>
      </w:r>
      <w:r>
        <w:t xml:space="preserve">China thesis remains contested but is consistent with observable</w:t>
      </w:r>
      <w:r>
        <w:t xml:space="preserve"> </w:t>
      </w:r>
      <w:r>
        <w:t xml:space="preserve">evidence (demographic data, property crisis, technology restrictions).</w:t>
      </w:r>
    </w:p>
    <w:bookmarkEnd w:id="102"/>
    <w:bookmarkEnd w:id="103"/>
    <w:bookmarkStart w:id="106" w:name="Xe8e8d0514030407dd5086578932d68eb2ea0c67"/>
    <w:p>
      <w:pPr>
        <w:pStyle w:val="Heading2"/>
      </w:pPr>
      <w:r>
        <w:t xml:space="preserve">Counter-Evidence 2: Brooks and Wohlforth on Unipolarity</w:t>
      </w:r>
    </w:p>
    <w:bookmarkStart w:id="104" w:name="the-core-argument-1"/>
    <w:p>
      <w:pPr>
        <w:pStyle w:val="Heading3"/>
      </w:pPr>
      <w:r>
        <w:t xml:space="preserve">The Core Argument</w:t>
      </w:r>
    </w:p>
    <w:p>
      <w:pPr>
        <w:pStyle w:val="FirstParagraph"/>
      </w:pPr>
      <w:r>
        <w:t xml:space="preserve">Stephen Brooks (Dartmouth) and William Wohlforth (Dartmouth) argued in</w:t>
      </w:r>
      <w:r>
        <w:t xml:space="preserve"> </w:t>
      </w:r>
      <w:r>
        <w:rPr>
          <w:iCs/>
          <w:i/>
        </w:rPr>
        <w:t xml:space="preserve">World Out of Balance: International Relations and the Challenge of</w:t>
      </w:r>
      <w:r>
        <w:rPr>
          <w:iCs/>
          <w:i/>
        </w:rPr>
        <w:t xml:space="preserve"> </w:t>
      </w:r>
      <w:r>
        <w:rPr>
          <w:iCs/>
          <w:i/>
        </w:rPr>
        <w:t xml:space="preserve">American Primacy</w:t>
      </w:r>
      <w:r>
        <w:t xml:space="preserve"> </w:t>
      </w:r>
      <w:r>
        <w:t xml:space="preserve">(2008) that American preponderance is unprecedented in</w:t>
      </w:r>
      <w:r>
        <w:t xml:space="preserve"> </w:t>
      </w:r>
      <w:r>
        <w:t xml:space="preserve">scale and that structural international relations theory predicts</w:t>
      </w:r>
      <w:r>
        <w:t xml:space="preserve"> </w:t>
      </w:r>
      <w:r>
        <w:t xml:space="preserve">balancing coalitions should form—but predicted they would not.</w:t>
      </w:r>
    </w:p>
    <w:p>
      <w:pPr>
        <w:pStyle w:val="BodyText"/>
      </w:pPr>
      <w:r>
        <w:rPr>
          <w:bCs/>
          <w:b/>
        </w:rPr>
        <w:t xml:space="preserve">The Preponderance Claim:</w:t>
      </w:r>
    </w:p>
    <w:p>
      <w:pPr>
        <w:pStyle w:val="BodyText"/>
      </w:pPr>
      <w:r>
        <w:t xml:space="preserve">“</w:t>
      </w:r>
      <w:r>
        <w:t xml:space="preserve">No system of sovereign states has ever contained one state with</w:t>
      </w:r>
      <w:r>
        <w:t xml:space="preserve"> </w:t>
      </w:r>
      <w:r>
        <w:t xml:space="preserve">comparable material preponderance</w:t>
      </w:r>
      <w:r>
        <w:t xml:space="preserve">”</w:t>
      </w:r>
      <w:r>
        <w:t xml:space="preserve"> </w:t>
      </w:r>
      <w:r>
        <w:t xml:space="preserve">as post-Cold War America. By their</w:t>
      </w:r>
      <w:r>
        <w:t xml:space="preserve"> </w:t>
      </w:r>
      <w:r>
        <w:t xml:space="preserve">metrics: - US share of world GDP: ~25% (roughly equivalent to next four</w:t>
      </w:r>
      <w:r>
        <w:t xml:space="preserve"> </w:t>
      </w:r>
      <w:r>
        <w:t xml:space="preserve">powers combined) - Defense spending: Exceeds next ten countries</w:t>
      </w:r>
      <w:r>
        <w:t xml:space="preserve"> </w:t>
      </w:r>
      <w:r>
        <w:t xml:space="preserve">combined - Research and development: Dominant global share - Geographic</w:t>
      </w:r>
      <w:r>
        <w:t xml:space="preserve"> </w:t>
      </w:r>
      <w:r>
        <w:t xml:space="preserve">advantages: No serious regional threats</w:t>
      </w:r>
    </w:p>
    <w:p>
      <w:pPr>
        <w:pStyle w:val="BodyText"/>
      </w:pPr>
      <w:r>
        <w:rPr>
          <w:bCs/>
          <w:b/>
        </w:rPr>
        <w:t xml:space="preserve">The Non-Balancing Prediction:</w:t>
      </w:r>
    </w:p>
    <w:p>
      <w:pPr>
        <w:pStyle w:val="BodyText"/>
      </w:pPr>
      <w:r>
        <w:t xml:space="preserve">Contrary to balance-of-power theory predictions, Brooks and Wohlforth</w:t>
      </w:r>
      <w:r>
        <w:t xml:space="preserve"> </w:t>
      </w:r>
      <w:r>
        <w:t xml:space="preserve">argued balancing coalitions would not form because: - Geographic</w:t>
      </w:r>
      <w:r>
        <w:t xml:space="preserve"> </w:t>
      </w:r>
      <w:r>
        <w:t xml:space="preserve">distance reduces threat perception - Nuclear deterrence limits utility</w:t>
      </w:r>
      <w:r>
        <w:t xml:space="preserve"> </w:t>
      </w:r>
      <w:r>
        <w:t xml:space="preserve">of conquest - Soft power creates preference alignment - Costs of</w:t>
      </w:r>
      <w:r>
        <w:t xml:space="preserve"> </w:t>
      </w:r>
      <w:r>
        <w:t xml:space="preserve">challenging far exceed potential benefits</w:t>
      </w:r>
    </w:p>
    <w:bookmarkEnd w:id="104"/>
    <w:bookmarkStart w:id="105" w:name="seventeen-year-update"/>
    <w:p>
      <w:pPr>
        <w:pStyle w:val="Heading3"/>
      </w:pPr>
      <w:r>
        <w:t xml:space="preserve">Seventeen-Year Update</w:t>
      </w:r>
    </w:p>
    <w:p>
      <w:pPr>
        <w:pStyle w:val="FirstParagraph"/>
      </w:pPr>
      <w:r>
        <w:t xml:space="preserve">Writing in 2008, Brooks and Wohlforth predicted no balancing coalition</w:t>
      </w:r>
      <w:r>
        <w:t xml:space="preserve"> </w:t>
      </w:r>
      <w:r>
        <w:t xml:space="preserve">would form over the following 10-20 years. As of 2025:</w:t>
      </w:r>
    </w:p>
    <w:p>
      <w:pPr>
        <w:pStyle w:val="BodyText"/>
      </w:pPr>
      <w:r>
        <w:rPr>
          <w:bCs/>
          <w:b/>
        </w:rPr>
        <w:t xml:space="preserve">The Prediction Has Held:</w:t>
      </w:r>
      <w:r>
        <w:t xml:space="preserve"> </w:t>
      </w:r>
      <w:r>
        <w:t xml:space="preserve">- No formal anti-American alliance has</w:t>
      </w:r>
      <w:r>
        <w:t xml:space="preserve"> </w:t>
      </w:r>
      <w:r>
        <w:t xml:space="preserve">emerged - BRICS remains economically significant but strategically</w:t>
      </w:r>
      <w:r>
        <w:t xml:space="preserve"> </w:t>
      </w:r>
      <w:r>
        <w:t xml:space="preserve">incoherent - Russia-China partnership falls short of formal alliance -</w:t>
      </w:r>
      <w:r>
        <w:t xml:space="preserve"> </w:t>
      </w:r>
      <w:r>
        <w:t xml:space="preserve">European allies remain within American security architecture - Asian</w:t>
      </w:r>
      <w:r>
        <w:t xml:space="preserve"> </w:t>
      </w:r>
      <w:r>
        <w:t xml:space="preserve">allies (Japan, Korea, Australia, Philippines) have deepened alignment</w:t>
      </w:r>
    </w:p>
    <w:p>
      <w:pPr>
        <w:pStyle w:val="BodyText"/>
      </w:pPr>
      <w:r>
        <w:rPr>
          <w:bCs/>
          <w:b/>
        </w:rPr>
        <w:t xml:space="preserve">Potential Counterarguments:</w:t>
      </w:r>
      <w:r>
        <w:t xml:space="preserve"> </w:t>
      </w:r>
      <w:r>
        <w:t xml:space="preserve">- Russia-China coordination increasing -</w:t>
      </w:r>
      <w:r>
        <w:t xml:space="preserve"> </w:t>
      </w:r>
      <w:r>
        <w:t xml:space="preserve">BRICS expansion (2024) signals alternative order-building - Global South</w:t>
      </w:r>
      <w:r>
        <w:t xml:space="preserve"> </w:t>
      </w:r>
      <w:r>
        <w:t xml:space="preserve">increasingly assertive</w:t>
      </w:r>
    </w:p>
    <w:p>
      <w:pPr>
        <w:pStyle w:val="BodyText"/>
      </w:pPr>
      <w:r>
        <w:rPr>
          <w:bCs/>
          <w:b/>
        </w:rPr>
        <w:t xml:space="preserve">Assessment:</w:t>
      </w:r>
    </w:p>
    <w:p>
      <w:pPr>
        <w:pStyle w:val="BodyText"/>
      </w:pPr>
      <w:r>
        <w:t xml:space="preserve">The non-balancing prediction has proven remarkably durable. While</w:t>
      </w:r>
      <w:r>
        <w:t xml:space="preserve"> </w:t>
      </w:r>
      <w:r>
        <w:t xml:space="preserve">US-China competition has intensified and Russia-China coordination</w:t>
      </w:r>
      <w:r>
        <w:t xml:space="preserve"> </w:t>
      </w:r>
      <w:r>
        <w:t xml:space="preserve">increased, no genuine counter-hegemonic coalition has formed. The</w:t>
      </w:r>
      <w:r>
        <w:t xml:space="preserve"> </w:t>
      </w:r>
      <w:r>
        <w:t xml:space="preserve">structural advantages Brooks and Wohlforth identified—geography,</w:t>
      </w:r>
      <w:r>
        <w:t xml:space="preserve"> </w:t>
      </w:r>
      <w:r>
        <w:t xml:space="preserve">nuclear deterrence, alliance architecture—persist.</w:t>
      </w:r>
    </w:p>
    <w:p>
      <w:pPr>
        <w:pStyle w:val="BodyText"/>
      </w:pPr>
      <w:r>
        <w:rPr>
          <w:bCs/>
          <w:b/>
        </w:rPr>
        <w:t xml:space="preserve">Integration with CAS Framework:</w:t>
      </w:r>
    </w:p>
    <w:p>
      <w:pPr>
        <w:pStyle w:val="BodyText"/>
      </w:pPr>
      <w:r>
        <w:t xml:space="preserve">The Brooks-Wohlforth analysis supports the argument that American</w:t>
      </w:r>
      <w:r>
        <w:t xml:space="preserve"> </w:t>
      </w:r>
      <w:r>
        <w:t xml:space="preserve">decline, while real, has not yet reached the threshold prompting</w:t>
      </w:r>
      <w:r>
        <w:t xml:space="preserve"> </w:t>
      </w:r>
      <w:r>
        <w:t xml:space="preserve">balancing responses. In Arrighi’s terminology, this is consistent with</w:t>
      </w:r>
      <w:r>
        <w:t xml:space="preserve"> </w:t>
      </w:r>
      <w:r>
        <w:t xml:space="preserve">signal crisis (where hegemonic capacity remains sufficient to deter</w:t>
      </w:r>
      <w:r>
        <w:t xml:space="preserve"> </w:t>
      </w:r>
      <w:r>
        <w:t xml:space="preserve">challengers) rather than terminal decline (where challengers actively</w:t>
      </w:r>
      <w:r>
        <w:t xml:space="preserve"> </w:t>
      </w:r>
      <w:r>
        <w:t xml:space="preserve">coordinate succession).</w:t>
      </w:r>
    </w:p>
    <w:p>
      <w:pPr>
        <w:pStyle w:val="BodyText"/>
      </w:pPr>
      <w:r>
        <w:rPr>
          <w:bCs/>
          <w:b/>
        </w:rPr>
        <w:t xml:space="preserve">Confidence in Counter-Evidence: HIGH</w:t>
      </w:r>
    </w:p>
    <w:p>
      <w:pPr>
        <w:pStyle w:val="BodyText"/>
      </w:pPr>
      <w:r>
        <w:t xml:space="preserve">The non-balancing prediction has been substantially validated by events.</w:t>
      </w:r>
      <w:r>
        <w:t xml:space="preserve"> </w:t>
      </w:r>
      <w:r>
        <w:t xml:space="preserve">The theory’s explanatory power remains strong.</w:t>
      </w:r>
    </w:p>
    <w:bookmarkEnd w:id="105"/>
    <w:bookmarkEnd w:id="106"/>
    <w:bookmarkStart w:id="110" w:name="X57cfaca0649f071d603c4785720a746222e848e"/>
    <w:p>
      <w:pPr>
        <w:pStyle w:val="Heading2"/>
      </w:pPr>
      <w:r>
        <w:t xml:space="preserve">Counter-Evidence 3: G. John Ikenberry on Liberal Order Durability</w:t>
      </w:r>
    </w:p>
    <w:bookmarkStart w:id="107" w:name="the-core-argument-2"/>
    <w:p>
      <w:pPr>
        <w:pStyle w:val="Heading3"/>
      </w:pPr>
      <w:r>
        <w:t xml:space="preserve">The Core Argument</w:t>
      </w:r>
    </w:p>
    <w:p>
      <w:pPr>
        <w:pStyle w:val="FirstParagraph"/>
      </w:pPr>
      <w:r>
        <w:t xml:space="preserve">G. John Ikenberry (Princeton) distinguishes between crisis of American</w:t>
      </w:r>
      <w:r>
        <w:t xml:space="preserve"> </w:t>
      </w:r>
      <w:r>
        <w:t xml:space="preserve">leadership and crisis of the liberal international order itself. In</w:t>
      </w:r>
      <w:r>
        <w:t xml:space="preserve"> </w:t>
      </w:r>
      <w:r>
        <w:t xml:space="preserve">“</w:t>
      </w:r>
      <w:r>
        <w:t xml:space="preserve">The</w:t>
      </w:r>
      <w:r>
        <w:t xml:space="preserve"> </w:t>
      </w:r>
      <w:r>
        <w:t xml:space="preserve">End of Liberal International Order?</w:t>
      </w:r>
      <w:r>
        <w:t xml:space="preserve">”</w:t>
      </w:r>
      <w:r>
        <w:t xml:space="preserve"> </w:t>
      </w:r>
      <w:r>
        <w:t xml:space="preserve">(</w:t>
      </w:r>
      <w:r>
        <w:rPr>
          <w:iCs/>
          <w:i/>
        </w:rPr>
        <w:t xml:space="preserve">International Affairs</w:t>
      </w:r>
      <w:r>
        <w:t xml:space="preserve">, 2018) and</w:t>
      </w:r>
      <w:r>
        <w:t xml:space="preserve"> </w:t>
      </w:r>
      <w:r>
        <w:t xml:space="preserve">subsequent work, he argues:</w:t>
      </w:r>
    </w:p>
    <w:p>
      <w:pPr>
        <w:pStyle w:val="BodyText"/>
      </w:pPr>
      <w:r>
        <w:rPr>
          <w:bCs/>
          <w:b/>
        </w:rPr>
        <w:t xml:space="preserve">The Distinction:</w:t>
      </w:r>
    </w:p>
    <w:p>
      <w:pPr>
        <w:pStyle w:val="BodyText"/>
      </w:pPr>
      <w:r>
        <w:t xml:space="preserve">“</w:t>
      </w:r>
      <w:r>
        <w:t xml:space="preserve">It is a crisis of American governance of liberal order, not liberal</w:t>
      </w:r>
      <w:r>
        <w:t xml:space="preserve"> </w:t>
      </w:r>
      <w:r>
        <w:t xml:space="preserve">order itself. The constituencies for a rules-based international order</w:t>
      </w:r>
      <w:r>
        <w:t xml:space="preserve"> </w:t>
      </w:r>
      <w:r>
        <w:t xml:space="preserve">are expanding, not declining.</w:t>
      </w:r>
      <w:r>
        <w:t xml:space="preserve">”</w:t>
      </w:r>
    </w:p>
    <w:p>
      <w:pPr>
        <w:pStyle w:val="BodyText"/>
      </w:pPr>
      <w:r>
        <w:rPr>
          <w:bCs/>
          <w:b/>
        </w:rPr>
        <w:t xml:space="preserve">Evidence for Order Durability:</w:t>
      </w:r>
      <w:r>
        <w:t xml:space="preserve"> </w:t>
      </w:r>
      <w:r>
        <w:t xml:space="preserve">- International institutions remain</w:t>
      </w:r>
      <w:r>
        <w:t xml:space="preserve"> </w:t>
      </w:r>
      <w:r>
        <w:t xml:space="preserve">functional (WTO dispute resolution used heavily) - Treaty compliance</w:t>
      </w:r>
      <w:r>
        <w:t xml:space="preserve"> </w:t>
      </w:r>
      <w:r>
        <w:t xml:space="preserve">rates remain high - Multilateral cooperation persists (pandemic</w:t>
      </w:r>
      <w:r>
        <w:t xml:space="preserve"> </w:t>
      </w:r>
      <w:r>
        <w:t xml:space="preserve">response, climate agreements) - Democratic allies maintain shared</w:t>
      </w:r>
      <w:r>
        <w:t xml:space="preserve"> </w:t>
      </w:r>
      <w:r>
        <w:t xml:space="preserve">commitments - Rising powers seek voice within institutions, not</w:t>
      </w:r>
      <w:r>
        <w:t xml:space="preserve"> </w:t>
      </w:r>
      <w:r>
        <w:t xml:space="preserve">destruction of them</w:t>
      </w:r>
    </w:p>
    <w:p>
      <w:pPr>
        <w:pStyle w:val="BodyText"/>
      </w:pPr>
      <w:r>
        <w:rPr>
          <w:bCs/>
          <w:b/>
        </w:rPr>
        <w:t xml:space="preserve">China’s Relationship to Order:</w:t>
      </w:r>
    </w:p>
    <w:p>
      <w:pPr>
        <w:pStyle w:val="BodyText"/>
      </w:pPr>
      <w:r>
        <w:t xml:space="preserve">Ikenberry argues China is not a revisionist power seeking to destroy the</w:t>
      </w:r>
      <w:r>
        <w:t xml:space="preserve"> </w:t>
      </w:r>
      <w:r>
        <w:t xml:space="preserve">liberal order but a reformist power seeking greater voice within it.</w:t>
      </w:r>
      <w:r>
        <w:t xml:space="preserve"> </w:t>
      </w:r>
      <w:r>
        <w:t xml:space="preserve">Evidence: - WTO membership and compliance - Regional institution</w:t>
      </w:r>
      <w:r>
        <w:t xml:space="preserve"> </w:t>
      </w:r>
      <w:r>
        <w:t xml:space="preserve">building (AIIB) complementing rather than replacing existing</w:t>
      </w:r>
      <w:r>
        <w:t xml:space="preserve"> </w:t>
      </w:r>
      <w:r>
        <w:t xml:space="preserve">architecture - Trade dependence on rules-based system - No coherent</w:t>
      </w:r>
      <w:r>
        <w:t xml:space="preserve"> </w:t>
      </w:r>
      <w:r>
        <w:t xml:space="preserve">alternative order proposed</w:t>
      </w:r>
    </w:p>
    <w:bookmarkEnd w:id="107"/>
    <w:bookmarkStart w:id="108" w:name="update"/>
    <w:p>
      <w:pPr>
        <w:pStyle w:val="Heading3"/>
      </w:pPr>
      <w:r>
        <w:t xml:space="preserve">2024 Update</w:t>
      </w:r>
    </w:p>
    <w:p>
      <w:pPr>
        <w:pStyle w:val="FirstParagraph"/>
      </w:pPr>
      <w:r>
        <w:t xml:space="preserve">Ikenberry’s recent work acknowledges increased stress but maintains the</w:t>
      </w:r>
      <w:r>
        <w:t xml:space="preserve"> </w:t>
      </w:r>
      <w:r>
        <w:t xml:space="preserve">core distinction:</w:t>
      </w:r>
    </w:p>
    <w:p>
      <w:pPr>
        <w:pStyle w:val="BodyText"/>
      </w:pPr>
      <w:r>
        <w:rPr>
          <w:bCs/>
          <w:b/>
        </w:rPr>
        <w:t xml:space="preserve">What Has Changed:</w:t>
      </w:r>
      <w:r>
        <w:t xml:space="preserve"> </w:t>
      </w:r>
      <w:r>
        <w:t xml:space="preserve">- American commitment more contested</w:t>
      </w:r>
      <w:r>
        <w:t xml:space="preserve"> </w:t>
      </w:r>
      <w:r>
        <w:t xml:space="preserve">domestically - Competition with China intensified - Multilateral</w:t>
      </w:r>
      <w:r>
        <w:t xml:space="preserve"> </w:t>
      </w:r>
      <w:r>
        <w:t xml:space="preserve">institutions under pressure - Regional fragmentation increased</w:t>
      </w:r>
    </w:p>
    <w:p>
      <w:pPr>
        <w:pStyle w:val="BodyText"/>
      </w:pPr>
      <w:r>
        <w:rPr>
          <w:bCs/>
          <w:b/>
        </w:rPr>
        <w:t xml:space="preserve">What Has Not Changed:</w:t>
      </w:r>
      <w:r>
        <w:t xml:space="preserve"> </w:t>
      </w:r>
      <w:r>
        <w:t xml:space="preserve">- No alternative order has emerged -</w:t>
      </w:r>
      <w:r>
        <w:t xml:space="preserve"> </w:t>
      </w:r>
      <w:r>
        <w:t xml:space="preserve">Institutions continue functioning - Allied commitment persists - Trade</w:t>
      </w:r>
      <w:r>
        <w:t xml:space="preserve"> </w:t>
      </w:r>
      <w:r>
        <w:t xml:space="preserve">and investment remain globalized</w:t>
      </w:r>
    </w:p>
    <w:bookmarkEnd w:id="108"/>
    <w:bookmarkStart w:id="109" w:name="assessment-1"/>
    <w:p>
      <w:pPr>
        <w:pStyle w:val="Heading3"/>
      </w:pPr>
      <w:r>
        <w:t xml:space="preserve">Assessment</w:t>
      </w:r>
    </w:p>
    <w:p>
      <w:pPr>
        <w:pStyle w:val="FirstParagraph"/>
      </w:pPr>
      <w:r>
        <w:t xml:space="preserve">The Ikenberry analysis offers important nuance: American hegemonic</w:t>
      </w:r>
      <w:r>
        <w:t xml:space="preserve"> </w:t>
      </w:r>
      <w:r>
        <w:t xml:space="preserve">decline is not equivalent to liberal order collapse. The order has</w:t>
      </w:r>
      <w:r>
        <w:t xml:space="preserve"> </w:t>
      </w:r>
      <w:r>
        <w:t xml:space="preserve">institutional momentum independent of American leadership quality at any</w:t>
      </w:r>
      <w:r>
        <w:t xml:space="preserve"> </w:t>
      </w:r>
      <w:r>
        <w:t xml:space="preserve">given moment.</w:t>
      </w:r>
    </w:p>
    <w:p>
      <w:pPr>
        <w:pStyle w:val="BodyText"/>
      </w:pPr>
      <w:r>
        <w:rPr>
          <w:bCs/>
          <w:b/>
        </w:rPr>
        <w:t xml:space="preserve">Integration with CAS Framework:</w:t>
      </w:r>
    </w:p>
    <w:p>
      <w:pPr>
        <w:pStyle w:val="BodyText"/>
      </w:pPr>
      <w:r>
        <w:t xml:space="preserve">This counter-evidence suggests the CAS framework may underweight</w:t>
      </w:r>
      <w:r>
        <w:t xml:space="preserve"> </w:t>
      </w:r>
      <w:r>
        <w:t xml:space="preserve">institutional durability. The nine-domain analysis focuses on American</w:t>
      </w:r>
      <w:r>
        <w:t xml:space="preserve"> </w:t>
      </w:r>
      <w:r>
        <w:t xml:space="preserve">institutions; Ikenberry reminds us that international institutional</w:t>
      </w:r>
      <w:r>
        <w:t xml:space="preserve"> </w:t>
      </w:r>
      <w:r>
        <w:t xml:space="preserve">infrastructure provides additional resilience. The</w:t>
      </w:r>
      <w:r>
        <w:t xml:space="preserve"> </w:t>
      </w:r>
      <w:r>
        <w:t xml:space="preserve">“</w:t>
      </w:r>
      <w:r>
        <w:t xml:space="preserve">1694 thesis</w:t>
      </w:r>
      <w:r>
        <w:t xml:space="preserve">”</w:t>
      </w:r>
      <w:r>
        <w:t xml:space="preserve"> </w:t>
      </w:r>
      <w:r>
        <w:t xml:space="preserve">institutional transfer framework may need refinement to account for</w:t>
      </w:r>
      <w:r>
        <w:t xml:space="preserve"> </w:t>
      </w:r>
      <w:r>
        <w:t xml:space="preserve">multilateral institutional continuity during hegemonic transitions.</w:t>
      </w:r>
    </w:p>
    <w:p>
      <w:pPr>
        <w:pStyle w:val="BodyText"/>
      </w:pPr>
      <w:r>
        <w:rPr>
          <w:bCs/>
          <w:b/>
        </w:rPr>
        <w:t xml:space="preserve">Confidence in Counter-Evidence: MODERATE-HIGH</w:t>
      </w:r>
    </w:p>
    <w:p>
      <w:pPr>
        <w:pStyle w:val="BodyText"/>
      </w:pPr>
      <w:r>
        <w:t xml:space="preserve">The distinction between American leadership and liberal order has</w:t>
      </w:r>
      <w:r>
        <w:t xml:space="preserve"> </w:t>
      </w:r>
      <w:r>
        <w:t xml:space="preserve">analytical value. However, the degree to which the order can survive</w:t>
      </w:r>
      <w:r>
        <w:t xml:space="preserve"> </w:t>
      </w:r>
      <w:r>
        <w:t xml:space="preserve">prolonged American disengagement remains untested.</w:t>
      </w:r>
    </w:p>
    <w:bookmarkEnd w:id="109"/>
    <w:bookmarkEnd w:id="110"/>
    <w:bookmarkStart w:id="115" w:name="X7cd6fa4d1e8702ba6687ea7063a710fd8338cf6"/>
    <w:p>
      <w:pPr>
        <w:pStyle w:val="Heading2"/>
      </w:pPr>
      <w:r>
        <w:t xml:space="preserve">Counter-Evidence 4: Adam Tooze on Dollar System Resilience</w:t>
      </w:r>
    </w:p>
    <w:bookmarkStart w:id="111" w:name="the-core-argument-3"/>
    <w:p>
      <w:pPr>
        <w:pStyle w:val="Heading3"/>
      </w:pPr>
      <w:r>
        <w:t xml:space="preserve">The Core Argument</w:t>
      </w:r>
    </w:p>
    <w:p>
      <w:pPr>
        <w:pStyle w:val="FirstParagraph"/>
      </w:pPr>
      <w:r>
        <w:t xml:space="preserve">Adam Tooze (Columbia) has consistently argued that dollar system</w:t>
      </w:r>
      <w:r>
        <w:t xml:space="preserve"> </w:t>
      </w:r>
      <w:r>
        <w:t xml:space="preserve">alternatives are</w:t>
      </w:r>
      <w:r>
        <w:t xml:space="preserve"> </w:t>
      </w:r>
      <w:r>
        <w:t xml:space="preserve">“</w:t>
      </w:r>
      <w:r>
        <w:t xml:space="preserve">finance fiction.</w:t>
      </w:r>
      <w:r>
        <w:t xml:space="preserve">”</w:t>
      </w:r>
      <w:r>
        <w:t xml:space="preserve"> </w:t>
      </w:r>
      <w:r>
        <w:t xml:space="preserve">In</w:t>
      </w:r>
      <w:r>
        <w:t xml:space="preserve"> </w:t>
      </w:r>
      <w:r>
        <w:rPr>
          <w:iCs/>
          <w:i/>
        </w:rPr>
        <w:t xml:space="preserve">Crashed</w:t>
      </w:r>
      <w:r>
        <w:t xml:space="preserve"> </w:t>
      </w:r>
      <w:r>
        <w:t xml:space="preserve">(2018),</w:t>
      </w:r>
      <w:r>
        <w:t xml:space="preserve"> </w:t>
      </w:r>
      <w:r>
        <w:rPr>
          <w:iCs/>
          <w:i/>
        </w:rPr>
        <w:t xml:space="preserve">Shutdown</w:t>
      </w:r>
      <w:r>
        <w:t xml:space="preserve"> </w:t>
      </w:r>
      <w:r>
        <w:t xml:space="preserve">(2021), and ongoing Chartbook commentary, he emphasizes structural</w:t>
      </w:r>
      <w:r>
        <w:t xml:space="preserve"> </w:t>
      </w:r>
      <w:r>
        <w:t xml:space="preserve">lock-in:</w:t>
      </w:r>
    </w:p>
    <w:p>
      <w:pPr>
        <w:pStyle w:val="BodyText"/>
      </w:pPr>
      <w:r>
        <w:rPr>
          <w:bCs/>
          <w:b/>
        </w:rPr>
        <w:t xml:space="preserve">Why Alternatives Fail:</w:t>
      </w:r>
    </w:p>
    <w:p>
      <w:pPr>
        <w:pStyle w:val="BodyText"/>
      </w:pPr>
      <w:r>
        <w:t xml:space="preserve">“</w:t>
      </w:r>
      <w:r>
        <w:t xml:space="preserve">There is nowhere else to go.</w:t>
      </w:r>
      <w:r>
        <w:t xml:space="preserve">”</w:t>
      </w:r>
      <w:r>
        <w:t xml:space="preserve"> </w:t>
      </w:r>
      <w:r>
        <w:t xml:space="preserve">The dollar system persists because:</w:t>
      </w:r>
    </w:p>
    <w:p>
      <w:pPr>
        <w:pStyle w:val="BodyText"/>
      </w:pPr>
      <w:r>
        <w:rPr>
          <w:iCs/>
          <w:i/>
        </w:rPr>
        <w:t xml:space="preserve">Depth:</w:t>
      </w:r>
      <w:r>
        <w:t xml:space="preserve"> </w:t>
      </w:r>
      <w:r>
        <w:t xml:space="preserve">US Treasury markets are deepest and most liquid in the world -</w:t>
      </w:r>
      <w:r>
        <w:t xml:space="preserve"> </w:t>
      </w:r>
      <w:r>
        <w:t xml:space="preserve">$27+ trillion in marketable securities - $750+ billion daily trading</w:t>
      </w:r>
      <w:r>
        <w:t xml:space="preserve"> </w:t>
      </w:r>
      <w:r>
        <w:t xml:space="preserve">volume - Benchmark for global financial pricing</w:t>
      </w:r>
    </w:p>
    <w:p>
      <w:pPr>
        <w:pStyle w:val="BodyText"/>
      </w:pPr>
      <w:r>
        <w:rPr>
          <w:iCs/>
          <w:i/>
        </w:rPr>
        <w:t xml:space="preserve">Legal Infrastructure:</w:t>
      </w:r>
      <w:r>
        <w:t xml:space="preserve"> </w:t>
      </w:r>
      <w:r>
        <w:t xml:space="preserve">Dollar contracts enforceable under New York</w:t>
      </w:r>
      <w:r>
        <w:t xml:space="preserve"> </w:t>
      </w:r>
      <w:r>
        <w:t xml:space="preserve">law - Rule of law credibility - Contract enforcement predictability -</w:t>
      </w:r>
      <w:r>
        <w:t xml:space="preserve"> </w:t>
      </w:r>
      <w:r>
        <w:t xml:space="preserve">Bankruptcy regime sophistication</w:t>
      </w:r>
    </w:p>
    <w:p>
      <w:pPr>
        <w:pStyle w:val="BodyText"/>
      </w:pPr>
      <w:r>
        <w:rPr>
          <w:iCs/>
          <w:i/>
        </w:rPr>
        <w:t xml:space="preserve">Network Effects:</w:t>
      </w:r>
      <w:r>
        <w:t xml:space="preserve"> </w:t>
      </w:r>
      <w:r>
        <w:t xml:space="preserve">Switching costs prohibitive - Trade invoicing</w:t>
      </w:r>
      <w:r>
        <w:t xml:space="preserve"> </w:t>
      </w:r>
      <w:r>
        <w:t xml:space="preserve">inertia - Financial system integration - Reserve management practices</w:t>
      </w:r>
    </w:p>
    <w:p>
      <w:pPr>
        <w:pStyle w:val="BodyText"/>
      </w:pPr>
      <w:r>
        <w:rPr>
          <w:iCs/>
          <w:i/>
        </w:rPr>
        <w:t xml:space="preserve">Lender of Last Resort:</w:t>
      </w:r>
      <w:r>
        <w:t xml:space="preserve"> </w:t>
      </w:r>
      <w:r>
        <w:t xml:space="preserve">Fed willingness to provide unlimited</w:t>
      </w:r>
      <w:r>
        <w:t xml:space="preserve"> </w:t>
      </w:r>
      <w:r>
        <w:t xml:space="preserve">liquidity - Swap lines demonstrated in 2008 and 2020 - No alternative</w:t>
      </w:r>
      <w:r>
        <w:t xml:space="preserve"> </w:t>
      </w:r>
      <w:r>
        <w:t xml:space="preserve">central bank offers equivalent - Kindleberger function institutionalized</w:t>
      </w:r>
    </w:p>
    <w:bookmarkEnd w:id="111"/>
    <w:bookmarkStart w:id="112" w:name="assessment-of-alternatives"/>
    <w:p>
      <w:pPr>
        <w:pStyle w:val="Heading3"/>
      </w:pPr>
      <w:r>
        <w:t xml:space="preserve">Assessment of Alternatives</w:t>
      </w:r>
    </w:p>
    <w:p>
      <w:pPr>
        <w:pStyle w:val="FirstParagraph"/>
      </w:pPr>
      <w:r>
        <w:rPr>
          <w:bCs/>
          <w:b/>
        </w:rPr>
        <w:t xml:space="preserve">Euro:</w:t>
      </w:r>
      <w:r>
        <w:t xml:space="preserve"> </w:t>
      </w:r>
      <w:r>
        <w:t xml:space="preserve">- Lacks fiscal union - Political fragmentation - No equivalent</w:t>
      </w:r>
      <w:r>
        <w:t xml:space="preserve"> </w:t>
      </w:r>
      <w:r>
        <w:t xml:space="preserve">safe asset depth - Limited to approximately 20% reserve share</w:t>
      </w:r>
    </w:p>
    <w:p>
      <w:pPr>
        <w:pStyle w:val="BodyText"/>
      </w:pPr>
      <w:r>
        <w:rPr>
          <w:bCs/>
          <w:b/>
        </w:rPr>
        <w:t xml:space="preserve">Renminbi:</w:t>
      </w:r>
      <w:r>
        <w:t xml:space="preserve"> </w:t>
      </w:r>
      <w:r>
        <w:t xml:space="preserve">- Capital controls remain - Limited convertibility - Rule</w:t>
      </w:r>
      <w:r>
        <w:t xml:space="preserve"> </w:t>
      </w:r>
      <w:r>
        <w:t xml:space="preserve">of law concerns - No lender of last resort commitment - 2.12% reserve</w:t>
      </w:r>
      <w:r>
        <w:t xml:space="preserve"> </w:t>
      </w:r>
      <w:r>
        <w:t xml:space="preserve">share after two decades of effort</w:t>
      </w:r>
    </w:p>
    <w:p>
      <w:pPr>
        <w:pStyle w:val="BodyText"/>
      </w:pPr>
      <w:r>
        <w:rPr>
          <w:bCs/>
          <w:b/>
        </w:rPr>
        <w:t xml:space="preserve">Cryptocurrency/CBDC:</w:t>
      </w:r>
      <w:r>
        <w:t xml:space="preserve"> </w:t>
      </w:r>
      <w:r>
        <w:t xml:space="preserve">- Volatility prohibitive for reserves - No</w:t>
      </w:r>
      <w:r>
        <w:t xml:space="preserve"> </w:t>
      </w:r>
      <w:r>
        <w:t xml:space="preserve">institutional backing - Limited acceptance - Regulatory uncertainty</w:t>
      </w:r>
    </w:p>
    <w:p>
      <w:pPr>
        <w:pStyle w:val="BodyText"/>
      </w:pPr>
      <w:r>
        <w:rPr>
          <w:bCs/>
          <w:b/>
        </w:rPr>
        <w:t xml:space="preserve">Gold/Commodities:</w:t>
      </w:r>
      <w:r>
        <w:t xml:space="preserve"> </w:t>
      </w:r>
      <w:r>
        <w:t xml:space="preserve">- No yield - Storage costs - Limited liquidity -</w:t>
      </w:r>
      <w:r>
        <w:t xml:space="preserve"> </w:t>
      </w:r>
      <w:r>
        <w:t xml:space="preserve">Price volatility</w:t>
      </w:r>
    </w:p>
    <w:bookmarkEnd w:id="112"/>
    <w:bookmarkStart w:id="113" w:name="the-pozsar-episode"/>
    <w:p>
      <w:pPr>
        <w:pStyle w:val="Heading3"/>
      </w:pPr>
      <w:r>
        <w:t xml:space="preserve">The Pozsar Episode</w:t>
      </w:r>
    </w:p>
    <w:p>
      <w:pPr>
        <w:pStyle w:val="FirstParagraph"/>
      </w:pPr>
      <w:r>
        <w:t xml:space="preserve">Zoltan Pozsar’s</w:t>
      </w:r>
      <w:r>
        <w:t xml:space="preserve"> </w:t>
      </w:r>
      <w:r>
        <w:t xml:space="preserve">“</w:t>
      </w:r>
      <w:r>
        <w:t xml:space="preserve">Bretton Woods III</w:t>
      </w:r>
      <w:r>
        <w:t xml:space="preserve">”</w:t>
      </w:r>
      <w:r>
        <w:t xml:space="preserve"> </w:t>
      </w:r>
      <w:r>
        <w:t xml:space="preserve">thesis (March 2022) predicted</w:t>
      </w:r>
      <w:r>
        <w:t xml:space="preserve"> </w:t>
      </w:r>
      <w:r>
        <w:t xml:space="preserve">commodity-backed currencies would challenge dollar hegemony following</w:t>
      </w:r>
      <w:r>
        <w:t xml:space="preserve"> </w:t>
      </w:r>
      <w:r>
        <w:t xml:space="preserve">Russian sanctions. Within six months, Pozsar substantially walked back</w:t>
      </w:r>
      <w:r>
        <w:t xml:space="preserve"> </w:t>
      </w:r>
      <w:r>
        <w:t xml:space="preserve">the thesis: - Commodity currencies did not emerge - Dollar strengthened</w:t>
      </w:r>
      <w:r>
        <w:t xml:space="preserve"> </w:t>
      </w:r>
      <w:r>
        <w:t xml:space="preserve">during 2022 stress - Even sanctioned states continued seeking dollar</w:t>
      </w:r>
      <w:r>
        <w:t xml:space="preserve"> </w:t>
      </w:r>
      <w:r>
        <w:t xml:space="preserve">access - No alternative payment system scaled</w:t>
      </w:r>
    </w:p>
    <w:bookmarkEnd w:id="113"/>
    <w:bookmarkStart w:id="114" w:name="integration-with-cas-framework"/>
    <w:p>
      <w:pPr>
        <w:pStyle w:val="Heading3"/>
      </w:pPr>
      <w:r>
        <w:t xml:space="preserve">Integration with CAS Framework</w:t>
      </w:r>
    </w:p>
    <w:p>
      <w:pPr>
        <w:pStyle w:val="FirstParagraph"/>
      </w:pPr>
      <w:r>
        <w:t xml:space="preserve">Tooze’s analysis is fully compatible with the financial domain</w:t>
      </w:r>
      <w:r>
        <w:t xml:space="preserve"> </w:t>
      </w:r>
      <w:r>
        <w:t xml:space="preserve">assessment. The dollar system shows structural resilience even as</w:t>
      </w:r>
      <w:r>
        <w:t xml:space="preserve"> </w:t>
      </w:r>
      <w:r>
        <w:t xml:space="preserve">reserve share declines. Diversification occurs</w:t>
      </w:r>
      <w:r>
        <w:t xml:space="preserve"> </w:t>
      </w:r>
      <w:r>
        <w:rPr>
          <w:iCs/>
          <w:i/>
        </w:rPr>
        <w:t xml:space="preserve">within</w:t>
      </w:r>
      <w:r>
        <w:t xml:space="preserve"> </w:t>
      </w:r>
      <w:r>
        <w:t xml:space="preserve">the dollar-based</w:t>
      </w:r>
      <w:r>
        <w:t xml:space="preserve"> </w:t>
      </w:r>
      <w:r>
        <w:t xml:space="preserve">system (to Fed swap network currencies) rather than</w:t>
      </w:r>
      <w:r>
        <w:t xml:space="preserve"> </w:t>
      </w:r>
      <w:r>
        <w:rPr>
          <w:iCs/>
          <w:i/>
        </w:rPr>
        <w:t xml:space="preserve">away from</w:t>
      </w:r>
      <w:r>
        <w:t xml:space="preserve"> </w:t>
      </w:r>
      <w:r>
        <w:t xml:space="preserve">it.</w:t>
      </w:r>
    </w:p>
    <w:p>
      <w:pPr>
        <w:pStyle w:val="BodyText"/>
      </w:pPr>
      <w:r>
        <w:t xml:space="preserve">The de-dollarization narrative conflates: - Reduced dollar concentration</w:t>
      </w:r>
      <w:r>
        <w:t xml:space="preserve"> </w:t>
      </w:r>
      <w:r>
        <w:t xml:space="preserve">(real, occurring) - Dollar system collapse (not occurring)</w:t>
      </w:r>
    </w:p>
    <w:p>
      <w:pPr>
        <w:pStyle w:val="BodyText"/>
      </w:pPr>
      <w:r>
        <w:rPr>
          <w:bCs/>
          <w:b/>
        </w:rPr>
        <w:t xml:space="preserve">Confidence in Counter-Evidence: HIGH</w:t>
      </w:r>
    </w:p>
    <w:p>
      <w:pPr>
        <w:pStyle w:val="BodyText"/>
      </w:pPr>
      <w:r>
        <w:t xml:space="preserve">The structural lock-in argument has strong empirical support. No</w:t>
      </w:r>
      <w:r>
        <w:t xml:space="preserve"> </w:t>
      </w:r>
      <w:r>
        <w:t xml:space="preserve">credible alternative has emerged despite decades of predictions.</w:t>
      </w:r>
    </w:p>
    <w:bookmarkEnd w:id="114"/>
    <w:bookmarkEnd w:id="115"/>
    <w:bookmarkStart w:id="116" w:name="synthesis-what-counter-evidence-reveals"/>
    <w:p>
      <w:pPr>
        <w:pStyle w:val="Heading2"/>
      </w:pPr>
      <w:r>
        <w:t xml:space="preserve">Synthesis: What Counter-Evidence Reveals</w:t>
      </w:r>
    </w:p>
    <w:p>
      <w:pPr>
        <w:pStyle w:val="FirstParagraph"/>
      </w:pPr>
      <w:r>
        <w:t xml:space="preserve">The strongest counter-evidence does not deny American decline but</w:t>
      </w:r>
      <w:r>
        <w:t xml:space="preserve"> </w:t>
      </w:r>
      <w:r>
        <w:t xml:space="preserve">contextualizes it:</w:t>
      </w:r>
    </w:p>
    <w:p>
      <w:pPr>
        <w:numPr>
          <w:ilvl w:val="0"/>
          <w:numId w:val="1003"/>
        </w:numPr>
        <w:pStyle w:val="Compact"/>
      </w:pPr>
      <w:r>
        <w:rPr>
          <w:bCs/>
          <w:b/>
        </w:rPr>
        <w:t xml:space="preserve">Beckley:</w:t>
      </w:r>
      <w:r>
        <w:t xml:space="preserve"> </w:t>
      </w:r>
      <w:r>
        <w:t xml:space="preserve">Decline is real but relative position stronger than</w:t>
      </w:r>
      <w:r>
        <w:t xml:space="preserve"> </w:t>
      </w:r>
      <w:r>
        <w:t xml:space="preserve">nominal indicators suggest; challengers face structural constraints</w:t>
      </w:r>
    </w:p>
    <w:p>
      <w:pPr>
        <w:numPr>
          <w:ilvl w:val="0"/>
          <w:numId w:val="1003"/>
        </w:numPr>
        <w:pStyle w:val="Compact"/>
      </w:pPr>
      <w:r>
        <w:rPr>
          <w:bCs/>
          <w:b/>
        </w:rPr>
        <w:t xml:space="preserve">Brooks/Wohlforth:</w:t>
      </w:r>
      <w:r>
        <w:t xml:space="preserve"> </w:t>
      </w:r>
      <w:r>
        <w:t xml:space="preserve">Decline has not triggered balancing responses;</w:t>
      </w:r>
      <w:r>
        <w:t xml:space="preserve"> </w:t>
      </w:r>
      <w:r>
        <w:t xml:space="preserve">structural advantages persist</w:t>
      </w:r>
    </w:p>
    <w:p>
      <w:pPr>
        <w:numPr>
          <w:ilvl w:val="0"/>
          <w:numId w:val="1003"/>
        </w:numPr>
        <w:pStyle w:val="Compact"/>
      </w:pPr>
      <w:r>
        <w:rPr>
          <w:bCs/>
          <w:b/>
        </w:rPr>
        <w:t xml:space="preserve">Ikenberry:</w:t>
      </w:r>
      <w:r>
        <w:t xml:space="preserve"> </w:t>
      </w:r>
      <w:r>
        <w:t xml:space="preserve">American leadership decline does not equal liberal</w:t>
      </w:r>
      <w:r>
        <w:t xml:space="preserve"> </w:t>
      </w:r>
      <w:r>
        <w:t xml:space="preserve">order collapse; institutional infrastructure provides resilience</w:t>
      </w:r>
    </w:p>
    <w:p>
      <w:pPr>
        <w:numPr>
          <w:ilvl w:val="0"/>
          <w:numId w:val="1003"/>
        </w:numPr>
        <w:pStyle w:val="Compact"/>
      </w:pPr>
      <w:r>
        <w:rPr>
          <w:bCs/>
          <w:b/>
        </w:rPr>
        <w:t xml:space="preserve">Tooze:</w:t>
      </w:r>
      <w:r>
        <w:t xml:space="preserve"> </w:t>
      </w:r>
      <w:r>
        <w:t xml:space="preserve">Financial hegemony shows structural lock-in; alternatives</w:t>
      </w:r>
      <w:r>
        <w:t xml:space="preserve"> </w:t>
      </w:r>
      <w:r>
        <w:t xml:space="preserve">are not emerging</w:t>
      </w:r>
    </w:p>
    <w:p>
      <w:pPr>
        <w:pStyle w:val="FirstParagraph"/>
      </w:pPr>
      <w:r>
        <w:rPr>
          <w:bCs/>
          <w:b/>
        </w:rPr>
        <w:t xml:space="preserve">Integration with Signal Crisis Thesis:</w:t>
      </w:r>
    </w:p>
    <w:p>
      <w:pPr>
        <w:pStyle w:val="BodyText"/>
      </w:pPr>
      <w:r>
        <w:t xml:space="preserve">All four counter-evidence sources are</w:t>
      </w:r>
      <w:r>
        <w:t xml:space="preserve"> </w:t>
      </w:r>
      <w:r>
        <w:rPr>
          <w:bCs/>
          <w:b/>
        </w:rPr>
        <w:t xml:space="preserve">compatible</w:t>
      </w:r>
      <w:r>
        <w:t xml:space="preserve"> </w:t>
      </w:r>
      <w:r>
        <w:t xml:space="preserve">with signal crisis</w:t>
      </w:r>
      <w:r>
        <w:t xml:space="preserve"> </w:t>
      </w:r>
      <w:r>
        <w:t xml:space="preserve">interpretation. They collectively suggest: - Decline is real and</w:t>
      </w:r>
      <w:r>
        <w:t xml:space="preserve"> </w:t>
      </w:r>
      <w:r>
        <w:t xml:space="preserve">measurable - Decline has not reached terminal threshold - Structural</w:t>
      </w:r>
      <w:r>
        <w:t xml:space="preserve"> </w:t>
      </w:r>
      <w:r>
        <w:t xml:space="preserve">advantages provide recovery runway - Absence of successor extends</w:t>
      </w:r>
      <w:r>
        <w:t xml:space="preserve"> </w:t>
      </w:r>
      <w:r>
        <w:t xml:space="preserve">unipolar moment</w:t>
      </w:r>
    </w:p>
    <w:p>
      <w:pPr>
        <w:pStyle w:val="BodyText"/>
      </w:pPr>
      <w:r>
        <w:t xml:space="preserve">The CAS framework analysis showing 13-21% composite decline (depending</w:t>
      </w:r>
      <w:r>
        <w:t xml:space="preserve"> </w:t>
      </w:r>
      <w:r>
        <w:t xml:space="preserve">on measurement approach) is validated as meaningful erosion while</w:t>
      </w:r>
      <w:r>
        <w:t xml:space="preserve"> </w:t>
      </w:r>
      <w:r>
        <w:t xml:space="preserve">remaining far below terminal decline thresholds observed in predecessor</w:t>
      </w:r>
      <w:r>
        <w:t xml:space="preserve"> </w:t>
      </w:r>
      <w:r>
        <w:t xml:space="preserve">hegemons.</w:t>
      </w:r>
    </w:p>
    <w:bookmarkEnd w:id="116"/>
    <w:bookmarkEnd w:id="117"/>
    <w:bookmarkStart w:id="151" w:name="intellectual-honesty-registry"/>
    <w:p>
      <w:pPr>
        <w:pStyle w:val="Heading1"/>
      </w:pPr>
      <w:r>
        <w:t xml:space="preserve">INTELLECTUAL HONESTY REGISTRY</w:t>
      </w:r>
    </w:p>
    <w:bookmarkStart w:id="118" w:name="purpose"/>
    <w:p>
      <w:pPr>
        <w:pStyle w:val="Heading2"/>
      </w:pPr>
      <w:r>
        <w:t xml:space="preserve">Purpose</w:t>
      </w:r>
    </w:p>
    <w:p>
      <w:pPr>
        <w:pStyle w:val="FirstParagraph"/>
      </w:pPr>
      <w:r>
        <w:t xml:space="preserve">Following the methodology established in the Mongol Empire analysis and</w:t>
      </w:r>
      <w:r>
        <w:t xml:space="preserve"> </w:t>
      </w:r>
      <w:r>
        <w:t xml:space="preserve">systematized across Track 1 and Track 2 research, this section documents</w:t>
      </w:r>
      <w:r>
        <w:t xml:space="preserve"> </w:t>
      </w:r>
      <w:r>
        <w:t xml:space="preserve">analytical limitations, contested claims, and areas where honest</w:t>
      </w:r>
      <w:r>
        <w:t xml:space="preserve"> </w:t>
      </w:r>
      <w:r>
        <w:t xml:space="preserve">disagreement exists among reasonable scholars.</w:t>
      </w:r>
    </w:p>
    <w:bookmarkEnd w:id="118"/>
    <w:bookmarkStart w:id="123" w:name="category-a-known-unknowns"/>
    <w:p>
      <w:pPr>
        <w:pStyle w:val="Heading2"/>
      </w:pPr>
      <w:r>
        <w:t xml:space="preserve">Category A: Known Unknowns</w:t>
      </w:r>
    </w:p>
    <w:bookmarkStart w:id="119" w:name="a1-contemporaneous-measurement-problem"/>
    <w:p>
      <w:pPr>
        <w:pStyle w:val="Heading3"/>
      </w:pPr>
      <w:r>
        <w:t xml:space="preserve">A1: Contemporaneous Measurement Problem</w:t>
      </w:r>
    </w:p>
    <w:p>
      <w:pPr>
        <w:pStyle w:val="FirstParagraph"/>
      </w:pPr>
      <w:r>
        <w:rPr>
          <w:bCs/>
          <w:b/>
        </w:rPr>
        <w:t xml:space="preserve">Issue:</w:t>
      </w:r>
      <w:r>
        <w:t xml:space="preserve"> </w:t>
      </w:r>
      <w:r>
        <w:t xml:space="preserve">The 2021-present period lacks temporal distance necessary for</w:t>
      </w:r>
      <w:r>
        <w:t xml:space="preserve"> </w:t>
      </w:r>
      <w:r>
        <w:t xml:space="preserve">confident assessment. Historical analyses benefit from archival access,</w:t>
      </w:r>
      <w:r>
        <w:t xml:space="preserve"> </w:t>
      </w:r>
      <w:r>
        <w:t xml:space="preserve">scholarly consensus formation, and outcome observation. Contemporary</w:t>
      </w:r>
      <w:r>
        <w:t xml:space="preserve"> </w:t>
      </w:r>
      <w:r>
        <w:t xml:space="preserve">analysis operates without these advantages.</w:t>
      </w:r>
    </w:p>
    <w:p>
      <w:pPr>
        <w:pStyle w:val="BodyText"/>
      </w:pPr>
      <w:r>
        <w:rPr>
          <w:bCs/>
          <w:b/>
        </w:rPr>
        <w:t xml:space="preserve">Specific Manifestations:</w:t>
      </w:r>
      <w:r>
        <w:t xml:space="preserve"> </w:t>
      </w:r>
      <w:r>
        <w:t xml:space="preserve">- V-Dem late 2025 reclassification based on</w:t>
      </w:r>
      <w:r>
        <w:t xml:space="preserve"> </w:t>
      </w:r>
      <w:r>
        <w:t xml:space="preserve">events still unfolding - Second Trump administration policy trajectory</w:t>
      </w:r>
      <w:r>
        <w:t xml:space="preserve"> </w:t>
      </w:r>
      <w:r>
        <w:t xml:space="preserve">genuinely uncertain - AI development pace exceeds analytical capacity to</w:t>
      </w:r>
      <w:r>
        <w:t xml:space="preserve"> </w:t>
      </w:r>
      <w:r>
        <w:t xml:space="preserve">assess implications - Economic policy effects (tariffs, fiscal</w:t>
      </w:r>
      <w:r>
        <w:t xml:space="preserve"> </w:t>
      </w:r>
      <w:r>
        <w:t xml:space="preserve">trajectory) not yet observable</w:t>
      </w:r>
    </w:p>
    <w:p>
      <w:pPr>
        <w:pStyle w:val="BodyText"/>
      </w:pPr>
      <w:r>
        <w:rPr>
          <w:bCs/>
          <w:b/>
        </w:rPr>
        <w:t xml:space="preserve">Mitigation:</w:t>
      </w:r>
      <w:r>
        <w:t xml:space="preserve"> </w:t>
      </w:r>
      <w:r>
        <w:t xml:space="preserve">Explicit confidence ratings throughout; provisional</w:t>
      </w:r>
      <w:r>
        <w:t xml:space="preserve"> </w:t>
      </w:r>
      <w:r>
        <w:t xml:space="preserve">framing for 2025 assessments; acknowledgment that revisions may be</w:t>
      </w:r>
      <w:r>
        <w:t xml:space="preserve"> </w:t>
      </w:r>
      <w:r>
        <w:t xml:space="preserve">necessary.</w:t>
      </w:r>
    </w:p>
    <w:p>
      <w:pPr>
        <w:pStyle w:val="BodyText"/>
      </w:pPr>
      <w:r>
        <w:rPr>
          <w:bCs/>
          <w:b/>
        </w:rPr>
        <w:t xml:space="preserve">Confidence Impact:</w:t>
      </w:r>
      <w:r>
        <w:t xml:space="preserve"> </w:t>
      </w:r>
      <w:r>
        <w:t xml:space="preserve">Reduces confidence ratings by approximately one</w:t>
      </w:r>
      <w:r>
        <w:t xml:space="preserve"> </w:t>
      </w:r>
      <w:r>
        <w:t xml:space="preserve">level for 2024-2025 period claims.</w:t>
      </w:r>
    </w:p>
    <w:bookmarkEnd w:id="119"/>
    <w:bookmarkStart w:id="120" w:name="X43c44c1925c838a870e105246c737ccbeefdb7e"/>
    <w:p>
      <w:pPr>
        <w:pStyle w:val="Heading3"/>
      </w:pPr>
      <w:r>
        <w:t xml:space="preserve">A2: Second Trump Administration Trajectory</w:t>
      </w:r>
    </w:p>
    <w:p>
      <w:pPr>
        <w:pStyle w:val="FirstParagraph"/>
      </w:pPr>
      <w:r>
        <w:rPr>
          <w:bCs/>
          <w:b/>
        </w:rPr>
        <w:t xml:space="preserve">Issue:</w:t>
      </w:r>
      <w:r>
        <w:t xml:space="preserve"> </w:t>
      </w:r>
      <w:r>
        <w:t xml:space="preserve">Policy intentions do not equal policy outcomes. The</w:t>
      </w:r>
      <w:r>
        <w:t xml:space="preserve"> </w:t>
      </w:r>
      <w:r>
        <w:t xml:space="preserve">administration’s stated agenda (tariffs, deregulation, immigration</w:t>
      </w:r>
      <w:r>
        <w:t xml:space="preserve"> </w:t>
      </w:r>
      <w:r>
        <w:t xml:space="preserve">enforcement, institutional reform) may or may not be implemented as</w:t>
      </w:r>
      <w:r>
        <w:t xml:space="preserve"> </w:t>
      </w:r>
      <w:r>
        <w:t xml:space="preserve">described, may or may not achieve stated goals, and may produce</w:t>
      </w:r>
      <w:r>
        <w:t xml:space="preserve"> </w:t>
      </w:r>
      <w:r>
        <w:t xml:space="preserve">unintended consequences.</w:t>
      </w:r>
    </w:p>
    <w:p>
      <w:pPr>
        <w:pStyle w:val="BodyText"/>
      </w:pPr>
      <w:r>
        <w:rPr>
          <w:bCs/>
          <w:b/>
        </w:rPr>
        <w:t xml:space="preserve">Scenarios:</w:t>
      </w:r>
      <w:r>
        <w:t xml:space="preserve"> </w:t>
      </w:r>
      <w:r>
        <w:t xml:space="preserve">- Maximalist implementation with destabilizing effects -</w:t>
      </w:r>
      <w:r>
        <w:t xml:space="preserve"> </w:t>
      </w:r>
      <w:r>
        <w:t xml:space="preserve">Partial implementation with mixed results - Institutional resistance</w:t>
      </w:r>
      <w:r>
        <w:t xml:space="preserve"> </w:t>
      </w:r>
      <w:r>
        <w:t xml:space="preserve">limiting implementation - Policy moderation over time</w:t>
      </w:r>
    </w:p>
    <w:p>
      <w:pPr>
        <w:pStyle w:val="BodyText"/>
      </w:pPr>
      <w:r>
        <w:rPr>
          <w:bCs/>
          <w:b/>
        </w:rPr>
        <w:t xml:space="preserve">Impact on Analysis:</w:t>
      </w:r>
      <w:r>
        <w:t xml:space="preserve"> </w:t>
      </w:r>
      <w:r>
        <w:t xml:space="preserve">Governance score trajectory (4.5 provisional)</w:t>
      </w:r>
      <w:r>
        <w:t xml:space="preserve"> </w:t>
      </w:r>
      <w:r>
        <w:t xml:space="preserve">may require revision in either direction depending on events.</w:t>
      </w:r>
    </w:p>
    <w:p>
      <w:pPr>
        <w:pStyle w:val="BodyText"/>
      </w:pPr>
      <w:r>
        <w:rPr>
          <w:bCs/>
          <w:b/>
        </w:rPr>
        <w:t xml:space="preserve">Confidence Rating:</w:t>
      </w:r>
      <w:r>
        <w:t xml:space="preserve"> </w:t>
      </w:r>
      <w:r>
        <w:t xml:space="preserve">LOW for 2025-2027 trajectory assessment</w:t>
      </w:r>
    </w:p>
    <w:bookmarkEnd w:id="120"/>
    <w:bookmarkStart w:id="121" w:name="a3-peak-china-validation"/>
    <w:p>
      <w:pPr>
        <w:pStyle w:val="Heading3"/>
      </w:pPr>
      <w:r>
        <w:t xml:space="preserve">A3: Peak China Validation</w:t>
      </w:r>
    </w:p>
    <w:p>
      <w:pPr>
        <w:pStyle w:val="FirstParagraph"/>
      </w:pPr>
      <w:r>
        <w:rPr>
          <w:bCs/>
          <w:b/>
        </w:rPr>
        <w:t xml:space="preserve">Issue:</w:t>
      </w:r>
      <w:r>
        <w:t xml:space="preserve"> </w:t>
      </w:r>
      <w:r>
        <w:t xml:space="preserve">The Beckley/Brands</w:t>
      </w:r>
      <w:r>
        <w:t xml:space="preserve"> </w:t>
      </w:r>
      <w:r>
        <w:t xml:space="preserve">“</w:t>
      </w:r>
      <w:r>
        <w:t xml:space="preserve">Peak China</w:t>
      </w:r>
      <w:r>
        <w:t xml:space="preserve">”</w:t>
      </w:r>
      <w:r>
        <w:t xml:space="preserve"> </w:t>
      </w:r>
      <w:r>
        <w:t xml:space="preserve">thesis has gained scholarly</w:t>
      </w:r>
      <w:r>
        <w:t xml:space="preserve"> </w:t>
      </w:r>
      <w:r>
        <w:t xml:space="preserve">support but remains genuinely contested. Alternative interpretations: -</w:t>
      </w:r>
      <w:r>
        <w:t xml:space="preserve"> </w:t>
      </w:r>
      <w:r>
        <w:t xml:space="preserve">Temporary slowdown, not peak (some economists) - Structural shift to</w:t>
      </w:r>
      <w:r>
        <w:t xml:space="preserve"> </w:t>
      </w:r>
      <w:r>
        <w:t xml:space="preserve">services economy, not decline (some development economists) - Technology</w:t>
      </w:r>
      <w:r>
        <w:t xml:space="preserve"> </w:t>
      </w:r>
      <w:r>
        <w:t xml:space="preserve">self-sufficiency achievable despite controls (some technology</w:t>
      </w:r>
      <w:r>
        <w:t xml:space="preserve"> </w:t>
      </w:r>
      <w:r>
        <w:t xml:space="preserve">analysts) - Demographic challenges manageable through automation (some</w:t>
      </w:r>
      <w:r>
        <w:t xml:space="preserve"> </w:t>
      </w:r>
      <w:r>
        <w:t xml:space="preserve">demographers)</w:t>
      </w:r>
    </w:p>
    <w:p>
      <w:pPr>
        <w:pStyle w:val="BodyText"/>
      </w:pPr>
      <w:r>
        <w:rPr>
          <w:bCs/>
          <w:b/>
        </w:rPr>
        <w:t xml:space="preserve">Validation Timeline:</w:t>
      </w:r>
      <w:r>
        <w:t xml:space="preserve"> </w:t>
      </w:r>
      <w:r>
        <w:t xml:space="preserve">The Peak China thesis will be substantially</w:t>
      </w:r>
      <w:r>
        <w:t xml:space="preserve"> </w:t>
      </w:r>
      <w:r>
        <w:t xml:space="preserve">validated or refuted by approximately 2030 based on: - Semiconductor</w:t>
      </w:r>
      <w:r>
        <w:t xml:space="preserve"> </w:t>
      </w:r>
      <w:r>
        <w:t xml:space="preserve">self-sufficiency progress - Demographic impact manifestation - Property</w:t>
      </w:r>
      <w:r>
        <w:t xml:space="preserve"> </w:t>
      </w:r>
      <w:r>
        <w:t xml:space="preserve">sector resolution - Economic growth trajectory</w:t>
      </w:r>
    </w:p>
    <w:p>
      <w:pPr>
        <w:pStyle w:val="BodyText"/>
      </w:pPr>
      <w:r>
        <w:rPr>
          <w:bCs/>
          <w:b/>
        </w:rPr>
        <w:t xml:space="preserve">Current Assessment:</w:t>
      </w:r>
      <w:r>
        <w:t xml:space="preserve"> </w:t>
      </w:r>
      <w:r>
        <w:t xml:space="preserve">Balance of evidence supports Peak China</w:t>
      </w:r>
      <w:r>
        <w:t xml:space="preserve"> </w:t>
      </w:r>
      <w:r>
        <w:t xml:space="preserve">interpretation but definitive validation pending.</w:t>
      </w:r>
    </w:p>
    <w:p>
      <w:pPr>
        <w:pStyle w:val="BodyText"/>
      </w:pPr>
      <w:r>
        <w:rPr>
          <w:bCs/>
          <w:b/>
        </w:rPr>
        <w:t xml:space="preserve">Confidence Rating:</w:t>
      </w:r>
      <w:r>
        <w:t xml:space="preserve"> </w:t>
      </w:r>
      <w:r>
        <w:t xml:space="preserve">MODERATE-HIGH</w:t>
      </w:r>
    </w:p>
    <w:bookmarkEnd w:id="121"/>
    <w:bookmarkStart w:id="122" w:name="a4-ai-development-trajectory"/>
    <w:p>
      <w:pPr>
        <w:pStyle w:val="Heading3"/>
      </w:pPr>
      <w:r>
        <w:t xml:space="preserve">A4: AI Development Trajectory</w:t>
      </w:r>
    </w:p>
    <w:p>
      <w:pPr>
        <w:pStyle w:val="FirstParagraph"/>
      </w:pPr>
      <w:r>
        <w:rPr>
          <w:bCs/>
          <w:b/>
        </w:rPr>
        <w:t xml:space="preserve">Issue:</w:t>
      </w:r>
      <w:r>
        <w:t xml:space="preserve"> </w:t>
      </w:r>
      <w:r>
        <w:t xml:space="preserve">Generative AI emerged during this analytical period with</w:t>
      </w:r>
      <w:r>
        <w:t xml:space="preserve"> </w:t>
      </w:r>
      <w:r>
        <w:t xml:space="preserve">potentially transformative implications for hegemonic competition. The</w:t>
      </w:r>
      <w:r>
        <w:t xml:space="preserve"> </w:t>
      </w:r>
      <w:r>
        <w:t xml:space="preserve">pace of development exceeds analytical capacity to assess: - Will</w:t>
      </w:r>
      <w:r>
        <w:t xml:space="preserve"> </w:t>
      </w:r>
      <w:r>
        <w:t xml:space="preserve">current trajectory continue or plateau? - What are national security</w:t>
      </w:r>
      <w:r>
        <w:t xml:space="preserve"> </w:t>
      </w:r>
      <w:r>
        <w:t xml:space="preserve">implications? - How will AI affect economic productivity? - What</w:t>
      </w:r>
      <w:r>
        <w:t xml:space="preserve"> </w:t>
      </w:r>
      <w:r>
        <w:t xml:space="preserve">regulatory regime will emerge?</w:t>
      </w:r>
    </w:p>
    <w:p>
      <w:pPr>
        <w:pStyle w:val="BodyText"/>
      </w:pPr>
      <w:r>
        <w:rPr>
          <w:bCs/>
          <w:b/>
        </w:rPr>
        <w:t xml:space="preserve">Impact:</w:t>
      </w:r>
      <w:r>
        <w:t xml:space="preserve"> </w:t>
      </w:r>
      <w:r>
        <w:t xml:space="preserve">Technology domain score (7.0 stable) may prove conservative</w:t>
      </w:r>
      <w:r>
        <w:t xml:space="preserve"> </w:t>
      </w:r>
      <w:r>
        <w:t xml:space="preserve">if AI delivers transformative productivity gains, or may prove</w:t>
      </w:r>
      <w:r>
        <w:t xml:space="preserve"> </w:t>
      </w:r>
      <w:r>
        <w:t xml:space="preserve">optimistic if AI development slows or produces negative externalities.</w:t>
      </w:r>
    </w:p>
    <w:p>
      <w:pPr>
        <w:pStyle w:val="BodyText"/>
      </w:pPr>
      <w:r>
        <w:rPr>
          <w:bCs/>
          <w:b/>
        </w:rPr>
        <w:t xml:space="preserve">Confidence Rating:</w:t>
      </w:r>
      <w:r>
        <w:t xml:space="preserve"> </w:t>
      </w:r>
      <w:r>
        <w:t xml:space="preserve">LOW for AI trajectory; MODERATE for current</w:t>
      </w:r>
      <w:r>
        <w:t xml:space="preserve"> </w:t>
      </w:r>
      <w:r>
        <w:t xml:space="preserve">assessment</w:t>
      </w:r>
    </w:p>
    <w:bookmarkEnd w:id="122"/>
    <w:bookmarkEnd w:id="123"/>
    <w:bookmarkStart w:id="127" w:name="X50ce1ea8e649f948ece2e737bb3aa1bc727c03a"/>
    <w:p>
      <w:pPr>
        <w:pStyle w:val="Heading2"/>
      </w:pPr>
      <w:r>
        <w:t xml:space="preserve">Category B: Analytical Judgments Requiring Defense</w:t>
      </w:r>
    </w:p>
    <w:bookmarkStart w:id="124" w:name="b1-cascade-pattern-claim"/>
    <w:p>
      <w:pPr>
        <w:pStyle w:val="Heading3"/>
      </w:pPr>
      <w:r>
        <w:t xml:space="preserve">B1: Cascade Pattern Claim</w:t>
      </w:r>
    </w:p>
    <w:p>
      <w:pPr>
        <w:pStyle w:val="FirstParagraph"/>
      </w:pPr>
      <w:r>
        <w:rPr>
          <w:bCs/>
          <w:b/>
        </w:rPr>
        <w:t xml:space="preserve">Claim:</w:t>
      </w:r>
      <w:r>
        <w:t xml:space="preserve"> </w:t>
      </w:r>
      <w:r>
        <w:t xml:space="preserve">American decline follows Finance → Social → Manufacturing →</w:t>
      </w:r>
      <w:r>
        <w:t xml:space="preserve"> </w:t>
      </w:r>
      <w:r>
        <w:t xml:space="preserve">Soft Power sequence, resembling Dutch/Spanish patterns rather than</w:t>
      </w:r>
      <w:r>
        <w:t xml:space="preserve"> </w:t>
      </w:r>
      <w:r>
        <w:t xml:space="preserve">British (Education → Technology → Finance).</w:t>
      </w:r>
    </w:p>
    <w:p>
      <w:pPr>
        <w:pStyle w:val="BodyText"/>
      </w:pPr>
      <w:r>
        <w:rPr>
          <w:bCs/>
          <w:b/>
        </w:rPr>
        <w:t xml:space="preserve">Evidence Base:</w:t>
      </w:r>
      <w:r>
        <w:t xml:space="preserve"> </w:t>
      </w:r>
      <w:r>
        <w:t xml:space="preserve">- 2008 crisis originated in financial sector - Social</w:t>
      </w:r>
      <w:r>
        <w:t xml:space="preserve"> </w:t>
      </w:r>
      <w:r>
        <w:t xml:space="preserve">indicators (inequality, trust,</w:t>
      </w:r>
      <w:r>
        <w:t xml:space="preserve"> </w:t>
      </w:r>
      <w:r>
        <w:t xml:space="preserve">“</w:t>
      </w:r>
      <w:r>
        <w:t xml:space="preserve">deaths of despair</w:t>
      </w:r>
      <w:r>
        <w:t xml:space="preserve">”</w:t>
      </w:r>
      <w:r>
        <w:t xml:space="preserve">) deteriorated</w:t>
      </w:r>
      <w:r>
        <w:t xml:space="preserve"> </w:t>
      </w:r>
      <w:r>
        <w:t xml:space="preserve">post-2008 - Manufacturing decline accelerated (China shock,</w:t>
      </w:r>
      <w:r>
        <w:t xml:space="preserve"> </w:t>
      </w:r>
      <w:r>
        <w:t xml:space="preserve">automation) - Soft power damage followed domestic political dysfunction</w:t>
      </w:r>
    </w:p>
    <w:p>
      <w:pPr>
        <w:pStyle w:val="BodyText"/>
      </w:pPr>
      <w:r>
        <w:rPr>
          <w:bCs/>
          <w:b/>
        </w:rPr>
        <w:t xml:space="preserve">Counter-Arguments:</w:t>
      </w:r>
      <w:r>
        <w:t xml:space="preserve"> </w:t>
      </w:r>
      <w:r>
        <w:t xml:space="preserve">- Causation vs. correlation unclear - Alternative</w:t>
      </w:r>
      <w:r>
        <w:t xml:space="preserve"> </w:t>
      </w:r>
      <w:r>
        <w:t xml:space="preserve">sequencing interpretations possible - Single case may not establish</w:t>
      </w:r>
      <w:r>
        <w:t xml:space="preserve"> </w:t>
      </w:r>
      <w:r>
        <w:t xml:space="preserve">pattern - Contemporaneous analysis may misidentify sequence</w:t>
      </w:r>
    </w:p>
    <w:p>
      <w:pPr>
        <w:pStyle w:val="BodyText"/>
      </w:pPr>
      <w:r>
        <w:rPr>
          <w:bCs/>
          <w:b/>
        </w:rPr>
        <w:t xml:space="preserve">Defense:</w:t>
      </w:r>
      <w:r>
        <w:t xml:space="preserve"> </w:t>
      </w:r>
      <w:r>
        <w:t xml:space="preserve">The cascade pattern claim is</w:t>
      </w:r>
      <w:r>
        <w:t xml:space="preserve"> </w:t>
      </w:r>
      <w:r>
        <w:rPr>
          <w:bCs/>
          <w:b/>
        </w:rPr>
        <w:t xml:space="preserve">pattern identification, not</w:t>
      </w:r>
      <w:r>
        <w:rPr>
          <w:bCs/>
          <w:b/>
        </w:rPr>
        <w:t xml:space="preserve"> </w:t>
      </w:r>
      <w:r>
        <w:rPr>
          <w:bCs/>
          <w:b/>
        </w:rPr>
        <w:t xml:space="preserve">causal mechanism establishment</w:t>
      </w:r>
      <w:r>
        <w:t xml:space="preserve">. It provides analytical frame for</w:t>
      </w:r>
      <w:r>
        <w:t xml:space="preserve"> </w:t>
      </w:r>
      <w:r>
        <w:t xml:space="preserve">understanding decline sequence, not definitive causal explanation.</w:t>
      </w:r>
      <w:r>
        <w:t xml:space="preserve"> </w:t>
      </w:r>
      <w:r>
        <w:t xml:space="preserve">Confidence is HIGH for pattern observation, MODERATE for causal</w:t>
      </w:r>
      <w:r>
        <w:t xml:space="preserve"> </w:t>
      </w:r>
      <w:r>
        <w:t xml:space="preserve">interpretation.</w:t>
      </w:r>
    </w:p>
    <w:bookmarkEnd w:id="124"/>
    <w:bookmarkStart w:id="125" w:name="b2-governance-score-correction"/>
    <w:p>
      <w:pPr>
        <w:pStyle w:val="Heading3"/>
      </w:pPr>
      <w:r>
        <w:t xml:space="preserve">B2: Governance Score Correction</w:t>
      </w:r>
    </w:p>
    <w:p>
      <w:pPr>
        <w:pStyle w:val="FirstParagraph"/>
      </w:pPr>
      <w:r>
        <w:rPr>
          <w:bCs/>
          <w:b/>
        </w:rPr>
        <w:t xml:space="preserve">Original Claim:</w:t>
      </w:r>
      <w:r>
        <w:t xml:space="preserve"> </w:t>
      </w:r>
      <w:r>
        <w:t xml:space="preserve">6.0 → 3.0 (50% decline)</w:t>
      </w:r>
      <w:r>
        <w:t xml:space="preserve"> </w:t>
      </w:r>
      <w:r>
        <w:rPr>
          <w:bCs/>
          <w:b/>
        </w:rPr>
        <w:t xml:space="preserve">Corrected Claim:</w:t>
      </w:r>
      <w:r>
        <w:t xml:space="preserve"> </w:t>
      </w:r>
      <w:r>
        <w:t xml:space="preserve">6.0 →</w:t>
      </w:r>
      <w:r>
        <w:t xml:space="preserve"> </w:t>
      </w:r>
      <w:r>
        <w:t xml:space="preserve">5.0 → 4.5 (17-25% decline depending on period)</w:t>
      </w:r>
    </w:p>
    <w:p>
      <w:pPr>
        <w:pStyle w:val="BodyText"/>
      </w:pPr>
      <w:r>
        <w:rPr>
          <w:bCs/>
          <w:b/>
        </w:rPr>
        <w:t xml:space="preserve">Basis for Correction:</w:t>
      </w:r>
      <w:r>
        <w:t xml:space="preserve"> </w:t>
      </w:r>
      <w:r>
        <w:t xml:space="preserve">- No standardized governance measure supports</w:t>
      </w:r>
      <w:r>
        <w:t xml:space="preserve"> </w:t>
      </w:r>
      <w:r>
        <w:t xml:space="preserve">50% decline - V-Dem: 0.78 → 0.72 ≈ 8% decline (pre-2025</w:t>
      </w:r>
      <w:r>
        <w:t xml:space="preserve"> </w:t>
      </w:r>
      <w:r>
        <w:t xml:space="preserve">reclassification) - Freedom House: 94 → 83 ≈ 12% decline - EIU: 8.22 →</w:t>
      </w:r>
      <w:r>
        <w:t xml:space="preserve"> </w:t>
      </w:r>
      <w:r>
        <w:t xml:space="preserve">7.85 ≈ 5% decline - Even V-Dem late 2025 reclassification implies</w:t>
      </w:r>
      <w:r>
        <w:t xml:space="preserve"> </w:t>
      </w:r>
      <w:r>
        <w:t xml:space="preserve">categorical shift, not 50% decline</w:t>
      </w:r>
    </w:p>
    <w:p>
      <w:pPr>
        <w:pStyle w:val="BodyText"/>
      </w:pPr>
      <w:r>
        <w:rPr>
          <w:bCs/>
          <w:b/>
        </w:rPr>
        <w:t xml:space="preserve">Defense:</w:t>
      </w:r>
      <w:r>
        <w:t xml:space="preserve"> </w:t>
      </w:r>
      <w:r>
        <w:t xml:space="preserve">Original score indefensible by any standardized measure.</w:t>
      </w:r>
      <w:r>
        <w:t xml:space="preserve"> </w:t>
      </w:r>
      <w:r>
        <w:t xml:space="preserve">Correction aligns with triangulated evidence while acknowledging genuine</w:t>
      </w:r>
      <w:r>
        <w:t xml:space="preserve"> </w:t>
      </w:r>
      <w:r>
        <w:t xml:space="preserve">erosion. The methodological rigor of using standardized indices rather</w:t>
      </w:r>
      <w:r>
        <w:t xml:space="preserve"> </w:t>
      </w:r>
      <w:r>
        <w:t xml:space="preserve">than subjective assessment strengthens defensibility.</w:t>
      </w:r>
    </w:p>
    <w:p>
      <w:pPr>
        <w:pStyle w:val="BodyText"/>
      </w:pPr>
      <w:r>
        <w:rPr>
          <w:bCs/>
          <w:b/>
        </w:rPr>
        <w:t xml:space="preserve">Confidence:</w:t>
      </w:r>
      <w:r>
        <w:t xml:space="preserve"> </w:t>
      </w:r>
      <w:r>
        <w:t xml:space="preserve">HIGH for correction validity</w:t>
      </w:r>
    </w:p>
    <w:bookmarkEnd w:id="125"/>
    <w:bookmarkStart w:id="126" w:name="X31b60cde145856bb87de095c2a82c1d1b47fef9"/>
    <w:p>
      <w:pPr>
        <w:pStyle w:val="Heading3"/>
      </w:pPr>
      <w:r>
        <w:t xml:space="preserve">B3: Signal Crisis vs. Terminal Decline Assessment</w:t>
      </w:r>
    </w:p>
    <w:p>
      <w:pPr>
        <w:pStyle w:val="FirstParagraph"/>
      </w:pPr>
      <w:r>
        <w:rPr>
          <w:bCs/>
          <w:b/>
        </w:rPr>
        <w:t xml:space="preserve">Claim:</w:t>
      </w:r>
      <w:r>
        <w:t xml:space="preserve"> </w:t>
      </w:r>
      <w:r>
        <w:t xml:space="preserve">American hegemony exhibits signal crisis characteristics, not</w:t>
      </w:r>
      <w:r>
        <w:t xml:space="preserve"> </w:t>
      </w:r>
      <w:r>
        <w:t xml:space="preserve">terminal decline.</w:t>
      </w:r>
    </w:p>
    <w:p>
      <w:pPr>
        <w:pStyle w:val="BodyText"/>
      </w:pPr>
      <w:r>
        <w:rPr>
          <w:bCs/>
          <w:b/>
        </w:rPr>
        <w:t xml:space="preserve">Evidence Base:</w:t>
      </w:r>
      <w:r>
        <w:t xml:space="preserve"> </w:t>
      </w:r>
      <w:r>
        <w:t xml:space="preserve">- Composite decline (13-21%) far below terminal</w:t>
      </w:r>
      <w:r>
        <w:t xml:space="preserve"> </w:t>
      </w:r>
      <w:r>
        <w:t xml:space="preserve">thresholds (British 35%, Dutch 42%, Spanish 48%) - Key domains</w:t>
      </w:r>
      <w:r>
        <w:t xml:space="preserve"> </w:t>
      </w:r>
      <w:r>
        <w:t xml:space="preserve">(military, technology) remain strong - Institutional adaptation</w:t>
      </w:r>
      <w:r>
        <w:t xml:space="preserve"> </w:t>
      </w:r>
      <w:r>
        <w:t xml:space="preserve">demonstrated (Fed crisis response, CHIPS Act) - No credible successor</w:t>
      </w:r>
      <w:r>
        <w:t xml:space="preserve"> </w:t>
      </w:r>
      <w:r>
        <w:t xml:space="preserve">emerged - Counter-evidence scholars support non-terminal assessment</w:t>
      </w:r>
    </w:p>
    <w:p>
      <w:pPr>
        <w:pStyle w:val="BodyText"/>
      </w:pPr>
      <w:r>
        <w:rPr>
          <w:bCs/>
          <w:b/>
        </w:rPr>
        <w:t xml:space="preserve">Counter-Arguments:</w:t>
      </w:r>
      <w:r>
        <w:t xml:space="preserve"> </w:t>
      </w:r>
      <w:r>
        <w:t xml:space="preserve">- Terminal decline may not follow historical</w:t>
      </w:r>
      <w:r>
        <w:t xml:space="preserve"> </w:t>
      </w:r>
      <w:r>
        <w:t xml:space="preserve">patterns - Contemporary measurement may understate decline -</w:t>
      </w:r>
      <w:r>
        <w:t xml:space="preserve"> </w:t>
      </w:r>
      <w:r>
        <w:t xml:space="preserve">“</w:t>
      </w:r>
      <w:r>
        <w:t xml:space="preserve">Sudden</w:t>
      </w:r>
      <w:r>
        <w:t xml:space="preserve"> </w:t>
      </w:r>
      <w:r>
        <w:t xml:space="preserve">collapse</w:t>
      </w:r>
      <w:r>
        <w:t xml:space="preserve">”</w:t>
      </w:r>
      <w:r>
        <w:t xml:space="preserve"> </w:t>
      </w:r>
      <w:r>
        <w:t xml:space="preserve">scenarios possible (black swan events) - Temporal proximity</w:t>
      </w:r>
      <w:r>
        <w:t xml:space="preserve"> </w:t>
      </w:r>
      <w:r>
        <w:t xml:space="preserve">may blind analysis to accelerating decay</w:t>
      </w:r>
    </w:p>
    <w:p>
      <w:pPr>
        <w:pStyle w:val="BodyText"/>
      </w:pPr>
      <w:r>
        <w:rPr>
          <w:bCs/>
          <w:b/>
        </w:rPr>
        <w:t xml:space="preserve">Defense:</w:t>
      </w:r>
      <w:r>
        <w:t xml:space="preserve"> </w:t>
      </w:r>
      <w:r>
        <w:t xml:space="preserve">The signal crisis assessment is most parsimonious</w:t>
      </w:r>
      <w:r>
        <w:t xml:space="preserve"> </w:t>
      </w:r>
      <w:r>
        <w:t xml:space="preserve">interpretation of available evidence. It does not deny decline or</w:t>
      </w:r>
      <w:r>
        <w:t xml:space="preserve"> </w:t>
      </w:r>
      <w:r>
        <w:t xml:space="preserve">minimize erosion. It contextualizes observed decline within comparative</w:t>
      </w:r>
      <w:r>
        <w:t xml:space="preserve"> </w:t>
      </w:r>
      <w:r>
        <w:t xml:space="preserve">hegemonic transition framework and finds current trajectory consistent</w:t>
      </w:r>
      <w:r>
        <w:t xml:space="preserve"> </w:t>
      </w:r>
      <w:r>
        <w:t xml:space="preserve">with recoverable crisis rather than irreversible collapse.</w:t>
      </w:r>
    </w:p>
    <w:p>
      <w:pPr>
        <w:pStyle w:val="BodyText"/>
      </w:pPr>
      <w:r>
        <w:rPr>
          <w:bCs/>
          <w:b/>
        </w:rPr>
        <w:t xml:space="preserve">Confidence:</w:t>
      </w:r>
      <w:r>
        <w:t xml:space="preserve"> </w:t>
      </w:r>
      <w:r>
        <w:t xml:space="preserve">HIGH for 2008-2022; MODERATE for 2022-present; LOW for</w:t>
      </w:r>
      <w:r>
        <w:t xml:space="preserve"> </w:t>
      </w:r>
      <w:r>
        <w:t xml:space="preserve">forward projection</w:t>
      </w:r>
    </w:p>
    <w:bookmarkEnd w:id="126"/>
    <w:bookmarkEnd w:id="127"/>
    <w:bookmarkStart w:id="131" w:name="category-c-data-limitations"/>
    <w:p>
      <w:pPr>
        <w:pStyle w:val="Heading2"/>
      </w:pPr>
      <w:r>
        <w:t xml:space="preserve">Category C: Data Limitations</w:t>
      </w:r>
    </w:p>
    <w:bookmarkStart w:id="128" w:name="c1-de-dollarization-measurement"/>
    <w:p>
      <w:pPr>
        <w:pStyle w:val="Heading3"/>
      </w:pPr>
      <w:r>
        <w:t xml:space="preserve">C1: De-Dollarization Measurement</w:t>
      </w:r>
    </w:p>
    <w:p>
      <w:pPr>
        <w:pStyle w:val="FirstParagraph"/>
      </w:pPr>
      <w:r>
        <w:rPr>
          <w:bCs/>
          <w:b/>
        </w:rPr>
        <w:t xml:space="preserve">Issue:</w:t>
      </w:r>
      <w:r>
        <w:t xml:space="preserve"> </w:t>
      </w:r>
      <w:r>
        <w:t xml:space="preserve">IMF COFER data—the primary source for reserve currency</w:t>
      </w:r>
      <w:r>
        <w:t xml:space="preserve"> </w:t>
      </w:r>
      <w:r>
        <w:t xml:space="preserve">composition—has known limitations: - Voluntary reporting (some</w:t>
      </w:r>
      <w:r>
        <w:t xml:space="preserve"> </w:t>
      </w:r>
      <w:r>
        <w:t xml:space="preserve">countries don’t report) - China’s reserves opaque - Off-balance-sheet</w:t>
      </w:r>
      <w:r>
        <w:t xml:space="preserve"> </w:t>
      </w:r>
      <w:r>
        <w:t xml:space="preserve">holdings untracked - Currency swaps complicate picture</w:t>
      </w:r>
    </w:p>
    <w:p>
      <w:pPr>
        <w:pStyle w:val="BodyText"/>
      </w:pPr>
      <w:r>
        <w:rPr>
          <w:bCs/>
          <w:b/>
        </w:rPr>
        <w:t xml:space="preserve">Impact:</w:t>
      </w:r>
      <w:r>
        <w:t xml:space="preserve"> </w:t>
      </w:r>
      <w:r>
        <w:t xml:space="preserve">Dollar share figures (58.4% → 56.32%) have measurement</w:t>
      </w:r>
      <w:r>
        <w:t xml:space="preserve"> </w:t>
      </w:r>
      <w:r>
        <w:t xml:space="preserve">uncertainty. Actual share may be higher or lower.</w:t>
      </w:r>
    </w:p>
    <w:p>
      <w:pPr>
        <w:pStyle w:val="BodyText"/>
      </w:pPr>
      <w:r>
        <w:rPr>
          <w:bCs/>
          <w:b/>
        </w:rPr>
        <w:t xml:space="preserve">Mitigation:</w:t>
      </w:r>
      <w:r>
        <w:t xml:space="preserve"> </w:t>
      </w:r>
      <w:r>
        <w:t xml:space="preserve">Cross-referencing with BIS data, trade invoicing shares,</w:t>
      </w:r>
      <w:r>
        <w:t xml:space="preserve"> </w:t>
      </w:r>
      <w:r>
        <w:t xml:space="preserve">FX transaction volumes. All sources point to similar conclusion: dollar</w:t>
      </w:r>
      <w:r>
        <w:t xml:space="preserve"> </w:t>
      </w:r>
      <w:r>
        <w:t xml:space="preserve">dominant but share declining gradually.</w:t>
      </w:r>
    </w:p>
    <w:bookmarkEnd w:id="128"/>
    <w:bookmarkStart w:id="129" w:name="c2-governance-index-comparability"/>
    <w:p>
      <w:pPr>
        <w:pStyle w:val="Heading3"/>
      </w:pPr>
      <w:r>
        <w:t xml:space="preserve">C2: Governance Index Comparability</w:t>
      </w:r>
    </w:p>
    <w:p>
      <w:pPr>
        <w:pStyle w:val="FirstParagraph"/>
      </w:pPr>
      <w:r>
        <w:rPr>
          <w:bCs/>
          <w:b/>
        </w:rPr>
        <w:t xml:space="preserve">Issue:</w:t>
      </w:r>
      <w:r>
        <w:t xml:space="preserve"> </w:t>
      </w:r>
      <w:r>
        <w:t xml:space="preserve">Different governance indices use different methodologies: -</w:t>
      </w:r>
      <w:r>
        <w:t xml:space="preserve"> </w:t>
      </w:r>
      <w:r>
        <w:t xml:space="preserve">V-Dem: Expert coding, comprehensive but subjective - Freedom House:</w:t>
      </w:r>
      <w:r>
        <w:t xml:space="preserve"> </w:t>
      </w:r>
      <w:r>
        <w:t xml:space="preserve">Checklist approach, annual - EIU: Survey-based plus objective</w:t>
      </w:r>
      <w:r>
        <w:t xml:space="preserve"> </w:t>
      </w:r>
      <w:r>
        <w:t xml:space="preserve">indicators - Polity: Institutional coding, different scope</w:t>
      </w:r>
    </w:p>
    <w:p>
      <w:pPr>
        <w:pStyle w:val="BodyText"/>
      </w:pPr>
      <w:r>
        <w:t xml:space="preserve">Cross-comparability is imperfect. Combining indices requires</w:t>
      </w:r>
      <w:r>
        <w:t xml:space="preserve"> </w:t>
      </w:r>
      <w:r>
        <w:t xml:space="preserve">methodological caution.</w:t>
      </w:r>
    </w:p>
    <w:p>
      <w:pPr>
        <w:pStyle w:val="BodyText"/>
      </w:pPr>
      <w:r>
        <w:rPr>
          <w:bCs/>
          <w:b/>
        </w:rPr>
        <w:t xml:space="preserve">Mitigation:</w:t>
      </w:r>
      <w:r>
        <w:t xml:space="preserve"> </w:t>
      </w:r>
      <w:r>
        <w:t xml:space="preserve">Triangulation using multiple indices; acknowledging</w:t>
      </w:r>
      <w:r>
        <w:t xml:space="preserve"> </w:t>
      </w:r>
      <w:r>
        <w:t xml:space="preserve">range rather than precise point estimates; focusing on direction and</w:t>
      </w:r>
      <w:r>
        <w:t xml:space="preserve"> </w:t>
      </w:r>
      <w:r>
        <w:t xml:space="preserve">magnitude rather than exact values.</w:t>
      </w:r>
    </w:p>
    <w:bookmarkEnd w:id="129"/>
    <w:bookmarkStart w:id="130" w:name="c3-real-time-economic-data"/>
    <w:p>
      <w:pPr>
        <w:pStyle w:val="Heading3"/>
      </w:pPr>
      <w:r>
        <w:t xml:space="preserve">C3: Real-Time Economic Data</w:t>
      </w:r>
    </w:p>
    <w:p>
      <w:pPr>
        <w:pStyle w:val="FirstParagraph"/>
      </w:pPr>
      <w:r>
        <w:rPr>
          <w:bCs/>
          <w:b/>
        </w:rPr>
        <w:t xml:space="preserve">Issue:</w:t>
      </w:r>
      <w:r>
        <w:t xml:space="preserve"> </w:t>
      </w:r>
      <w:r>
        <w:t xml:space="preserve">Economic data subject to revision. Initial releases often</w:t>
      </w:r>
      <w:r>
        <w:t xml:space="preserve"> </w:t>
      </w:r>
      <w:r>
        <w:t xml:space="preserve">differ substantially from final figures: - GDP growth estimates</w:t>
      </w:r>
      <w:r>
        <w:t xml:space="preserve"> </w:t>
      </w:r>
      <w:r>
        <w:t xml:space="preserve">revised - Employment data updated - Inflation measures refined</w:t>
      </w:r>
    </w:p>
    <w:p>
      <w:pPr>
        <w:pStyle w:val="BodyText"/>
      </w:pPr>
      <w:r>
        <w:t xml:space="preserve">Contemporary assessments may shift as data finalize.</w:t>
      </w:r>
    </w:p>
    <w:bookmarkEnd w:id="130"/>
    <w:bookmarkEnd w:id="131"/>
    <w:bookmarkStart w:id="135" w:name="category-d-methodological-choices"/>
    <w:p>
      <w:pPr>
        <w:pStyle w:val="Heading2"/>
      </w:pPr>
      <w:r>
        <w:t xml:space="preserve">Category D: Methodological Choices</w:t>
      </w:r>
    </w:p>
    <w:bookmarkStart w:id="132" w:name="d1-domain-weighting"/>
    <w:p>
      <w:pPr>
        <w:pStyle w:val="Heading3"/>
      </w:pPr>
      <w:r>
        <w:t xml:space="preserve">D1: Domain Weighting</w:t>
      </w:r>
    </w:p>
    <w:p>
      <w:pPr>
        <w:pStyle w:val="FirstParagraph"/>
      </w:pPr>
      <w:r>
        <w:rPr>
          <w:bCs/>
          <w:b/>
        </w:rPr>
        <w:t xml:space="preserve">Choice:</w:t>
      </w:r>
      <w:r>
        <w:t xml:space="preserve"> </w:t>
      </w:r>
      <w:r>
        <w:t xml:space="preserve">All nine domains weighted equally in composite score.</w:t>
      </w:r>
    </w:p>
    <w:p>
      <w:pPr>
        <w:pStyle w:val="BodyText"/>
      </w:pPr>
      <w:r>
        <w:rPr>
          <w:bCs/>
          <w:b/>
        </w:rPr>
        <w:t xml:space="preserve">Rationale:</w:t>
      </w:r>
      <w:r>
        <w:t xml:space="preserve"> </w:t>
      </w:r>
      <w:r>
        <w:t xml:space="preserve">No theoretical basis for differential weighting.</w:t>
      </w:r>
      <w:r>
        <w:t xml:space="preserve"> </w:t>
      </w:r>
      <w:r>
        <w:t xml:space="preserve">Different hegemonic contexts may weight domains differently.</w:t>
      </w:r>
    </w:p>
    <w:p>
      <w:pPr>
        <w:pStyle w:val="BodyText"/>
      </w:pPr>
      <w:r>
        <w:rPr>
          <w:bCs/>
          <w:b/>
        </w:rPr>
        <w:t xml:space="preserve">Alternative:</w:t>
      </w:r>
      <w:r>
        <w:t xml:space="preserve"> </w:t>
      </w:r>
      <w:r>
        <w:t xml:space="preserve">Military and financial domains arguably more important</w:t>
      </w:r>
      <w:r>
        <w:t xml:space="preserve"> </w:t>
      </w:r>
      <w:r>
        <w:t xml:space="preserve">for hegemonic status; cultural/educational arguably less so.</w:t>
      </w:r>
    </w:p>
    <w:p>
      <w:pPr>
        <w:pStyle w:val="BodyText"/>
      </w:pPr>
      <w:r>
        <w:rPr>
          <w:bCs/>
          <w:b/>
        </w:rPr>
        <w:t xml:space="preserve">Defense:</w:t>
      </w:r>
      <w:r>
        <w:t xml:space="preserve"> </w:t>
      </w:r>
      <w:r>
        <w:t xml:space="preserve">Equal weighting provides transparency and comparability</w:t>
      </w:r>
      <w:r>
        <w:t xml:space="preserve"> </w:t>
      </w:r>
      <w:r>
        <w:t xml:space="preserve">across cases. Differential weighting would require theoretical</w:t>
      </w:r>
      <w:r>
        <w:t xml:space="preserve"> </w:t>
      </w:r>
      <w:r>
        <w:t xml:space="preserve">justification that would itself be contested.</w:t>
      </w:r>
    </w:p>
    <w:bookmarkEnd w:id="132"/>
    <w:bookmarkStart w:id="133" w:name="d2-phase-boundary-selection"/>
    <w:p>
      <w:pPr>
        <w:pStyle w:val="Heading3"/>
      </w:pPr>
      <w:r>
        <w:t xml:space="preserve">D2: Phase Boundary Selection</w:t>
      </w:r>
    </w:p>
    <w:p>
      <w:pPr>
        <w:pStyle w:val="FirstParagraph"/>
      </w:pPr>
      <w:r>
        <w:rPr>
          <w:bCs/>
          <w:b/>
        </w:rPr>
        <w:t xml:space="preserve">Choice:</w:t>
      </w:r>
      <w:r>
        <w:t xml:space="preserve"> </w:t>
      </w:r>
      <w:r>
        <w:t xml:space="preserve">Sub-period boundaries at 2008, 2016, 2021.</w:t>
      </w:r>
    </w:p>
    <w:p>
      <w:pPr>
        <w:pStyle w:val="BodyText"/>
      </w:pPr>
      <w:r>
        <w:rPr>
          <w:bCs/>
          <w:b/>
        </w:rPr>
        <w:t xml:space="preserve">Rationale:</w:t>
      </w:r>
      <w:r>
        <w:t xml:space="preserve"> </w:t>
      </w:r>
      <w:r>
        <w:t xml:space="preserve">2008 = financial crisis; 2016 = Trump election; 2021 =</w:t>
      </w:r>
      <w:r>
        <w:t xml:space="preserve"> </w:t>
      </w:r>
      <w:r>
        <w:t xml:space="preserve">Biden inauguration and January 6th aftermath.</w:t>
      </w:r>
    </w:p>
    <w:p>
      <w:pPr>
        <w:pStyle w:val="BodyText"/>
      </w:pPr>
      <w:r>
        <w:rPr>
          <w:bCs/>
          <w:b/>
        </w:rPr>
        <w:t xml:space="preserve">Alternative:</w:t>
      </w:r>
      <w:r>
        <w:t xml:space="preserve"> </w:t>
      </w:r>
      <w:r>
        <w:t xml:space="preserve">Different periodization possible (2010 midterm, 2020</w:t>
      </w:r>
      <w:r>
        <w:t xml:space="preserve"> </w:t>
      </w:r>
      <w:r>
        <w:t xml:space="preserve">COVID, etc.).</w:t>
      </w:r>
    </w:p>
    <w:p>
      <w:pPr>
        <w:pStyle w:val="BodyText"/>
      </w:pPr>
      <w:r>
        <w:rPr>
          <w:bCs/>
          <w:b/>
        </w:rPr>
        <w:t xml:space="preserve">Defense:</w:t>
      </w:r>
      <w:r>
        <w:t xml:space="preserve"> </w:t>
      </w:r>
      <w:r>
        <w:t xml:space="preserve">Selected boundaries correspond to major</w:t>
      </w:r>
      <w:r>
        <w:t xml:space="preserve"> </w:t>
      </w:r>
      <w:r>
        <w:t xml:space="preserve">institutional/political transitions with clear analytical significance.</w:t>
      </w:r>
      <w:r>
        <w:t xml:space="preserve"> </w:t>
      </w:r>
      <w:r>
        <w:t xml:space="preserve">Alternative periodizations would likely yield similar substantive</w:t>
      </w:r>
      <w:r>
        <w:t xml:space="preserve"> </w:t>
      </w:r>
      <w:r>
        <w:t xml:space="preserve">conclusions.</w:t>
      </w:r>
    </w:p>
    <w:bookmarkEnd w:id="133"/>
    <w:bookmarkStart w:id="134" w:name="d3-scoring-scale"/>
    <w:p>
      <w:pPr>
        <w:pStyle w:val="Heading3"/>
      </w:pPr>
      <w:r>
        <w:t xml:space="preserve">D3: Scoring Scale</w:t>
      </w:r>
    </w:p>
    <w:p>
      <w:pPr>
        <w:pStyle w:val="FirstParagraph"/>
      </w:pPr>
      <w:r>
        <w:rPr>
          <w:bCs/>
          <w:b/>
        </w:rPr>
        <w:t xml:space="preserve">Choice:</w:t>
      </w:r>
      <w:r>
        <w:t xml:space="preserve"> </w:t>
      </w:r>
      <w:r>
        <w:t xml:space="preserve">1-10 scale with half-point precision.</w:t>
      </w:r>
    </w:p>
    <w:p>
      <w:pPr>
        <w:pStyle w:val="BodyText"/>
      </w:pPr>
      <w:r>
        <w:rPr>
          <w:bCs/>
          <w:b/>
        </w:rPr>
        <w:t xml:space="preserve">Rationale:</w:t>
      </w:r>
      <w:r>
        <w:t xml:space="preserve"> </w:t>
      </w:r>
      <w:r>
        <w:t xml:space="preserve">Provides sufficient differentiation without false</w:t>
      </w:r>
      <w:r>
        <w:t xml:space="preserve"> </w:t>
      </w:r>
      <w:r>
        <w:t xml:space="preserve">precision.</w:t>
      </w:r>
    </w:p>
    <w:p>
      <w:pPr>
        <w:pStyle w:val="BodyText"/>
      </w:pPr>
      <w:r>
        <w:rPr>
          <w:bCs/>
          <w:b/>
        </w:rPr>
        <w:t xml:space="preserve">Alternative:</w:t>
      </w:r>
      <w:r>
        <w:t xml:space="preserve"> </w:t>
      </w:r>
      <w:r>
        <w:t xml:space="preserve">Different scales (1-5, 1-100) would require</w:t>
      </w:r>
      <w:r>
        <w:t xml:space="preserve"> </w:t>
      </w:r>
      <w:r>
        <w:t xml:space="preserve">recalibration but would not change relative assessments.</w:t>
      </w:r>
    </w:p>
    <w:bookmarkEnd w:id="134"/>
    <w:bookmarkEnd w:id="135"/>
    <w:bookmarkStart w:id="139" w:name="category-e-framework-limitations"/>
    <w:p>
      <w:pPr>
        <w:pStyle w:val="Heading2"/>
      </w:pPr>
      <w:r>
        <w:t xml:space="preserve">Category E: Framework Limitations</w:t>
      </w:r>
    </w:p>
    <w:bookmarkStart w:id="136" w:name="e1-inter-domain-feedback-complexity"/>
    <w:p>
      <w:pPr>
        <w:pStyle w:val="Heading3"/>
      </w:pPr>
      <w:r>
        <w:t xml:space="preserve">E1: Inter-Domain Feedback Complexity</w:t>
      </w:r>
    </w:p>
    <w:p>
      <w:pPr>
        <w:pStyle w:val="FirstParagraph"/>
      </w:pPr>
      <w:r>
        <w:rPr>
          <w:bCs/>
          <w:b/>
        </w:rPr>
        <w:t xml:space="preserve">Issue:</w:t>
      </w:r>
      <w:r>
        <w:t xml:space="preserve"> </w:t>
      </w:r>
      <w:r>
        <w:t xml:space="preserve">The CAS framework treats domains as analytically separable,</w:t>
      </w:r>
      <w:r>
        <w:t xml:space="preserve"> </w:t>
      </w:r>
      <w:r>
        <w:t xml:space="preserve">but in practice they are deeply interconnected. Financial domain affects</w:t>
      </w:r>
      <w:r>
        <w:t xml:space="preserve"> </w:t>
      </w:r>
      <w:r>
        <w:t xml:space="preserve">all others; governance affects everything; technology shapes information</w:t>
      </w:r>
      <w:r>
        <w:t xml:space="preserve"> </w:t>
      </w:r>
      <w:r>
        <w:t xml:space="preserve">environment.</w:t>
      </w:r>
    </w:p>
    <w:p>
      <w:pPr>
        <w:pStyle w:val="BodyText"/>
      </w:pPr>
      <w:r>
        <w:rPr>
          <w:bCs/>
          <w:b/>
        </w:rPr>
        <w:t xml:space="preserve">Implication:</w:t>
      </w:r>
      <w:r>
        <w:t xml:space="preserve"> </w:t>
      </w:r>
      <w:r>
        <w:t xml:space="preserve">Domain-by-domain analysis may miss emergent properties</w:t>
      </w:r>
      <w:r>
        <w:t xml:space="preserve"> </w:t>
      </w:r>
      <w:r>
        <w:t xml:space="preserve">of multi-domain interaction.</w:t>
      </w:r>
    </w:p>
    <w:p>
      <w:pPr>
        <w:pStyle w:val="BodyText"/>
      </w:pPr>
      <w:r>
        <w:rPr>
          <w:bCs/>
          <w:b/>
        </w:rPr>
        <w:t xml:space="preserve">Mitigation:</w:t>
      </w:r>
      <w:r>
        <w:t xml:space="preserve"> </w:t>
      </w:r>
      <w:r>
        <w:t xml:space="preserve">Cascade pattern analysis addresses inter-domain</w:t>
      </w:r>
      <w:r>
        <w:t xml:space="preserve"> </w:t>
      </w:r>
      <w:r>
        <w:t xml:space="preserve">dynamics; synthesis sections integrate cross-domain effects; theoretical</w:t>
      </w:r>
      <w:r>
        <w:t xml:space="preserve"> </w:t>
      </w:r>
      <w:r>
        <w:t xml:space="preserve">framework connections (North/Weingast, Arrighi, Tainter) provide</w:t>
      </w:r>
      <w:r>
        <w:t xml:space="preserve"> </w:t>
      </w:r>
      <w:r>
        <w:t xml:space="preserve">additional analytical leverage.</w:t>
      </w:r>
    </w:p>
    <w:bookmarkEnd w:id="136"/>
    <w:bookmarkStart w:id="137" w:name="e2-timescale-misalignment"/>
    <w:p>
      <w:pPr>
        <w:pStyle w:val="Heading3"/>
      </w:pPr>
      <w:r>
        <w:t xml:space="preserve">E2: Timescale Misalignment</w:t>
      </w:r>
    </w:p>
    <w:p>
      <w:pPr>
        <w:pStyle w:val="FirstParagraph"/>
      </w:pPr>
      <w:r>
        <w:rPr>
          <w:bCs/>
          <w:b/>
        </w:rPr>
        <w:t xml:space="preserve">Issue:</w:t>
      </w:r>
      <w:r>
        <w:t xml:space="preserve"> </w:t>
      </w:r>
      <w:r>
        <w:t xml:space="preserve">Different domains operate on different timescales: -</w:t>
      </w:r>
      <w:r>
        <w:t xml:space="preserve"> </w:t>
      </w:r>
      <w:r>
        <w:t xml:space="preserve">Financial markets: Days to months - Technology: Years to decades -</w:t>
      </w:r>
      <w:r>
        <w:t xml:space="preserve"> </w:t>
      </w:r>
      <w:r>
        <w:t xml:space="preserve">Culture: Decades to centuries - Institutions: Varies enormously</w:t>
      </w:r>
    </w:p>
    <w:p>
      <w:pPr>
        <w:pStyle w:val="BodyText"/>
      </w:pPr>
      <w:r>
        <w:t xml:space="preserve">The contemporary period analysis treats 2008-2025 as single analytical</w:t>
      </w:r>
      <w:r>
        <w:t xml:space="preserve"> </w:t>
      </w:r>
      <w:r>
        <w:t xml:space="preserve">unit, but this 17-year period represents different proportions of</w:t>
      </w:r>
      <w:r>
        <w:t xml:space="preserve"> </w:t>
      </w:r>
      <w:r>
        <w:t xml:space="preserve">different domain cycles.</w:t>
      </w:r>
    </w:p>
    <w:p>
      <w:pPr>
        <w:pStyle w:val="BodyText"/>
      </w:pPr>
      <w:r>
        <w:rPr>
          <w:bCs/>
          <w:b/>
        </w:rPr>
        <w:t xml:space="preserve">Implication:</w:t>
      </w:r>
      <w:r>
        <w:t xml:space="preserve"> </w:t>
      </w:r>
      <w:r>
        <w:t xml:space="preserve">Some domains may show more change than others simply</w:t>
      </w:r>
      <w:r>
        <w:t xml:space="preserve"> </w:t>
      </w:r>
      <w:r>
        <w:t xml:space="preserve">due to timescale differences, not substantive importance.</w:t>
      </w:r>
    </w:p>
    <w:bookmarkEnd w:id="137"/>
    <w:bookmarkStart w:id="138" w:name="e3-counterfactual-baseline"/>
    <w:p>
      <w:pPr>
        <w:pStyle w:val="Heading3"/>
      </w:pPr>
      <w:r>
        <w:t xml:space="preserve">E3: Counterfactual Baseline</w:t>
      </w:r>
    </w:p>
    <w:p>
      <w:pPr>
        <w:pStyle w:val="FirstParagraph"/>
      </w:pPr>
      <w:r>
        <w:rPr>
          <w:bCs/>
          <w:b/>
        </w:rPr>
        <w:t xml:space="preserve">Issue:</w:t>
      </w:r>
      <w:r>
        <w:t xml:space="preserve"> </w:t>
      </w:r>
      <w:r>
        <w:t xml:space="preserve">Decline is measured from 2008 peak. But what if 2008</w:t>
      </w:r>
      <w:r>
        <w:t xml:space="preserve"> </w:t>
      </w:r>
      <w:r>
        <w:t xml:space="preserve">represented unsustainable high? Perhaps some</w:t>
      </w:r>
      <w:r>
        <w:t xml:space="preserve"> </w:t>
      </w:r>
      <w:r>
        <w:t xml:space="preserve">“</w:t>
      </w:r>
      <w:r>
        <w:t xml:space="preserve">decline</w:t>
      </w:r>
      <w:r>
        <w:t xml:space="preserve">”</w:t>
      </w:r>
      <w:r>
        <w:t xml:space="preserve"> </w:t>
      </w:r>
      <w:r>
        <w:t xml:space="preserve">represents</w:t>
      </w:r>
      <w:r>
        <w:t xml:space="preserve"> </w:t>
      </w:r>
      <w:r>
        <w:t xml:space="preserve">regression to sustainable mean rather than deterioration.</w:t>
      </w:r>
    </w:p>
    <w:p>
      <w:pPr>
        <w:pStyle w:val="BodyText"/>
      </w:pPr>
      <w:r>
        <w:rPr>
          <w:bCs/>
          <w:b/>
        </w:rPr>
        <w:t xml:space="preserve">Implication:</w:t>
      </w:r>
      <w:r>
        <w:t xml:space="preserve"> </w:t>
      </w:r>
      <w:r>
        <w:t xml:space="preserve">The 6.78 → 5.33 (21%) decline may overstate meaningful</w:t>
      </w:r>
      <w:r>
        <w:t xml:space="preserve"> </w:t>
      </w:r>
      <w:r>
        <w:t xml:space="preserve">deterioration if 2008 scores were inflated.</w:t>
      </w:r>
    </w:p>
    <w:p>
      <w:pPr>
        <w:pStyle w:val="BodyText"/>
      </w:pPr>
      <w:r>
        <w:rPr>
          <w:bCs/>
          <w:b/>
        </w:rPr>
        <w:t xml:space="preserve">Mitigation:</w:t>
      </w:r>
      <w:r>
        <w:t xml:space="preserve"> </w:t>
      </w:r>
      <w:r>
        <w:t xml:space="preserve">Comparison to other hegemons at similar lifecycle</w:t>
      </w:r>
      <w:r>
        <w:t xml:space="preserve"> </w:t>
      </w:r>
      <w:r>
        <w:t xml:space="preserve">stages; focus on trajectory direction rather than absolute levels;</w:t>
      </w:r>
      <w:r>
        <w:t xml:space="preserve"> </w:t>
      </w:r>
      <w:r>
        <w:t xml:space="preserve">acknowledgment that some normalization expected.</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 CORPORATE PARALLELS: SIGNAL CRISIS ADAPTATION IN ORGANIZATIONAL</w:t>
            </w:r>
            <w:r>
              <w:t xml:space="preserve"> </w:t>
            </w:r>
            <w:r>
              <w:t xml:space="preserve">CONTEXT</w:t>
            </w:r>
          </w:p>
        </w:tc>
      </w:tr>
      <w:tr>
        <w:tc>
          <w:tcPr/>
          <w:p>
            <w:pPr>
              <w:pStyle w:val="Compact"/>
              <w:jc w:val="left"/>
            </w:pPr>
            <w:r>
              <w:t xml:space="preserve">## Overview: The Infonomics Framework Application</w:t>
            </w:r>
          </w:p>
        </w:tc>
      </w:tr>
      <w:tr>
        <w:tc>
          <w:tcPr/>
          <w:p>
            <w:pPr>
              <w:pStyle w:val="Compact"/>
              <w:jc w:val="left"/>
            </w:pPr>
            <w:r>
              <w:t xml:space="preserve">The CAS framework’s ultimate purpose is informing corporate</w:t>
            </w:r>
            <w:r>
              <w:t xml:space="preserve"> </w:t>
            </w:r>
            <w:r>
              <w:t xml:space="preserve">transformation strategy. This section maps American hegemony dynamics</w:t>
            </w:r>
            <w:r>
              <w:t xml:space="preserve"> </w:t>
            </w:r>
            <w:r>
              <w:t xml:space="preserve">(2008-present) to corporate parallels, identifying pattern recognition</w:t>
            </w:r>
            <w:r>
              <w:t xml:space="preserve"> </w:t>
            </w:r>
            <w:r>
              <w:t xml:space="preserve">opportunities for organizational decision-makers.</w:t>
            </w:r>
          </w:p>
        </w:tc>
      </w:tr>
    </w:tbl>
    <w:bookmarkEnd w:id="138"/>
    <w:bookmarkEnd w:id="139"/>
    <w:bookmarkStart w:id="143" w:name="X305bd65b8641dd8ad332b3ccc13c609c1c7f715"/>
    <w:p>
      <w:pPr>
        <w:pStyle w:val="Heading2"/>
      </w:pPr>
      <w:r>
        <w:t xml:space="preserve">Success Cases: Adaptive Response to Signal Crisis</w:t>
      </w:r>
    </w:p>
    <w:bookmarkStart w:id="140" w:name="Xfb05cc2b7a9e94bc3f8efe0daf31ed38a169125"/>
    <w:p>
      <w:pPr>
        <w:pStyle w:val="Heading3"/>
      </w:pPr>
      <w:r>
        <w:t xml:space="preserve">Case 1: Microsoft Corporation (2014-Present)</w:t>
      </w:r>
    </w:p>
    <w:p>
      <w:pPr>
        <w:pStyle w:val="FirstParagraph"/>
      </w:pPr>
      <w:r>
        <w:rPr>
          <w:bCs/>
          <w:b/>
        </w:rPr>
        <w:t xml:space="preserve">The Signal Crisis:</w:t>
      </w:r>
      <w:r>
        <w:t xml:space="preserve"> </w:t>
      </w:r>
      <w:r>
        <w:t xml:space="preserve">By 2014, Microsoft faced existential threat.</w:t>
      </w:r>
      <w:r>
        <w:t xml:space="preserve"> </w:t>
      </w:r>
      <w:r>
        <w:t xml:space="preserve">Mobile platform failure (Windows Phone market share &lt; 3%), cloud</w:t>
      </w:r>
      <w:r>
        <w:t xml:space="preserve"> </w:t>
      </w:r>
      <w:r>
        <w:t xml:space="preserve">computing late entry (AWS 5-year head start), consumer brand erosion,</w:t>
      </w:r>
      <w:r>
        <w:t xml:space="preserve"> </w:t>
      </w:r>
      <w:r>
        <w:t xml:space="preserve">and declining relevance to developers signaled potential terminal</w:t>
      </w:r>
      <w:r>
        <w:t xml:space="preserve"> </w:t>
      </w:r>
      <w:r>
        <w:t xml:space="preserve">decline for the once-dominant software company.</w:t>
      </w:r>
    </w:p>
    <w:p>
      <w:pPr>
        <w:pStyle w:val="BodyText"/>
      </w:pPr>
      <w:r>
        <w:rPr>
          <w:bCs/>
          <w:b/>
        </w:rPr>
        <w:t xml:space="preserve">The Fed-Like Response:</w:t>
      </w:r>
    </w:p>
    <w:p>
      <w:pPr>
        <w:pStyle w:val="BodyText"/>
      </w:pPr>
      <w:r>
        <w:t xml:space="preserve">CEO Satya Nadella’s transformation mirrors the Federal Reserve’s 2008</w:t>
      </w:r>
      <w:r>
        <w:t xml:space="preserve"> </w:t>
      </w:r>
      <w:r>
        <w:t xml:space="preserve">institutional adaptation:</w:t>
      </w:r>
    </w:p>
    <w:p>
      <w:pPr>
        <w:pStyle w:val="BodyText"/>
      </w:pPr>
      <w:r>
        <w:rPr>
          <w:iCs/>
          <w:i/>
        </w:rPr>
        <w:t xml:space="preserve">Platform Reorientation:</w:t>
      </w:r>
      <w:r>
        <w:t xml:space="preserve"> </w:t>
      </w:r>
      <w:r>
        <w:t xml:space="preserve">Just as the Fed shifted from national central</w:t>
      </w:r>
      <w:r>
        <w:t xml:space="preserve"> </w:t>
      </w:r>
      <w:r>
        <w:t xml:space="preserve">bank to global lender of last resort, Microsoft shifted from</w:t>
      </w:r>
      <w:r>
        <w:t xml:space="preserve"> </w:t>
      </w:r>
      <w:r>
        <w:t xml:space="preserve">Windows-centric software company to cloud-first platform company. Azure</w:t>
      </w:r>
      <w:r>
        <w:t xml:space="preserve"> </w:t>
      </w:r>
      <w:r>
        <w:t xml:space="preserve">grew from marginal business to primary revenue driver ($26 billion</w:t>
      </w:r>
      <w:r>
        <w:t xml:space="preserve"> </w:t>
      </w:r>
      <w:r>
        <w:t xml:space="preserve">quarterly run rate by 2024).</w:t>
      </w:r>
    </w:p>
    <w:p>
      <w:pPr>
        <w:pStyle w:val="BodyText"/>
      </w:pPr>
      <w:r>
        <w:rPr>
          <w:iCs/>
          <w:i/>
        </w:rPr>
        <w:t xml:space="preserve">Competitive Stance Evolution:</w:t>
      </w:r>
      <w:r>
        <w:t xml:space="preserve"> </w:t>
      </w:r>
      <w:r>
        <w:t xml:space="preserve">Microsoft abandoned zero-sum competition</w:t>
      </w:r>
      <w:r>
        <w:t xml:space="preserve"> </w:t>
      </w:r>
      <w:r>
        <w:t xml:space="preserve">mentality (the</w:t>
      </w:r>
      <w:r>
        <w:t xml:space="preserve"> </w:t>
      </w:r>
      <w:r>
        <w:t xml:space="preserve">“</w:t>
      </w:r>
      <w:r>
        <w:t xml:space="preserve">Ballmer era</w:t>
      </w:r>
      <w:r>
        <w:t xml:space="preserve">”</w:t>
      </w:r>
      <w:r>
        <w:t xml:space="preserve"> </w:t>
      </w:r>
      <w:r>
        <w:t xml:space="preserve">aggressive posture) for ecosystem</w:t>
      </w:r>
      <w:r>
        <w:t xml:space="preserve"> </w:t>
      </w:r>
      <w:r>
        <w:t xml:space="preserve">partnership approach. Linux embrace, cross-platform development tools,</w:t>
      </w:r>
      <w:r>
        <w:t xml:space="preserve"> </w:t>
      </w:r>
      <w:r>
        <w:t xml:space="preserve">and GitHub acquisition demonstrated strategic flexibility analogous to</w:t>
      </w:r>
      <w:r>
        <w:t xml:space="preserve"> </w:t>
      </w:r>
      <w:r>
        <w:t xml:space="preserve">Fed swap line diplomacy—strengthening system by supporting potential</w:t>
      </w:r>
      <w:r>
        <w:t xml:space="preserve"> </w:t>
      </w:r>
      <w:r>
        <w:t xml:space="preserve">competitors.</w:t>
      </w:r>
    </w:p>
    <w:p>
      <w:pPr>
        <w:pStyle w:val="BodyText"/>
      </w:pPr>
      <w:r>
        <w:rPr>
          <w:iCs/>
          <w:i/>
        </w:rPr>
        <w:t xml:space="preserve">Strategic Investment Discipline:</w:t>
      </w:r>
      <w:r>
        <w:t xml:space="preserve"> </w:t>
      </w:r>
      <w:r>
        <w:t xml:space="preserve">The $68 billion Activision</w:t>
      </w:r>
      <w:r>
        <w:t xml:space="preserve"> </w:t>
      </w:r>
      <w:r>
        <w:t xml:space="preserve">acquisition and $13 billion OpenAI partnership demonstrated willingness</w:t>
      </w:r>
      <w:r>
        <w:t xml:space="preserve"> </w:t>
      </w:r>
      <w:r>
        <w:t xml:space="preserve">to deploy balance sheet capacity for strategic positioning—similar to</w:t>
      </w:r>
      <w:r>
        <w:t xml:space="preserve"> </w:t>
      </w:r>
      <w:r>
        <w:t xml:space="preserve">Fed QE deployment of extraordinary resources for system stability.</w:t>
      </w:r>
    </w:p>
    <w:p>
      <w:pPr>
        <w:pStyle w:val="BodyText"/>
      </w:pPr>
      <w:r>
        <w:rPr>
          <w:bCs/>
          <w:b/>
        </w:rPr>
        <w:t xml:space="preserve">CAS Domain Mapping:</w:t>
      </w:r>
      <w:r>
        <w:t xml:space="preserve"> </w:t>
      </w:r>
      <w:r>
        <w:t xml:space="preserve">- Governance: CEO transition enabled strategic</w:t>
      </w:r>
      <w:r>
        <w:t xml:space="preserve"> </w:t>
      </w:r>
      <w:r>
        <w:t xml:space="preserve">reorientation (succession domain) - Technology: Cloud infrastructure</w:t>
      </w:r>
      <w:r>
        <w:t xml:space="preserve"> </w:t>
      </w:r>
      <w:r>
        <w:t xml:space="preserve">investment (capability domain) - Financial: Subscription model shift</w:t>
      </w:r>
      <w:r>
        <w:t xml:space="preserve"> </w:t>
      </w:r>
      <w:r>
        <w:t xml:space="preserve">(recurring revenue transformation) - Cultural: Growth mindset internal</w:t>
      </w:r>
      <w:r>
        <w:t xml:space="preserve"> </w:t>
      </w:r>
      <w:r>
        <w:t xml:space="preserve">transformation (soft power equivalent)</w:t>
      </w:r>
    </w:p>
    <w:p>
      <w:pPr>
        <w:pStyle w:val="BodyText"/>
      </w:pPr>
      <w:r>
        <w:rPr>
          <w:bCs/>
          <w:b/>
        </w:rPr>
        <w:t xml:space="preserve">Outcome:</w:t>
      </w:r>
      <w:r>
        <w:t xml:space="preserve"> </w:t>
      </w:r>
      <w:r>
        <w:t xml:space="preserve">Market capitalization: $300B (2014) → $3T+ (2024).</w:t>
      </w:r>
      <w:r>
        <w:t xml:space="preserve"> </w:t>
      </w:r>
      <w:r>
        <w:t xml:space="preserve">Microsoft avoided terminal decline through adaptive signal crisis</w:t>
      </w:r>
      <w:r>
        <w:t xml:space="preserve"> </w:t>
      </w:r>
      <w:r>
        <w:t xml:space="preserve">response.</w:t>
      </w:r>
    </w:p>
    <w:p>
      <w:pPr>
        <w:pStyle w:val="BodyText"/>
      </w:pPr>
      <w:r>
        <w:rPr>
          <w:bCs/>
          <w:b/>
        </w:rPr>
        <w:t xml:space="preserve">Infonomics Parallel:</w:t>
      </w:r>
      <w:r>
        <w:t xml:space="preserve"> </w:t>
      </w:r>
      <w:r>
        <w:t xml:space="preserve">Microsoft’s transformation illustrates that</w:t>
      </w:r>
      <w:r>
        <w:t xml:space="preserve"> </w:t>
      </w:r>
      <w:r>
        <w:t xml:space="preserve">signal crisis can be opportunity for institutional renewal. The US Fed’s</w:t>
      </w:r>
      <w:r>
        <w:t xml:space="preserve"> </w:t>
      </w:r>
      <w:r>
        <w:t xml:space="preserve">crisis response similarly created new institutional capacity (swap</w:t>
      </w:r>
      <w:r>
        <w:t xml:space="preserve"> </w:t>
      </w:r>
      <w:r>
        <w:t xml:space="preserve">lines, QE tools) that may serve future needs.</w:t>
      </w:r>
    </w:p>
    <w:bookmarkEnd w:id="140"/>
    <w:bookmarkStart w:id="141" w:name="case-2-apple-inc.-2016-present"/>
    <w:p>
      <w:pPr>
        <w:pStyle w:val="Heading3"/>
      </w:pPr>
      <w:r>
        <w:t xml:space="preserve">Case 2: Apple Inc. (2016-Present)</w:t>
      </w:r>
    </w:p>
    <w:p>
      <w:pPr>
        <w:pStyle w:val="FirstParagraph"/>
      </w:pPr>
      <w:r>
        <w:rPr>
          <w:bCs/>
          <w:b/>
        </w:rPr>
        <w:t xml:space="preserve">The Signal Crisis:</w:t>
      </w:r>
      <w:r>
        <w:t xml:space="preserve"> </w:t>
      </w:r>
      <w:r>
        <w:t xml:space="preserve">iPhone market saturation threat, China</w:t>
      </w:r>
      <w:r>
        <w:t xml:space="preserve"> </w:t>
      </w:r>
      <w:r>
        <w:t xml:space="preserve">manufacturing dependency, regulatory scrutiny, and innovation plateau</w:t>
      </w:r>
      <w:r>
        <w:t xml:space="preserve"> </w:t>
      </w:r>
      <w:r>
        <w:t xml:space="preserve">concerns suggested potential peak Apple by mid-2010s.</w:t>
      </w:r>
    </w:p>
    <w:p>
      <w:pPr>
        <w:pStyle w:val="BodyText"/>
      </w:pPr>
      <w:r>
        <w:rPr>
          <w:bCs/>
          <w:b/>
        </w:rPr>
        <w:t xml:space="preserve">The Adaptive Response:</w:t>
      </w:r>
    </w:p>
    <w:p>
      <w:pPr>
        <w:pStyle w:val="BodyText"/>
      </w:pPr>
      <w:r>
        <w:rPr>
          <w:iCs/>
          <w:i/>
        </w:rPr>
        <w:t xml:space="preserve">Services Transition:</w:t>
      </w:r>
      <w:r>
        <w:t xml:space="preserve"> </w:t>
      </w:r>
      <w:r>
        <w:t xml:space="preserve">Apple executed financial domain transformation</w:t>
      </w:r>
      <w:r>
        <w:t xml:space="preserve"> </w:t>
      </w:r>
      <w:r>
        <w:t xml:space="preserve">from hardware company to services platform. Services revenue grew from</w:t>
      </w:r>
      <w:r>
        <w:t xml:space="preserve"> </w:t>
      </w:r>
      <w:r>
        <w:t xml:space="preserve">$20B (2015) to $85B (2023), diversifying revenue and creating</w:t>
      </w:r>
      <w:r>
        <w:t xml:space="preserve"> </w:t>
      </w:r>
      <w:r>
        <w:t xml:space="preserve">recurring revenue stream.</w:t>
      </w:r>
    </w:p>
    <w:p>
      <w:pPr>
        <w:pStyle w:val="BodyText"/>
      </w:pPr>
      <w:r>
        <w:rPr>
          <w:iCs/>
          <w:i/>
        </w:rPr>
        <w:t xml:space="preserve">Supply Chain Reshoring:</w:t>
      </w:r>
      <w:r>
        <w:t xml:space="preserve"> </w:t>
      </w:r>
      <w:r>
        <w:t xml:space="preserve">Mirroring US CHIPS Act industrial policy,</w:t>
      </w:r>
      <w:r>
        <w:t xml:space="preserve"> </w:t>
      </w:r>
      <w:r>
        <w:t xml:space="preserve">Apple began diversifying manufacturing (India, Vietnam) while</w:t>
      </w:r>
      <w:r>
        <w:t xml:space="preserve"> </w:t>
      </w:r>
      <w:r>
        <w:t xml:space="preserve">maintaining China base. The parallel to semiconductor reshoring is</w:t>
      </w:r>
      <w:r>
        <w:t xml:space="preserve"> </w:t>
      </w:r>
      <w:r>
        <w:t xml:space="preserve">direct—reducing single-point-of-failure dependency.</w:t>
      </w:r>
    </w:p>
    <w:p>
      <w:pPr>
        <w:pStyle w:val="BodyText"/>
      </w:pPr>
      <w:r>
        <w:rPr>
          <w:iCs/>
          <w:i/>
        </w:rPr>
        <w:t xml:space="preserve">Privacy as Competitive Moat:</w:t>
      </w:r>
      <w:r>
        <w:t xml:space="preserve"> </w:t>
      </w:r>
      <w:r>
        <w:t xml:space="preserve">Apple’s privacy differentiation created</w:t>
      </w:r>
      <w:r>
        <w:t xml:space="preserve"> </w:t>
      </w:r>
      <w:r>
        <w:t xml:space="preserve">soft power equivalent—values-based positioning that attracted premium</w:t>
      </w:r>
      <w:r>
        <w:t xml:space="preserve"> </w:t>
      </w:r>
      <w:r>
        <w:t xml:space="preserve">customers and talent while constraining competitor data practices</w:t>
      </w:r>
      <w:r>
        <w:t xml:space="preserve"> </w:t>
      </w:r>
      <w:r>
        <w:t xml:space="preserve">through App Tracking Transparency.</w:t>
      </w:r>
    </w:p>
    <w:p>
      <w:pPr>
        <w:pStyle w:val="BodyText"/>
      </w:pPr>
      <w:r>
        <w:rPr>
          <w:bCs/>
          <w:b/>
        </w:rPr>
        <w:t xml:space="preserve">CAS Domain Mapping:</w:t>
      </w:r>
      <w:r>
        <w:t xml:space="preserve"> </w:t>
      </w:r>
      <w:r>
        <w:t xml:space="preserve">- Financial: Services transformation (revenue</w:t>
      </w:r>
      <w:r>
        <w:t xml:space="preserve"> </w:t>
      </w:r>
      <w:r>
        <w:t xml:space="preserve">model adaptation) - Technology: Silicon transition (capability</w:t>
      </w:r>
      <w:r>
        <w:t xml:space="preserve"> </w:t>
      </w:r>
      <w:r>
        <w:t xml:space="preserve">enhancement) - Governance: Supply chain diversification (risk</w:t>
      </w:r>
      <w:r>
        <w:t xml:space="preserve"> </w:t>
      </w:r>
      <w:r>
        <w:t xml:space="preserve">management) - Cultural: Privacy positioning (soft power/values</w:t>
      </w:r>
      <w:r>
        <w:t xml:space="preserve"> </w:t>
      </w:r>
      <w:r>
        <w:t xml:space="preserve">alignment)</w:t>
      </w:r>
    </w:p>
    <w:p>
      <w:pPr>
        <w:pStyle w:val="BodyText"/>
      </w:pPr>
      <w:r>
        <w:rPr>
          <w:bCs/>
          <w:b/>
        </w:rPr>
        <w:t xml:space="preserve">Outcome:</w:t>
      </w:r>
      <w:r>
        <w:t xml:space="preserve"> </w:t>
      </w:r>
      <w:r>
        <w:t xml:space="preserve">Market cap maintained at $3T despite hardware market</w:t>
      </w:r>
      <w:r>
        <w:t xml:space="preserve"> </w:t>
      </w:r>
      <w:r>
        <w:t xml:space="preserve">saturation. Services margin expansion offset hardware deceleration.</w:t>
      </w:r>
    </w:p>
    <w:p>
      <w:pPr>
        <w:pStyle w:val="BodyText"/>
      </w:pPr>
      <w:r>
        <w:rPr>
          <w:bCs/>
          <w:b/>
        </w:rPr>
        <w:t xml:space="preserve">Infonomics Parallel:</w:t>
      </w:r>
      <w:r>
        <w:t xml:space="preserve"> </w:t>
      </w:r>
      <w:r>
        <w:t xml:space="preserve">Apple’s privacy positioning demonstrates that</w:t>
      </w:r>
      <w:r>
        <w:t xml:space="preserve"> </w:t>
      </w:r>
      <w:r>
        <w:t xml:space="preserve">values alignment can generate competitive advantage—analogous to US</w:t>
      </w:r>
      <w:r>
        <w:t xml:space="preserve"> </w:t>
      </w:r>
      <w:r>
        <w:t xml:space="preserve">soft power when aligned with credible commitment to stated principles.</w:t>
      </w:r>
    </w:p>
    <w:bookmarkEnd w:id="141"/>
    <w:bookmarkStart w:id="142" w:name="case-3-nvidia-corporation-2016-present"/>
    <w:p>
      <w:pPr>
        <w:pStyle w:val="Heading3"/>
      </w:pPr>
      <w:r>
        <w:t xml:space="preserve">Case 3: NVIDIA Corporation (2016-Present)</w:t>
      </w:r>
    </w:p>
    <w:p>
      <w:pPr>
        <w:pStyle w:val="FirstParagraph"/>
      </w:pPr>
      <w:r>
        <w:rPr>
          <w:bCs/>
          <w:b/>
        </w:rPr>
        <w:t xml:space="preserve">The Signal Crisis:</w:t>
      </w:r>
      <w:r>
        <w:t xml:space="preserve"> </w:t>
      </w:r>
      <w:r>
        <w:t xml:space="preserve">Gaming GPU market maturation threatened NVIDIA’s</w:t>
      </w:r>
      <w:r>
        <w:t xml:space="preserve"> </w:t>
      </w:r>
      <w:r>
        <w:t xml:space="preserve">growth trajectory. The pivot to data center and AI applications</w:t>
      </w:r>
      <w:r>
        <w:t xml:space="preserve"> </w:t>
      </w:r>
      <w:r>
        <w:t xml:space="preserve">represented strategic bet on emerging domain.</w:t>
      </w:r>
    </w:p>
    <w:p>
      <w:pPr>
        <w:pStyle w:val="BodyText"/>
      </w:pPr>
      <w:r>
        <w:rPr>
          <w:bCs/>
          <w:b/>
        </w:rPr>
        <w:t xml:space="preserve">The Adaptive Response:</w:t>
      </w:r>
    </w:p>
    <w:p>
      <w:pPr>
        <w:pStyle w:val="BodyText"/>
      </w:pPr>
      <w:r>
        <w:rPr>
          <w:iCs/>
          <w:i/>
        </w:rPr>
        <w:t xml:space="preserve">Domain Expansion:</w:t>
      </w:r>
      <w:r>
        <w:t xml:space="preserve"> </w:t>
      </w:r>
      <w:r>
        <w:t xml:space="preserve">NVIDIA recognized that graphics processing</w:t>
      </w:r>
      <w:r>
        <w:t xml:space="preserve"> </w:t>
      </w:r>
      <w:r>
        <w:t xml:space="preserve">capabilities transferred to AI/ML workloads. Data center revenue grew</w:t>
      </w:r>
      <w:r>
        <w:t xml:space="preserve"> </w:t>
      </w:r>
      <w:r>
        <w:t xml:space="preserve">from 17% (2015) to 83% (2024) of total revenue.</w:t>
      </w:r>
    </w:p>
    <w:p>
      <w:pPr>
        <w:pStyle w:val="BodyText"/>
      </w:pPr>
      <w:r>
        <w:rPr>
          <w:iCs/>
          <w:i/>
        </w:rPr>
        <w:t xml:space="preserve">Ecosystem Development:</w:t>
      </w:r>
      <w:r>
        <w:t xml:space="preserve"> </w:t>
      </w:r>
      <w:r>
        <w:t xml:space="preserve">CUDA software platform created switching costs</w:t>
      </w:r>
      <w:r>
        <w:t xml:space="preserve"> </w:t>
      </w:r>
      <w:r>
        <w:t xml:space="preserve">and developer lock-in—analogous to dollar system network effects and</w:t>
      </w:r>
      <w:r>
        <w:t xml:space="preserve"> </w:t>
      </w:r>
      <w:r>
        <w:t xml:space="preserve">financial infrastructure dominance.</w:t>
      </w:r>
    </w:p>
    <w:p>
      <w:pPr>
        <w:pStyle w:val="BodyText"/>
      </w:pPr>
      <w:r>
        <w:rPr>
          <w:iCs/>
          <w:i/>
        </w:rPr>
        <w:t xml:space="preserve">Strategic Positioning:</w:t>
      </w:r>
      <w:r>
        <w:t xml:space="preserve"> </w:t>
      </w:r>
      <w:r>
        <w:t xml:space="preserve">When generative AI emerged (2022-2023), NVIDIA</w:t>
      </w:r>
      <w:r>
        <w:t xml:space="preserve"> </w:t>
      </w:r>
      <w:r>
        <w:t xml:space="preserve">occupied monopoly position in training infrastructure. The company</w:t>
      </w:r>
      <w:r>
        <w:t xml:space="preserve"> </w:t>
      </w:r>
      <w:r>
        <w:t xml:space="preserve">anticipated transformative technology shift and positioned accordingly.</w:t>
      </w:r>
    </w:p>
    <w:p>
      <w:pPr>
        <w:pStyle w:val="BodyText"/>
      </w:pPr>
      <w:r>
        <w:rPr>
          <w:bCs/>
          <w:b/>
        </w:rPr>
        <w:t xml:space="preserve">CAS Domain Mapping:</w:t>
      </w:r>
      <w:r>
        <w:t xml:space="preserve"> </w:t>
      </w:r>
      <w:r>
        <w:t xml:space="preserve">- Technology: Core capability redeployment -</w:t>
      </w:r>
      <w:r>
        <w:t xml:space="preserve"> </w:t>
      </w:r>
      <w:r>
        <w:t xml:space="preserve">Information: AI infrastructure as intelligence platform - Financial:</w:t>
      </w:r>
      <w:r>
        <w:t xml:space="preserve"> </w:t>
      </w:r>
      <w:r>
        <w:t xml:space="preserve">Margin expansion through ecosystem control - Governance: Strategic</w:t>
      </w:r>
      <w:r>
        <w:t xml:space="preserve"> </w:t>
      </w:r>
      <w:r>
        <w:t xml:space="preserve">foresight enabling preemptive positioning</w:t>
      </w:r>
    </w:p>
    <w:p>
      <w:pPr>
        <w:pStyle w:val="BodyText"/>
      </w:pPr>
      <w:r>
        <w:rPr>
          <w:bCs/>
          <w:b/>
        </w:rPr>
        <w:t xml:space="preserve">Outcome:</w:t>
      </w:r>
      <w:r>
        <w:t xml:space="preserve"> </w:t>
      </w:r>
      <w:r>
        <w:t xml:space="preserve">Market cap: $15B (2016) → $1.5T+ (2024). NVIDIA</w:t>
      </w:r>
      <w:r>
        <w:t xml:space="preserve"> </w:t>
      </w:r>
      <w:r>
        <w:t xml:space="preserve">transformed from gaming peripheral company to critical AI infrastructure</w:t>
      </w:r>
      <w:r>
        <w:t xml:space="preserve"> </w:t>
      </w:r>
      <w:r>
        <w:t xml:space="preserve">provider.</w:t>
      </w:r>
    </w:p>
    <w:p>
      <w:pPr>
        <w:pStyle w:val="BodyText"/>
      </w:pPr>
      <w:r>
        <w:rPr>
          <w:bCs/>
          <w:b/>
        </w:rPr>
        <w:t xml:space="preserve">Infonomics Parallel:</w:t>
      </w:r>
      <w:r>
        <w:t xml:space="preserve"> </w:t>
      </w:r>
      <w:r>
        <w:t xml:space="preserve">NVIDIA’s ecosystem strategy mirrors dollar</w:t>
      </w:r>
      <w:r>
        <w:t xml:space="preserve"> </w:t>
      </w:r>
      <w:r>
        <w:t xml:space="preserve">system network effects—early infrastructure establishment creates</w:t>
      </w:r>
      <w:r>
        <w:t xml:space="preserve"> </w:t>
      </w:r>
      <w:r>
        <w:t xml:space="preserve">self-reinforcing dominance that constrains alternative development.</w:t>
      </w:r>
    </w:p>
    <w:bookmarkEnd w:id="142"/>
    <w:bookmarkEnd w:id="143"/>
    <w:bookmarkStart w:id="147" w:name="Xb5cbf8b8187e0e6485f954c037f8a98b125efeb"/>
    <w:p>
      <w:pPr>
        <w:pStyle w:val="Heading2"/>
      </w:pPr>
      <w:r>
        <w:t xml:space="preserve">Failure Cases: Inadequate Signal Crisis Response</w:t>
      </w:r>
    </w:p>
    <w:bookmarkStart w:id="144" w:name="case-1-general-electric-2008-present"/>
    <w:p>
      <w:pPr>
        <w:pStyle w:val="Heading3"/>
      </w:pPr>
      <w:r>
        <w:t xml:space="preserve">Case 1: General Electric (2008-Present)</w:t>
      </w:r>
    </w:p>
    <w:p>
      <w:pPr>
        <w:pStyle w:val="FirstParagraph"/>
      </w:pPr>
      <w:r>
        <w:rPr>
          <w:bCs/>
          <w:b/>
        </w:rPr>
        <w:t xml:space="preserve">The Signal Crisis:</w:t>
      </w:r>
      <w:r>
        <w:t xml:space="preserve"> </w:t>
      </w:r>
      <w:r>
        <w:t xml:space="preserve">GE’s 2008 financial crisis exposure (GE Capital</w:t>
      </w:r>
      <w:r>
        <w:t xml:space="preserve"> </w:t>
      </w:r>
      <w:r>
        <w:t xml:space="preserve">mortgage portfolios) revealed structural vulnerabilities in the</w:t>
      </w:r>
      <w:r>
        <w:t xml:space="preserve"> </w:t>
      </w:r>
      <w:r>
        <w:t xml:space="preserve">conglomerate model. Signal crisis indicators included credit downgrade,</w:t>
      </w:r>
      <w:r>
        <w:t xml:space="preserve"> </w:t>
      </w:r>
      <w:r>
        <w:t xml:space="preserve">dividend cut, and government support requirement.</w:t>
      </w:r>
    </w:p>
    <w:p>
      <w:pPr>
        <w:pStyle w:val="BodyText"/>
      </w:pPr>
      <w:r>
        <w:rPr>
          <w:bCs/>
          <w:b/>
        </w:rPr>
        <w:t xml:space="preserve">Inadequate Response:</w:t>
      </w:r>
    </w:p>
    <w:p>
      <w:pPr>
        <w:pStyle w:val="BodyText"/>
      </w:pPr>
      <w:r>
        <w:rPr>
          <w:iCs/>
          <w:i/>
        </w:rPr>
        <w:t xml:space="preserve">Denial Phase:</w:t>
      </w:r>
      <w:r>
        <w:t xml:space="preserve"> </w:t>
      </w:r>
      <w:r>
        <w:t xml:space="preserve">Under Jeff Immelt leadership (2001-2017), GE maintained</w:t>
      </w:r>
      <w:r>
        <w:t xml:space="preserve"> </w:t>
      </w:r>
      <w:r>
        <w:t xml:space="preserve">conglomerate structure and financial services exposure despite signal</w:t>
      </w:r>
      <w:r>
        <w:t xml:space="preserve"> </w:t>
      </w:r>
      <w:r>
        <w:t xml:space="preserve">crisis evidence. Serial acquisitions (Alstom power, Baker Hughes oil</w:t>
      </w:r>
      <w:r>
        <w:t xml:space="preserve"> </w:t>
      </w:r>
      <w:r>
        <w:t xml:space="preserve">services) doubled down on cyclical industrial exposure.</w:t>
      </w:r>
    </w:p>
    <w:p>
      <w:pPr>
        <w:pStyle w:val="BodyText"/>
      </w:pPr>
      <w:r>
        <w:rPr>
          <w:iCs/>
          <w:i/>
        </w:rPr>
        <w:t xml:space="preserve">Delayed Restructuring:</w:t>
      </w:r>
      <w:r>
        <w:t xml:space="preserve"> </w:t>
      </w:r>
      <w:r>
        <w:t xml:space="preserve">GE Capital wind-down came too late (2015) and</w:t>
      </w:r>
      <w:r>
        <w:t xml:space="preserve"> </w:t>
      </w:r>
      <w:r>
        <w:t xml:space="preserve">incompletely. Power division acquired Alstom at cycle peak (2015),</w:t>
      </w:r>
      <w:r>
        <w:t xml:space="preserve"> </w:t>
      </w:r>
      <w:r>
        <w:t xml:space="preserve">destroying value.</w:t>
      </w:r>
    </w:p>
    <w:p>
      <w:pPr>
        <w:pStyle w:val="BodyText"/>
      </w:pPr>
      <w:r>
        <w:rPr>
          <w:iCs/>
          <w:i/>
        </w:rPr>
        <w:t xml:space="preserve">Governance Failure:</w:t>
      </w:r>
      <w:r>
        <w:t xml:space="preserve"> </w:t>
      </w:r>
      <w:r>
        <w:t xml:space="preserve">Board composition and CEO succession processes</w:t>
      </w:r>
      <w:r>
        <w:t xml:space="preserve"> </w:t>
      </w:r>
      <w:r>
        <w:t xml:space="preserve">failed to drive necessary transformation. Immelt remained 16 years</w:t>
      </w:r>
      <w:r>
        <w:t xml:space="preserve"> </w:t>
      </w:r>
      <w:r>
        <w:t xml:space="preserve">despite declining performance.</w:t>
      </w:r>
    </w:p>
    <w:p>
      <w:pPr>
        <w:pStyle w:val="BodyText"/>
      </w:pPr>
      <w:r>
        <w:rPr>
          <w:bCs/>
          <w:b/>
        </w:rPr>
        <w:t xml:space="preserve">CAS Domain Mapping:</w:t>
      </w:r>
      <w:r>
        <w:t xml:space="preserve"> </w:t>
      </w:r>
      <w:r>
        <w:t xml:space="preserve">- Governance: Succession failure enabled</w:t>
      </w:r>
      <w:r>
        <w:t xml:space="preserve"> </w:t>
      </w:r>
      <w:r>
        <w:t xml:space="preserve">strategic drift - Financial: GE Capital exposure mismanaged -</w:t>
      </w:r>
      <w:r>
        <w:t xml:space="preserve"> </w:t>
      </w:r>
      <w:r>
        <w:t xml:space="preserve">Technology: Industrial internet (Predix) platform failed - Cultural:</w:t>
      </w:r>
      <w:r>
        <w:t xml:space="preserve"> </w:t>
      </w:r>
      <w:r>
        <w:t xml:space="preserve">“</w:t>
      </w:r>
      <w:r>
        <w:t xml:space="preserve">GE</w:t>
      </w:r>
      <w:r>
        <w:t xml:space="preserve"> </w:t>
      </w:r>
      <w:r>
        <w:t xml:space="preserve">Way</w:t>
      </w:r>
      <w:r>
        <w:t xml:space="preserve">”</w:t>
      </w:r>
      <w:r>
        <w:t xml:space="preserve"> </w:t>
      </w:r>
      <w:r>
        <w:t xml:space="preserve">prevented adaptive response</w:t>
      </w:r>
    </w:p>
    <w:p>
      <w:pPr>
        <w:pStyle w:val="BodyText"/>
      </w:pPr>
      <w:r>
        <w:rPr>
          <w:bCs/>
          <w:b/>
        </w:rPr>
        <w:t xml:space="preserve">Outcome:</w:t>
      </w:r>
      <w:r>
        <w:t xml:space="preserve"> </w:t>
      </w:r>
      <w:r>
        <w:t xml:space="preserve">Market cap: $300B (2007) → breakup into three companies</w:t>
      </w:r>
      <w:r>
        <w:t xml:space="preserve"> </w:t>
      </w:r>
      <w:r>
        <w:t xml:space="preserve">(2024) at combined ~$200B. GE represents failure to convert signal</w:t>
      </w:r>
      <w:r>
        <w:t xml:space="preserve"> </w:t>
      </w:r>
      <w:r>
        <w:t xml:space="preserve">crisis recognition into adaptive response.</w:t>
      </w:r>
    </w:p>
    <w:p>
      <w:pPr>
        <w:pStyle w:val="BodyText"/>
      </w:pPr>
      <w:r>
        <w:rPr>
          <w:bCs/>
          <w:b/>
        </w:rPr>
        <w:t xml:space="preserve">Infonomics Parallel:</w:t>
      </w:r>
      <w:r>
        <w:t xml:space="preserve"> </w:t>
      </w:r>
      <w:r>
        <w:t xml:space="preserve">GE’s trajectory resembles British hegemonic</w:t>
      </w:r>
      <w:r>
        <w:t xml:space="preserve"> </w:t>
      </w:r>
      <w:r>
        <w:t xml:space="preserve">decline pattern—domain erosion proceeding faster than institutional</w:t>
      </w:r>
      <w:r>
        <w:t xml:space="preserve"> </w:t>
      </w:r>
      <w:r>
        <w:t xml:space="preserve">adaptation. The education/technology (industrial internet failure)</w:t>
      </w:r>
      <w:r>
        <w:t xml:space="preserve"> </w:t>
      </w:r>
      <w:r>
        <w:t xml:space="preserve">preceding financial restructuring mirrors British Education → Technology</w:t>
      </w:r>
      <w:r>
        <w:t xml:space="preserve"> </w:t>
      </w:r>
      <w:r>
        <w:t xml:space="preserve">→ Finance cascade.</w:t>
      </w:r>
    </w:p>
    <w:bookmarkEnd w:id="144"/>
    <w:bookmarkStart w:id="145" w:name="case-2-intel-corporation-2015-present"/>
    <w:p>
      <w:pPr>
        <w:pStyle w:val="Heading3"/>
      </w:pPr>
      <w:r>
        <w:t xml:space="preserve">Case 2: Intel Corporation (2015-Present)</w:t>
      </w:r>
    </w:p>
    <w:p>
      <w:pPr>
        <w:pStyle w:val="FirstParagraph"/>
      </w:pPr>
      <w:r>
        <w:rPr>
          <w:bCs/>
          <w:b/>
        </w:rPr>
        <w:t xml:space="preserve">The Signal Crisis:</w:t>
      </w:r>
      <w:r>
        <w:t xml:space="preserve"> </w:t>
      </w:r>
      <w:r>
        <w:t xml:space="preserve">Intel’s manufacturing technology leadership</w:t>
      </w:r>
      <w:r>
        <w:t xml:space="preserve"> </w:t>
      </w:r>
      <w:r>
        <w:t xml:space="preserve">erosion became apparent by 2015-2016 as TSMC achieved process node</w:t>
      </w:r>
      <w:r>
        <w:t xml:space="preserve"> </w:t>
      </w:r>
      <w:r>
        <w:t xml:space="preserve">parity and then leadership. Mobile platform failure (no successful</w:t>
      </w:r>
      <w:r>
        <w:t xml:space="preserve"> </w:t>
      </w:r>
      <w:r>
        <w:t xml:space="preserve">smartphone chip) compounded strategic challenge.</w:t>
      </w:r>
    </w:p>
    <w:p>
      <w:pPr>
        <w:pStyle w:val="BodyText"/>
      </w:pPr>
      <w:r>
        <w:rPr>
          <w:bCs/>
          <w:b/>
        </w:rPr>
        <w:t xml:space="preserve">Inadequate Response:</w:t>
      </w:r>
    </w:p>
    <w:p>
      <w:pPr>
        <w:pStyle w:val="BodyText"/>
      </w:pPr>
      <w:r>
        <w:rPr>
          <w:iCs/>
          <w:i/>
        </w:rPr>
        <w:t xml:space="preserve">Manufacturing Complacency:</w:t>
      </w:r>
      <w:r>
        <w:t xml:space="preserve"> </w:t>
      </w:r>
      <w:r>
        <w:t xml:space="preserve">Intel maintained fab investment but lost</w:t>
      </w:r>
      <w:r>
        <w:t xml:space="preserve"> </w:t>
      </w:r>
      <w:r>
        <w:t xml:space="preserve">process leadership. 10nm delays extended repeatedly while TSMC advanced.</w:t>
      </w:r>
      <w:r>
        <w:t xml:space="preserve"> </w:t>
      </w:r>
      <w:r>
        <w:t xml:space="preserve">By 2020, Intel was 2-3 years behind in manufacturing technology.</w:t>
      </w:r>
    </w:p>
    <w:p>
      <w:pPr>
        <w:pStyle w:val="BodyText"/>
      </w:pPr>
      <w:r>
        <w:rPr>
          <w:iCs/>
          <w:i/>
        </w:rPr>
        <w:t xml:space="preserve">Strategic Confusion:</w:t>
      </w:r>
      <w:r>
        <w:t xml:space="preserve"> </w:t>
      </w:r>
      <w:r>
        <w:t xml:space="preserve">Serial strategy shifts (foundry services, then</w:t>
      </w:r>
      <w:r>
        <w:t xml:space="preserve"> </w:t>
      </w:r>
      <w:r>
        <w:t xml:space="preserve">retreat, then recommitment) signaled governance dysfunction. CEO</w:t>
      </w:r>
      <w:r>
        <w:t xml:space="preserve"> </w:t>
      </w:r>
      <w:r>
        <w:t xml:space="preserve">turnover (three CEOs 2018-2021) prevented sustained execution.</w:t>
      </w:r>
    </w:p>
    <w:p>
      <w:pPr>
        <w:pStyle w:val="BodyText"/>
      </w:pPr>
      <w:r>
        <w:rPr>
          <w:iCs/>
          <w:i/>
        </w:rPr>
        <w:t xml:space="preserve">Ecosystem Erosion:</w:t>
      </w:r>
      <w:r>
        <w:t xml:space="preserve"> </w:t>
      </w:r>
      <w:r>
        <w:t xml:space="preserve">Apple silicon transition (2020) removed key</w:t>
      </w:r>
      <w:r>
        <w:t xml:space="preserve"> </w:t>
      </w:r>
      <w:r>
        <w:t xml:space="preserve">customer. Data center share eroded as AMD and ARM alternatives emerged.</w:t>
      </w:r>
    </w:p>
    <w:p>
      <w:pPr>
        <w:pStyle w:val="BodyText"/>
      </w:pPr>
      <w:r>
        <w:rPr>
          <w:bCs/>
          <w:b/>
        </w:rPr>
        <w:t xml:space="preserve">CAS Domain Mapping:</w:t>
      </w:r>
      <w:r>
        <w:t xml:space="preserve"> </w:t>
      </w:r>
      <w:r>
        <w:t xml:space="preserve">- Technology: Manufacturing leadership loss</w:t>
      </w:r>
      <w:r>
        <w:t xml:space="preserve"> </w:t>
      </w:r>
      <w:r>
        <w:t xml:space="preserve">(core capability) - Governance: CEO churn preventing strategic</w:t>
      </w:r>
      <w:r>
        <w:t xml:space="preserve"> </w:t>
      </w:r>
      <w:r>
        <w:t xml:space="preserve">execution - Financial: Margin compression as competitive position</w:t>
      </w:r>
      <w:r>
        <w:t xml:space="preserve"> </w:t>
      </w:r>
      <w:r>
        <w:t xml:space="preserve">eroded - Social: Talent attrition to NVIDIA, AMD, Apple</w:t>
      </w:r>
    </w:p>
    <w:p>
      <w:pPr>
        <w:pStyle w:val="BodyText"/>
      </w:pPr>
      <w:r>
        <w:rPr>
          <w:bCs/>
          <w:b/>
        </w:rPr>
        <w:t xml:space="preserve">Outcome:</w:t>
      </w:r>
      <w:r>
        <w:t xml:space="preserve"> </w:t>
      </w:r>
      <w:r>
        <w:t xml:space="preserve">Market cap: $160B (2020) → $90B (2024 low). Intel’s</w:t>
      </w:r>
      <w:r>
        <w:t xml:space="preserve"> </w:t>
      </w:r>
      <w:r>
        <w:t xml:space="preserve">recovery attempt (IDM 2.0 strategy, CHIPS Act funding) remains</w:t>
      </w:r>
      <w:r>
        <w:t xml:space="preserve"> </w:t>
      </w:r>
      <w:r>
        <w:t xml:space="preserve">uncertain.</w:t>
      </w:r>
    </w:p>
    <w:p>
      <w:pPr>
        <w:pStyle w:val="BodyText"/>
      </w:pPr>
      <w:r>
        <w:rPr>
          <w:bCs/>
          <w:b/>
        </w:rPr>
        <w:t xml:space="preserve">Infonomics Parallel:</w:t>
      </w:r>
      <w:r>
        <w:t xml:space="preserve"> </w:t>
      </w:r>
      <w:r>
        <w:t xml:space="preserve">Intel’s erosion illustrates Dutch/Spanish</w:t>
      </w:r>
      <w:r>
        <w:t xml:space="preserve"> </w:t>
      </w:r>
      <w:r>
        <w:t xml:space="preserve">pattern—complacency from resource abundance (x86 dominance = silver</w:t>
      </w:r>
      <w:r>
        <w:t xml:space="preserve"> </w:t>
      </w:r>
      <w:r>
        <w:t xml:space="preserve">equivalent) enabling competitor advancement. The dependency on TSMC for</w:t>
      </w:r>
      <w:r>
        <w:t xml:space="preserve"> </w:t>
      </w:r>
      <w:r>
        <w:t xml:space="preserve">advanced manufacturing parallels Ottoman capitulations—structural</w:t>
      </w:r>
      <w:r>
        <w:t xml:space="preserve"> </w:t>
      </w:r>
      <w:r>
        <w:t xml:space="preserve">sovereignty loss.</w:t>
      </w:r>
    </w:p>
    <w:bookmarkEnd w:id="145"/>
    <w:bookmarkStart w:id="146" w:name="case-3-meta-platforms-2021-present"/>
    <w:p>
      <w:pPr>
        <w:pStyle w:val="Heading3"/>
      </w:pPr>
      <w:r>
        <w:t xml:space="preserve">Case 3: Meta Platforms (2021-Present)</w:t>
      </w:r>
    </w:p>
    <w:p>
      <w:pPr>
        <w:pStyle w:val="FirstParagraph"/>
      </w:pPr>
      <w:r>
        <w:rPr>
          <w:bCs/>
          <w:b/>
        </w:rPr>
        <w:t xml:space="preserve">The Signal Crisis:</w:t>
      </w:r>
      <w:r>
        <w:t xml:space="preserve"> </w:t>
      </w:r>
      <w:r>
        <w:t xml:space="preserve">Apple’s App Tracking Transparency (ATT)</w:t>
      </w:r>
      <w:r>
        <w:t xml:space="preserve"> </w:t>
      </w:r>
      <w:r>
        <w:t xml:space="preserve">implementation (2021) revealed Meta’s dependency on third-party data and</w:t>
      </w:r>
      <w:r>
        <w:t xml:space="preserve"> </w:t>
      </w:r>
      <w:r>
        <w:t xml:space="preserve">platform vulnerability. Concurrent TikTok competitive threat suggested</w:t>
      </w:r>
      <w:r>
        <w:t xml:space="preserve"> </w:t>
      </w:r>
      <w:r>
        <w:t xml:space="preserve">advertising business maturation.</w:t>
      </w:r>
    </w:p>
    <w:p>
      <w:pPr>
        <w:pStyle w:val="BodyText"/>
      </w:pPr>
      <w:r>
        <w:rPr>
          <w:bCs/>
          <w:b/>
        </w:rPr>
        <w:t xml:space="preserve">Contested Response:</w:t>
      </w:r>
    </w:p>
    <w:p>
      <w:pPr>
        <w:pStyle w:val="BodyText"/>
      </w:pPr>
      <w:r>
        <w:rPr>
          <w:iCs/>
          <w:i/>
        </w:rPr>
        <w:t xml:space="preserve">Metaverse Bet:</w:t>
      </w:r>
      <w:r>
        <w:t xml:space="preserve"> </w:t>
      </w:r>
      <w:r>
        <w:t xml:space="preserve">Meta’s pivot to metaverse development (Reality Labs</w:t>
      </w:r>
      <w:r>
        <w:t xml:space="preserve"> </w:t>
      </w:r>
      <w:r>
        <w:t xml:space="preserve">$50B+ investment) represents high-risk strategic transformation. The</w:t>
      </w:r>
      <w:r>
        <w:t xml:space="preserve"> </w:t>
      </w:r>
      <w:r>
        <w:t xml:space="preserve">outcome remains uncertain.</w:t>
      </w:r>
    </w:p>
    <w:p>
      <w:pPr>
        <w:pStyle w:val="BodyText"/>
      </w:pPr>
      <w:r>
        <w:rPr>
          <w:iCs/>
          <w:i/>
        </w:rPr>
        <w:t xml:space="preserve">AI Reorientation:</w:t>
      </w:r>
      <w:r>
        <w:t xml:space="preserve"> </w:t>
      </w:r>
      <w:r>
        <w:t xml:space="preserve">2023-2024 AI investment surge suggests strategy</w:t>
      </w:r>
      <w:r>
        <w:t xml:space="preserve"> </w:t>
      </w:r>
      <w:r>
        <w:t xml:space="preserve">adjustment based on generative AI emergence.</w:t>
      </w:r>
    </w:p>
    <w:p>
      <w:pPr>
        <w:pStyle w:val="BodyText"/>
      </w:pPr>
      <w:r>
        <w:rPr>
          <w:iCs/>
          <w:i/>
        </w:rPr>
        <w:t xml:space="preserve">Efficiency Restructuring:</w:t>
      </w:r>
      <w:r>
        <w:t xml:space="preserve"> </w:t>
      </w:r>
      <w:r>
        <w:t xml:space="preserve">2022-2023 layoffs (25% workforce reduction)</w:t>
      </w:r>
      <w:r>
        <w:t xml:space="preserve"> </w:t>
      </w:r>
      <w:r>
        <w:t xml:space="preserve">addressed cost structure but didn’t resolve strategic positioning</w:t>
      </w:r>
      <w:r>
        <w:t xml:space="preserve"> </w:t>
      </w:r>
      <w:r>
        <w:t xml:space="preserve">questions.</w:t>
      </w:r>
    </w:p>
    <w:p>
      <w:pPr>
        <w:pStyle w:val="BodyText"/>
      </w:pPr>
      <w:r>
        <w:rPr>
          <w:bCs/>
          <w:b/>
        </w:rPr>
        <w:t xml:space="preserve">Assessment:</w:t>
      </w:r>
    </w:p>
    <w:p>
      <w:pPr>
        <w:pStyle w:val="BodyText"/>
      </w:pPr>
      <w:r>
        <w:t xml:space="preserve">Meta’s response remains in progress. The case illustrates difficulty</w:t>
      </w:r>
      <w:r>
        <w:t xml:space="preserve"> </w:t>
      </w:r>
      <w:r>
        <w:t xml:space="preserve">distinguishing signal crisis (recoverable through adaptation) from</w:t>
      </w:r>
      <w:r>
        <w:t xml:space="preserve"> </w:t>
      </w:r>
      <w:r>
        <w:t xml:space="preserve">terminal decline (requiring fundamental business model transformation)</w:t>
      </w:r>
      <w:r>
        <w:t xml:space="preserve"> </w:t>
      </w:r>
      <w:r>
        <w:t xml:space="preserve">in real-time.</w:t>
      </w:r>
    </w:p>
    <w:p>
      <w:pPr>
        <w:pStyle w:val="BodyText"/>
      </w:pPr>
      <w:r>
        <w:rPr>
          <w:bCs/>
          <w:b/>
        </w:rPr>
        <w:t xml:space="preserve">CAS Domain Mapping:</w:t>
      </w:r>
      <w:r>
        <w:t xml:space="preserve"> </w:t>
      </w:r>
      <w:r>
        <w:t xml:space="preserve">- Information: Core business model challenged -</w:t>
      </w:r>
      <w:r>
        <w:t xml:space="preserve"> </w:t>
      </w:r>
      <w:r>
        <w:t xml:space="preserve">Technology: Platform dependency exposed - Financial: Investment capacity</w:t>
      </w:r>
      <w:r>
        <w:t xml:space="preserve"> </w:t>
      </w:r>
      <w:r>
        <w:t xml:space="preserve">deployed for transformation - Governance: Dual-class structure enabling</w:t>
      </w:r>
      <w:r>
        <w:t xml:space="preserve"> </w:t>
      </w:r>
      <w:r>
        <w:t xml:space="preserve">long-term bets despite shareholder pressure</w:t>
      </w:r>
    </w:p>
    <w:p>
      <w:pPr>
        <w:pStyle w:val="BodyText"/>
      </w:pPr>
      <w:r>
        <w:rPr>
          <w:bCs/>
          <w:b/>
        </w:rPr>
        <w:t xml:space="preserve">Outcome:</w:t>
      </w:r>
      <w:r>
        <w:t xml:space="preserve"> </w:t>
      </w:r>
      <w:r>
        <w:t xml:space="preserve">Uncertain. Market cap recovered from 2022 lows but</w:t>
      </w:r>
      <w:r>
        <w:t xml:space="preserve"> </w:t>
      </w:r>
      <w:r>
        <w:t xml:space="preserve">fundamental positioning questions remain.</w:t>
      </w:r>
    </w:p>
    <w:p>
      <w:pPr>
        <w:pStyle w:val="BodyText"/>
      </w:pPr>
      <w:r>
        <w:rPr>
          <w:bCs/>
          <w:b/>
        </w:rPr>
        <w:t xml:space="preserve">Infonomics Parallel:</w:t>
      </w:r>
      <w:r>
        <w:t xml:space="preserve"> </w:t>
      </w:r>
      <w:r>
        <w:t xml:space="preserve">Meta’s situation mirrors American 2008-present</w:t>
      </w:r>
      <w:r>
        <w:t xml:space="preserve"> </w:t>
      </w:r>
      <w:r>
        <w:t xml:space="preserve">ambiguity—clear signal crisis indicators with uncertain trajectory.</w:t>
      </w:r>
      <w:r>
        <w:t xml:space="preserve"> </w:t>
      </w:r>
      <w:r>
        <w:t xml:space="preserve">The metaverse bet represents either prescient positioning or resource</w:t>
      </w:r>
      <w:r>
        <w:t xml:space="preserve"> </w:t>
      </w:r>
      <w:r>
        <w:t xml:space="preserve">misallocation; historical judgment requires temporal distance.</w:t>
      </w:r>
    </w:p>
    <w:bookmarkEnd w:id="146"/>
    <w:bookmarkEnd w:id="147"/>
    <w:bookmarkStart w:id="150" w:name="corporate-parallel-synthesis"/>
    <w:p>
      <w:pPr>
        <w:pStyle w:val="Heading2"/>
      </w:pPr>
      <w:r>
        <w:t xml:space="preserve">Corporate Parallel Synthesis</w:t>
      </w:r>
    </w:p>
    <w:bookmarkStart w:id="148" w:name="pattern-recognition-framework"/>
    <w:p>
      <w:pPr>
        <w:pStyle w:val="Heading3"/>
      </w:pPr>
      <w:r>
        <w:t xml:space="preserve">Pattern Recognition Framework</w:t>
      </w:r>
    </w:p>
    <w:p>
      <w:pPr>
        <w:pStyle w:val="FirstParagraph"/>
      </w:pPr>
      <w:r>
        <w:t xml:space="preserve">The corporate parallels reveal consistent patterns applicable to</w:t>
      </w:r>
      <w:r>
        <w:t xml:space="preserve"> </w:t>
      </w:r>
      <w:r>
        <w:t xml:space="preserve">organizational transformation:</w:t>
      </w:r>
    </w:p>
    <w:p>
      <w:pPr>
        <w:pStyle w:val="BodyText"/>
      </w:pPr>
      <w:r>
        <w:rPr>
          <w:bCs/>
          <w:b/>
        </w:rPr>
        <w:t xml:space="preserve">Signal Crisis Recognition:</w:t>
      </w:r>
      <w:r>
        <w:t xml:space="preserve"> </w:t>
      </w:r>
      <w:r>
        <w:t xml:space="preserve">- Declining market share despite</w:t>
      </w:r>
      <w:r>
        <w:t xml:space="preserve"> </w:t>
      </w:r>
      <w:r>
        <w:t xml:space="preserve">maintained revenue - Margin compression from competitive pressure -</w:t>
      </w:r>
      <w:r>
        <w:t xml:space="preserve"> </w:t>
      </w:r>
      <w:r>
        <w:t xml:space="preserve">Technology platform disruption exposure - Governance/succession</w:t>
      </w:r>
      <w:r>
        <w:t xml:space="preserve"> </w:t>
      </w:r>
      <w:r>
        <w:t xml:space="preserve">dysfunction</w:t>
      </w:r>
    </w:p>
    <w:p>
      <w:pPr>
        <w:pStyle w:val="BodyText"/>
      </w:pPr>
      <w:r>
        <w:rPr>
          <w:bCs/>
          <w:b/>
        </w:rPr>
        <w:t xml:space="preserve">Adaptive Response Elements (Success Cases):</w:t>
      </w:r>
      <w:r>
        <w:t xml:space="preserve"> </w:t>
      </w:r>
      <w:r>
        <w:t xml:space="preserve">1. Leadership transition</w:t>
      </w:r>
      <w:r>
        <w:t xml:space="preserve"> </w:t>
      </w:r>
      <w:r>
        <w:t xml:space="preserve">enabling strategic reorientation 2. Core capability redeployment to</w:t>
      </w:r>
      <w:r>
        <w:t xml:space="preserve"> </w:t>
      </w:r>
      <w:r>
        <w:t xml:space="preserve">emerging domains 3. Ecosystem development creating switching costs 4.</w:t>
      </w:r>
      <w:r>
        <w:t xml:space="preserve"> </w:t>
      </w:r>
      <w:r>
        <w:t xml:space="preserve">Balance sheet deployment for strategic positioning 5. Cultural</w:t>
      </w:r>
      <w:r>
        <w:t xml:space="preserve"> </w:t>
      </w:r>
      <w:r>
        <w:t xml:space="preserve">transformation supporting strategic shift</w:t>
      </w:r>
    </w:p>
    <w:p>
      <w:pPr>
        <w:pStyle w:val="BodyText"/>
      </w:pPr>
      <w:r>
        <w:rPr>
          <w:bCs/>
          <w:b/>
        </w:rPr>
        <w:t xml:space="preserve">Inadequate Response Patterns (Failure Cases):</w:t>
      </w:r>
      <w:r>
        <w:t xml:space="preserve"> </w:t>
      </w:r>
      <w:r>
        <w:t xml:space="preserve">1. Denial extending</w:t>
      </w:r>
      <w:r>
        <w:t xml:space="preserve"> </w:t>
      </w:r>
      <w:r>
        <w:t xml:space="preserve">status quo beyond viability 2. Serial strategy shifts preventing</w:t>
      </w:r>
      <w:r>
        <w:t xml:space="preserve"> </w:t>
      </w:r>
      <w:r>
        <w:t xml:space="preserve">execution 3. Governance failure enabling drift 4. Resource misallocation</w:t>
      </w:r>
      <w:r>
        <w:t xml:space="preserve"> </w:t>
      </w:r>
      <w:r>
        <w:t xml:space="preserve">(acquisition at cycle peak) 5. Talent attrition accelerating capability</w:t>
      </w:r>
      <w:r>
        <w:t xml:space="preserve"> </w:t>
      </w:r>
      <w:r>
        <w:t xml:space="preserve">erosion</w:t>
      </w:r>
    </w:p>
    <w:bookmarkEnd w:id="148"/>
    <w:bookmarkStart w:id="149" w:name="infonomics-application"/>
    <w:p>
      <w:pPr>
        <w:pStyle w:val="Heading3"/>
      </w:pPr>
      <w:r>
        <w:t xml:space="preserve">Infonomics Application</w:t>
      </w:r>
    </w:p>
    <w:p>
      <w:pPr>
        <w:pStyle w:val="FirstParagraph"/>
      </w:pPr>
      <w:r>
        <w:t xml:space="preserve">For organizations assessing their own position relative to information</w:t>
      </w:r>
      <w:r>
        <w:t xml:space="preserve"> </w:t>
      </w:r>
      <w:r>
        <w:t xml:space="preserve">capital transformation:</w:t>
      </w:r>
    </w:p>
    <w:p>
      <w:pPr>
        <w:pStyle w:val="BodyText"/>
      </w:pPr>
      <w:r>
        <w:rPr>
          <w:bCs/>
          <w:b/>
        </w:rPr>
        <w:t xml:space="preserve">Signal Crisis Indicators:</w:t>
      </w:r>
      <w:r>
        <w:t xml:space="preserve"> </w:t>
      </w:r>
      <w:r>
        <w:t xml:space="preserve">- Data asset valuation ambiguity -</w:t>
      </w:r>
      <w:r>
        <w:t xml:space="preserve"> </w:t>
      </w:r>
      <w:r>
        <w:t xml:space="preserve">Analytics capability outsourcing dependency - Information architecture</w:t>
      </w:r>
      <w:r>
        <w:t xml:space="preserve"> </w:t>
      </w:r>
      <w:r>
        <w:t xml:space="preserve">technical debt accumulation - Talent competition for data/AI</w:t>
      </w:r>
      <w:r>
        <w:t xml:space="preserve"> </w:t>
      </w:r>
      <w:r>
        <w:t xml:space="preserve">capabilities</w:t>
      </w:r>
    </w:p>
    <w:p>
      <w:pPr>
        <w:pStyle w:val="BodyText"/>
      </w:pPr>
      <w:r>
        <w:rPr>
          <w:bCs/>
          <w:b/>
        </w:rPr>
        <w:t xml:space="preserve">Adaptive Response Requirements:</w:t>
      </w:r>
      <w:r>
        <w:t xml:space="preserve"> </w:t>
      </w:r>
      <w:r>
        <w:t xml:space="preserve">- Data governance transformation</w:t>
      </w:r>
      <w:r>
        <w:t xml:space="preserve"> </w:t>
      </w:r>
      <w:r>
        <w:t xml:space="preserve">(governance domain) - Information architecture investment (technology</w:t>
      </w:r>
      <w:r>
        <w:t xml:space="preserve"> </w:t>
      </w:r>
      <w:r>
        <w:t xml:space="preserve">domain) - Data literacy development (educational domain) - Data-driven</w:t>
      </w:r>
      <w:r>
        <w:t xml:space="preserve"> </w:t>
      </w:r>
      <w:r>
        <w:t xml:space="preserve">culture cultivation (cultural domain) - Financial framework for data</w:t>
      </w:r>
      <w:r>
        <w:t xml:space="preserve"> </w:t>
      </w:r>
      <w:r>
        <w:t xml:space="preserve">asset capitalization (financial domain)</w:t>
      </w:r>
    </w:p>
    <w:p>
      <w:pPr>
        <w:pStyle w:val="BodyText"/>
      </w:pPr>
      <w:r>
        <w:t xml:space="preserve">The CAS framework provides diagnostic lens for identifying</w:t>
      </w:r>
      <w:r>
        <w:t xml:space="preserve"> </w:t>
      </w:r>
      <w:r>
        <w:t xml:space="preserve">domain-specific weaknesses and prioritizing transformation investments.</w:t>
      </w:r>
    </w:p>
    <w:bookmarkEnd w:id="149"/>
    <w:bookmarkEnd w:id="150"/>
    <w:bookmarkEnd w:id="151"/>
    <w:bookmarkStart w:id="162" w:name="X3f0f3033393c8059f9449a14180ad294cc301ea"/>
    <w:p>
      <w:pPr>
        <w:pStyle w:val="Heading1"/>
      </w:pPr>
      <w:r>
        <w:t xml:space="preserve">CAS FRAMEWORK CONNECTIONS: THEORETICAL INTEGRATION</w:t>
      </w:r>
    </w:p>
    <w:bookmarkStart w:id="156" w:name="theoretical-frameworks-applied"/>
    <w:p>
      <w:pPr>
        <w:pStyle w:val="Heading2"/>
      </w:pPr>
      <w:r>
        <w:t xml:space="preserve">Theoretical Frameworks Applied</w:t>
      </w:r>
    </w:p>
    <w:bookmarkStart w:id="152" w:name="north-and-weingast-credible-commitment"/>
    <w:p>
      <w:pPr>
        <w:pStyle w:val="Heading3"/>
      </w:pPr>
      <w:r>
        <w:t xml:space="preserve">North and Weingast: Credible Commitment</w:t>
      </w:r>
    </w:p>
    <w:p>
      <w:pPr>
        <w:pStyle w:val="FirstParagraph"/>
      </w:pPr>
      <w:r>
        <w:t xml:space="preserve">Douglass North and Barry Weingast’s</w:t>
      </w:r>
      <w:r>
        <w:t xml:space="preserve"> </w:t>
      </w:r>
      <w:r>
        <w:t xml:space="preserve">“</w:t>
      </w:r>
      <w:r>
        <w:t xml:space="preserve">Constitutions and Commitment</w:t>
      </w:r>
      <w:r>
        <w:t xml:space="preserve">”</w:t>
      </w:r>
      <w:r>
        <w:t xml:space="preserve"> </w:t>
      </w:r>
      <w:r>
        <w:t xml:space="preserve">(1989) framework—foundational for understanding the 1694 Glorious</w:t>
      </w:r>
      <w:r>
        <w:t xml:space="preserve"> </w:t>
      </w:r>
      <w:r>
        <w:t xml:space="preserve">Revolution’s enabling of British financial development—provides</w:t>
      </w:r>
      <w:r>
        <w:t xml:space="preserve"> </w:t>
      </w:r>
      <w:r>
        <w:t xml:space="preserve">analytical leverage for contemporary American assessment.</w:t>
      </w:r>
    </w:p>
    <w:p>
      <w:pPr>
        <w:pStyle w:val="BodyText"/>
      </w:pPr>
      <w:r>
        <w:rPr>
          <w:bCs/>
          <w:b/>
        </w:rPr>
        <w:t xml:space="preserve">Core Proposition:</w:t>
      </w:r>
      <w:r>
        <w:t xml:space="preserve"> </w:t>
      </w:r>
      <w:r>
        <w:t xml:space="preserve">Credible commitment to property rights and</w:t>
      </w:r>
      <w:r>
        <w:t xml:space="preserve"> </w:t>
      </w:r>
      <w:r>
        <w:t xml:space="preserve">contract enforcement enables long-term investment and capital market</w:t>
      </w:r>
      <w:r>
        <w:t xml:space="preserve"> </w:t>
      </w:r>
      <w:r>
        <w:t xml:space="preserve">development. Governments must constrain their own future behavior to</w:t>
      </w:r>
      <w:r>
        <w:t xml:space="preserve"> </w:t>
      </w:r>
      <w:r>
        <w:t xml:space="preserve">attract investment.</w:t>
      </w:r>
    </w:p>
    <w:p>
      <w:pPr>
        <w:pStyle w:val="BodyText"/>
      </w:pPr>
      <w:r>
        <w:rPr>
          <w:bCs/>
          <w:b/>
        </w:rPr>
        <w:t xml:space="preserve">American Application:</w:t>
      </w:r>
    </w:p>
    <w:p>
      <w:pPr>
        <w:pStyle w:val="BodyText"/>
      </w:pPr>
      <w:r>
        <w:rPr>
          <w:iCs/>
          <w:i/>
        </w:rPr>
        <w:t xml:space="preserve">Credible Commitment Erosion:</w:t>
      </w:r>
      <w:r>
        <w:t xml:space="preserve"> </w:t>
      </w:r>
      <w:r>
        <w:t xml:space="preserve">- 2008 bailout selectivity (Bear Stearns</w:t>
      </w:r>
      <w:r>
        <w:t xml:space="preserve"> </w:t>
      </w:r>
      <w:r>
        <w:t xml:space="preserve">vs. Lehman Brothers) introduced discretion - COVID emergency powers</w:t>
      </w:r>
      <w:r>
        <w:t xml:space="preserve"> </w:t>
      </w:r>
      <w:r>
        <w:t xml:space="preserve">expanded executive authority - Tariff policy unpredictability damages</w:t>
      </w:r>
      <w:r>
        <w:t xml:space="preserve"> </w:t>
      </w:r>
      <w:r>
        <w:t xml:space="preserve">investment planning - Supreme Court jurisprudential shifts create</w:t>
      </w:r>
      <w:r>
        <w:t xml:space="preserve"> </w:t>
      </w:r>
      <w:r>
        <w:t xml:space="preserve">regulatory uncertainty</w:t>
      </w:r>
    </w:p>
    <w:p>
      <w:pPr>
        <w:pStyle w:val="BodyText"/>
      </w:pPr>
      <w:r>
        <w:rPr>
          <w:iCs/>
          <w:i/>
        </w:rPr>
        <w:t xml:space="preserve">Credible Commitment Persistence:</w:t>
      </w:r>
      <w:r>
        <w:t xml:space="preserve"> </w:t>
      </w:r>
      <w:r>
        <w:t xml:space="preserve">- Contract enforcement remains</w:t>
      </w:r>
      <w:r>
        <w:t xml:space="preserve"> </w:t>
      </w:r>
      <w:r>
        <w:t xml:space="preserve">reliable - Property rights generally respected - Legal system functional</w:t>
      </w:r>
      <w:r>
        <w:t xml:space="preserve"> </w:t>
      </w:r>
      <w:r>
        <w:t xml:space="preserve">despite politicization - Fed independence maintained (though contested)</w:t>
      </w:r>
    </w:p>
    <w:p>
      <w:pPr>
        <w:pStyle w:val="BodyText"/>
      </w:pPr>
      <w:r>
        <w:rPr>
          <w:bCs/>
          <w:b/>
        </w:rPr>
        <w:t xml:space="preserve">Assessment:</w:t>
      </w:r>
      <w:r>
        <w:t xml:space="preserve"> </w:t>
      </w:r>
      <w:r>
        <w:t xml:space="preserve">American credible commitment has eroded at margins but</w:t>
      </w:r>
      <w:r>
        <w:t xml:space="preserve"> </w:t>
      </w:r>
      <w:r>
        <w:t xml:space="preserve">remains substantially functional. The erosion is consistent with signal</w:t>
      </w:r>
      <w:r>
        <w:t xml:space="preserve"> </w:t>
      </w:r>
      <w:r>
        <w:t xml:space="preserve">crisis (recoverable through institutional renewal) rather than terminal</w:t>
      </w:r>
      <w:r>
        <w:t xml:space="preserve"> </w:t>
      </w:r>
      <w:r>
        <w:t xml:space="preserve">collapse (permanent loss of commitment capacity).</w:t>
      </w:r>
    </w:p>
    <w:bookmarkEnd w:id="152"/>
    <w:bookmarkStart w:id="153" w:name="giovanni-arrighi-systemic-cycles"/>
    <w:p>
      <w:pPr>
        <w:pStyle w:val="Heading3"/>
      </w:pPr>
      <w:r>
        <w:t xml:space="preserve">Giovanni Arrighi: Systemic Cycles</w:t>
      </w:r>
    </w:p>
    <w:p>
      <w:pPr>
        <w:pStyle w:val="FirstParagraph"/>
      </w:pPr>
      <w:r>
        <w:t xml:space="preserve">Arrighi’s</w:t>
      </w:r>
      <w:r>
        <w:t xml:space="preserve"> </w:t>
      </w:r>
      <w:r>
        <w:rPr>
          <w:iCs/>
          <w:i/>
        </w:rPr>
        <w:t xml:space="preserve">The Long Twentieth Century</w:t>
      </w:r>
      <w:r>
        <w:t xml:space="preserve"> </w:t>
      </w:r>
      <w:r>
        <w:t xml:space="preserve">(1994) and</w:t>
      </w:r>
      <w:r>
        <w:t xml:space="preserve"> </w:t>
      </w:r>
      <w:r>
        <w:rPr>
          <w:iCs/>
          <w:i/>
        </w:rPr>
        <w:t xml:space="preserve">Adam Smith in</w:t>
      </w:r>
      <w:r>
        <w:rPr>
          <w:iCs/>
          <w:i/>
        </w:rPr>
        <w:t xml:space="preserve"> </w:t>
      </w:r>
      <w:r>
        <w:rPr>
          <w:iCs/>
          <w:i/>
        </w:rPr>
        <w:t xml:space="preserve">Beijing</w:t>
      </w:r>
      <w:r>
        <w:t xml:space="preserve"> </w:t>
      </w:r>
      <w:r>
        <w:t xml:space="preserve">(2007) framework of systemic accumulation cycles provides</w:t>
      </w:r>
      <w:r>
        <w:t xml:space="preserve"> </w:t>
      </w:r>
      <w:r>
        <w:t xml:space="preserve">hegemonic transition lens.</w:t>
      </w:r>
    </w:p>
    <w:p>
      <w:pPr>
        <w:pStyle w:val="BodyText"/>
      </w:pPr>
      <w:r>
        <w:rPr>
          <w:bCs/>
          <w:b/>
        </w:rPr>
        <w:t xml:space="preserve">Core Proposition:</w:t>
      </w:r>
      <w:r>
        <w:t xml:space="preserve"> </w:t>
      </w:r>
      <w:r>
        <w:t xml:space="preserve">Hegemonic cycles follow pattern: material</w:t>
      </w:r>
      <w:r>
        <w:t xml:space="preserve"> </w:t>
      </w:r>
      <w:r>
        <w:t xml:space="preserve">expansion → financial expansion → signal crisis → terminal crisis →</w:t>
      </w:r>
      <w:r>
        <w:t xml:space="preserve"> </w:t>
      </w:r>
      <w:r>
        <w:t xml:space="preserve">succession. Each hegemon creates institutional infrastructure</w:t>
      </w:r>
      <w:r>
        <w:t xml:space="preserve"> </w:t>
      </w:r>
      <w:r>
        <w:t xml:space="preserve">appropriated and extended by successor.</w:t>
      </w:r>
    </w:p>
    <w:p>
      <w:pPr>
        <w:pStyle w:val="BodyText"/>
      </w:pPr>
      <w:r>
        <w:rPr>
          <w:bCs/>
          <w:b/>
        </w:rPr>
        <w:t xml:space="preserve">American Application:</w:t>
      </w:r>
    </w:p>
    <w:p>
      <w:pPr>
        <w:pStyle w:val="BodyText"/>
      </w:pPr>
      <w:r>
        <w:rPr>
          <w:iCs/>
          <w:i/>
        </w:rPr>
        <w:t xml:space="preserve">Material Expansion Phase (1945-1970s):</w:t>
      </w:r>
      <w:r>
        <w:t xml:space="preserve"> </w:t>
      </w:r>
      <w:r>
        <w:t xml:space="preserve">Manufacturing dominance,</w:t>
      </w:r>
      <w:r>
        <w:t xml:space="preserve"> </w:t>
      </w:r>
      <w:r>
        <w:t xml:space="preserve">Marshall Plan reconstruction, Bretton Woods system establishment.</w:t>
      </w:r>
    </w:p>
    <w:p>
      <w:pPr>
        <w:pStyle w:val="BodyText"/>
      </w:pPr>
      <w:r>
        <w:rPr>
          <w:iCs/>
          <w:i/>
        </w:rPr>
        <w:t xml:space="preserve">Financial Expansion Phase (1970s-2008):</w:t>
      </w:r>
      <w:r>
        <w:t xml:space="preserve"> </w:t>
      </w:r>
      <w:r>
        <w:t xml:space="preserve">Petrodollar system, financial</w:t>
      </w:r>
      <w:r>
        <w:t xml:space="preserve"> </w:t>
      </w:r>
      <w:r>
        <w:t xml:space="preserve">deregulation, Wall Street dominance, financialization of economy.</w:t>
      </w:r>
    </w:p>
    <w:p>
      <w:pPr>
        <w:pStyle w:val="BodyText"/>
      </w:pPr>
      <w:r>
        <w:rPr>
          <w:iCs/>
          <w:i/>
        </w:rPr>
        <w:t xml:space="preserve">Signal Crisis (2008-?):</w:t>
      </w:r>
      <w:r>
        <w:t xml:space="preserve"> </w:t>
      </w:r>
      <w:r>
        <w:t xml:space="preserve">Financial crisis, China challenge, domestic</w:t>
      </w:r>
      <w:r>
        <w:t xml:space="preserve"> </w:t>
      </w:r>
      <w:r>
        <w:t xml:space="preserve">political dysfunction, institutional erosion.</w:t>
      </w:r>
    </w:p>
    <w:p>
      <w:pPr>
        <w:pStyle w:val="BodyText"/>
      </w:pPr>
      <w:r>
        <w:rPr>
          <w:iCs/>
          <w:i/>
        </w:rPr>
        <w:t xml:space="preserve">Terminal Crisis (?):</w:t>
      </w:r>
      <w:r>
        <w:t xml:space="preserve"> </w:t>
      </w:r>
      <w:r>
        <w:t xml:space="preserve">Not yet reached. No successor positioned.</w:t>
      </w:r>
      <w:r>
        <w:t xml:space="preserve"> </w:t>
      </w:r>
      <w:r>
        <w:t xml:space="preserve">Extended signal crisis phase.</w:t>
      </w:r>
    </w:p>
    <w:p>
      <w:pPr>
        <w:pStyle w:val="BodyText"/>
      </w:pPr>
      <w:r>
        <w:rPr>
          <w:bCs/>
          <w:b/>
        </w:rPr>
        <w:t xml:space="preserve">Assessment:</w:t>
      </w:r>
      <w:r>
        <w:t xml:space="preserve"> </w:t>
      </w:r>
      <w:r>
        <w:t xml:space="preserve">Arrighi’s framework supports signal crisis</w:t>
      </w:r>
      <w:r>
        <w:t xml:space="preserve"> </w:t>
      </w:r>
      <w:r>
        <w:t xml:space="preserve">interpretation. The absence of positioned successor (China’s structural</w:t>
      </w:r>
      <w:r>
        <w:t xml:space="preserve"> </w:t>
      </w:r>
      <w:r>
        <w:t xml:space="preserve">constraints, no alternative financial architecture) extends American</w:t>
      </w:r>
      <w:r>
        <w:t xml:space="preserve"> </w:t>
      </w:r>
      <w:r>
        <w:t xml:space="preserve">hegemony beyond what purely structural analysis would predict. The 1694</w:t>
      </w:r>
      <w:r>
        <w:t xml:space="preserve"> </w:t>
      </w:r>
      <w:r>
        <w:t xml:space="preserve">thesis—financial institutions as culmination, not cause—suggests</w:t>
      </w:r>
      <w:r>
        <w:t xml:space="preserve"> </w:t>
      </w:r>
      <w:r>
        <w:t xml:space="preserve">China cannot replicate American hegemony through financial innovation</w:t>
      </w:r>
      <w:r>
        <w:t xml:space="preserve"> </w:t>
      </w:r>
      <w:r>
        <w:t xml:space="preserve">alone without prior institutional foundation.</w:t>
      </w:r>
    </w:p>
    <w:bookmarkEnd w:id="153"/>
    <w:bookmarkStart w:id="154" w:name="joseph-tainter-complexity-collapse"/>
    <w:p>
      <w:pPr>
        <w:pStyle w:val="Heading3"/>
      </w:pPr>
      <w:r>
        <w:t xml:space="preserve">Joseph Tainter: Complexity Collapse</w:t>
      </w:r>
    </w:p>
    <w:p>
      <w:pPr>
        <w:pStyle w:val="FirstParagraph"/>
      </w:pPr>
      <w:r>
        <w:t xml:space="preserve">Tainter’s</w:t>
      </w:r>
      <w:r>
        <w:t xml:space="preserve"> </w:t>
      </w:r>
      <w:r>
        <w:rPr>
          <w:iCs/>
          <w:i/>
        </w:rPr>
        <w:t xml:space="preserve">The Collapse of Complex Societies</w:t>
      </w:r>
      <w:r>
        <w:t xml:space="preserve"> </w:t>
      </w:r>
      <w:r>
        <w:t xml:space="preserve">(1988) framework</w:t>
      </w:r>
      <w:r>
        <w:t xml:space="preserve"> </w:t>
      </w:r>
      <w:r>
        <w:t xml:space="preserve">emphasizes diminishing returns on complexity as collapse driver.</w:t>
      </w:r>
    </w:p>
    <w:p>
      <w:pPr>
        <w:pStyle w:val="BodyText"/>
      </w:pPr>
      <w:r>
        <w:rPr>
          <w:bCs/>
          <w:b/>
        </w:rPr>
        <w:t xml:space="preserve">Core Proposition:</w:t>
      </w:r>
      <w:r>
        <w:t xml:space="preserve"> </w:t>
      </w:r>
      <w:r>
        <w:t xml:space="preserve">Societies solve problems by adding complexity.</w:t>
      </w:r>
      <w:r>
        <w:t xml:space="preserve"> </w:t>
      </w:r>
      <w:r>
        <w:t xml:space="preserve">Initially productive, complexity eventually produces diminishing</w:t>
      </w:r>
      <w:r>
        <w:t xml:space="preserve"> </w:t>
      </w:r>
      <w:r>
        <w:t xml:space="preserve">returns. Collapse occurs when complexity costs exceed benefits and</w:t>
      </w:r>
      <w:r>
        <w:t xml:space="preserve"> </w:t>
      </w:r>
      <w:r>
        <w:t xml:space="preserve">societies cannot simplify.</w:t>
      </w:r>
    </w:p>
    <w:p>
      <w:pPr>
        <w:pStyle w:val="BodyText"/>
      </w:pPr>
      <w:r>
        <w:rPr>
          <w:bCs/>
          <w:b/>
        </w:rPr>
        <w:t xml:space="preserve">American Application:</w:t>
      </w:r>
    </w:p>
    <w:p>
      <w:pPr>
        <w:pStyle w:val="BodyText"/>
      </w:pPr>
      <w:r>
        <w:rPr>
          <w:iCs/>
          <w:i/>
        </w:rPr>
        <w:t xml:space="preserve">Complexity Accumulation:</w:t>
      </w:r>
      <w:r>
        <w:t xml:space="preserve"> </w:t>
      </w:r>
      <w:r>
        <w:t xml:space="preserve">- Federal Register pages: 86,356</w:t>
      </w:r>
      <w:r>
        <w:t xml:space="preserve"> </w:t>
      </w:r>
      <w:r>
        <w:t xml:space="preserve">(2021)—regulatory complexity - Tax code complexity: 75,000+ pages -</w:t>
      </w:r>
      <w:r>
        <w:t xml:space="preserve"> </w:t>
      </w:r>
      <w:r>
        <w:t xml:space="preserve">Healthcare system administrative burden: 25-31% of spending - Financial</w:t>
      </w:r>
      <w:r>
        <w:t xml:space="preserve"> </w:t>
      </w:r>
      <w:r>
        <w:t xml:space="preserve">system regulatory arbitrage</w:t>
      </w:r>
    </w:p>
    <w:p>
      <w:pPr>
        <w:pStyle w:val="BodyText"/>
      </w:pPr>
      <w:r>
        <w:rPr>
          <w:iCs/>
          <w:i/>
        </w:rPr>
        <w:t xml:space="preserve">Diminishing Returns Evidence:</w:t>
      </w:r>
      <w:r>
        <w:t xml:space="preserve"> </w:t>
      </w:r>
      <w:r>
        <w:t xml:space="preserve">- Declining infrastructure quality</w:t>
      </w:r>
      <w:r>
        <w:t xml:space="preserve"> </w:t>
      </w:r>
      <w:r>
        <w:t xml:space="preserve">despite spending - Education spending increases without proportional</w:t>
      </w:r>
      <w:r>
        <w:t xml:space="preserve"> </w:t>
      </w:r>
      <w:r>
        <w:t xml:space="preserve">outcome improvement - Healthcare spending with inferior outcomes versus</w:t>
      </w:r>
      <w:r>
        <w:t xml:space="preserve"> </w:t>
      </w:r>
      <w:r>
        <w:t xml:space="preserve">peers - Regulatory compliance burden constraining small business</w:t>
      </w:r>
      <w:r>
        <w:t xml:space="preserve"> </w:t>
      </w:r>
      <w:r>
        <w:t xml:space="preserve">formation</w:t>
      </w:r>
    </w:p>
    <w:p>
      <w:pPr>
        <w:pStyle w:val="BodyText"/>
      </w:pPr>
      <w:r>
        <w:rPr>
          <w:iCs/>
          <w:i/>
        </w:rPr>
        <w:t xml:space="preserve">Simplification Capacity:</w:t>
      </w:r>
      <w:r>
        <w:t xml:space="preserve"> </w:t>
      </w:r>
      <w:r>
        <w:t xml:space="preserve">Unlike empires that cannot simplify,</w:t>
      </w:r>
      <w:r>
        <w:t xml:space="preserve"> </w:t>
      </w:r>
      <w:r>
        <w:t xml:space="preserve">corporations and federal systems potentially can: - Deregulation efforts</w:t>
      </w:r>
      <w:r>
        <w:t xml:space="preserve"> </w:t>
      </w:r>
      <w:r>
        <w:t xml:space="preserve">(varied success) - Technology enabling efficiency (digital government) -</w:t>
      </w:r>
      <w:r>
        <w:t xml:space="preserve"> </w:t>
      </w:r>
      <w:r>
        <w:t xml:space="preserve">Federalism allowing state experimentation</w:t>
      </w:r>
    </w:p>
    <w:p>
      <w:pPr>
        <w:pStyle w:val="BodyText"/>
      </w:pPr>
      <w:r>
        <w:rPr>
          <w:bCs/>
          <w:b/>
        </w:rPr>
        <w:t xml:space="preserve">Assessment:</w:t>
      </w:r>
      <w:r>
        <w:t xml:space="preserve"> </w:t>
      </w:r>
      <w:r>
        <w:t xml:space="preserve">Tainter’s framework identifies genuine vulnerability.</w:t>
      </w:r>
      <w:r>
        <w:t xml:space="preserve"> </w:t>
      </w:r>
      <w:r>
        <w:t xml:space="preserve">American institutional complexity shows diminishing returns</w:t>
      </w:r>
      <w:r>
        <w:t xml:space="preserve"> </w:t>
      </w:r>
      <w:r>
        <w:t xml:space="preserve">characteristics. However, the framework may underestimate adaptation</w:t>
      </w:r>
      <w:r>
        <w:t xml:space="preserve"> </w:t>
      </w:r>
      <w:r>
        <w:t xml:space="preserve">capacity—corporations and federal systems can simplify in ways</w:t>
      </w:r>
      <w:r>
        <w:t xml:space="preserve"> </w:t>
      </w:r>
      <w:r>
        <w:t xml:space="preserve">centralized empires could not.</w:t>
      </w:r>
    </w:p>
    <w:bookmarkEnd w:id="154"/>
    <w:bookmarkStart w:id="155" w:name="X162b8ff0eb8308c33232254d538f16dbe2c83f5"/>
    <w:p>
      <w:pPr>
        <w:pStyle w:val="Heading3"/>
      </w:pPr>
      <w:r>
        <w:t xml:space="preserve">Acemoglu and Robinson: Inclusive vs. Extractive Institutions</w:t>
      </w:r>
    </w:p>
    <w:p>
      <w:pPr>
        <w:pStyle w:val="FirstParagraph"/>
      </w:pPr>
      <w:r>
        <w:rPr>
          <w:iCs/>
          <w:i/>
        </w:rPr>
        <w:t xml:space="preserve">Why Nations Fail</w:t>
      </w:r>
      <w:r>
        <w:t xml:space="preserve"> </w:t>
      </w:r>
      <w:r>
        <w:t xml:space="preserve">(2012) framework distinguishes inclusive institutions</w:t>
      </w:r>
      <w:r>
        <w:t xml:space="preserve"> </w:t>
      </w:r>
      <w:r>
        <w:t xml:space="preserve">(broad participation, opportunity, innovation) from extractive</w:t>
      </w:r>
      <w:r>
        <w:t xml:space="preserve"> </w:t>
      </w:r>
      <w:r>
        <w:t xml:space="preserve">institutions (narrow elite capture, resource extraction).</w:t>
      </w:r>
    </w:p>
    <w:p>
      <w:pPr>
        <w:pStyle w:val="BodyText"/>
      </w:pPr>
      <w:r>
        <w:rPr>
          <w:bCs/>
          <w:b/>
        </w:rPr>
        <w:t xml:space="preserve">American Application:</w:t>
      </w:r>
    </w:p>
    <w:p>
      <w:pPr>
        <w:pStyle w:val="BodyText"/>
      </w:pPr>
      <w:r>
        <w:rPr>
          <w:iCs/>
          <w:i/>
        </w:rPr>
        <w:t xml:space="preserve">Inclusive Institution Erosion:</w:t>
      </w:r>
      <w:r>
        <w:t xml:space="preserve"> </w:t>
      </w:r>
      <w:r>
        <w:t xml:space="preserve">- Political polarization reducing</w:t>
      </w:r>
      <w:r>
        <w:t xml:space="preserve"> </w:t>
      </w:r>
      <w:r>
        <w:t xml:space="preserve">deliberative capacity - Wealth concentration limiting opportunity</w:t>
      </w:r>
      <w:r>
        <w:t xml:space="preserve"> </w:t>
      </w:r>
      <w:r>
        <w:t xml:space="preserve">perception - Educational quality divergence by geography/income -</w:t>
      </w:r>
      <w:r>
        <w:t xml:space="preserve"> </w:t>
      </w:r>
      <w:r>
        <w:t xml:space="preserve">Regulatory capture in multiple domains</w:t>
      </w:r>
    </w:p>
    <w:p>
      <w:pPr>
        <w:pStyle w:val="BodyText"/>
      </w:pPr>
      <w:r>
        <w:rPr>
          <w:iCs/>
          <w:i/>
        </w:rPr>
        <w:t xml:space="preserve">Inclusive Institution Persistence:</w:t>
      </w:r>
      <w:r>
        <w:t xml:space="preserve"> </w:t>
      </w:r>
      <w:r>
        <w:t xml:space="preserve">- Entrepreneurship rates remain</w:t>
      </w:r>
      <w:r>
        <w:t xml:space="preserve"> </w:t>
      </w:r>
      <w:r>
        <w:t xml:space="preserve">high - Innovation ecosystem functional - Venture capital available</w:t>
      </w:r>
      <w:r>
        <w:t xml:space="preserve"> </w:t>
      </w:r>
      <w:r>
        <w:t xml:space="preserve">broadly (if geographically concentrated) - University system accessible</w:t>
      </w:r>
      <w:r>
        <w:t xml:space="preserve"> </w:t>
      </w:r>
      <w:r>
        <w:t xml:space="preserve">(if expensive)</w:t>
      </w:r>
    </w:p>
    <w:p>
      <w:pPr>
        <w:pStyle w:val="BodyText"/>
      </w:pPr>
      <w:r>
        <w:rPr>
          <w:bCs/>
          <w:b/>
        </w:rPr>
        <w:t xml:space="preserve">Assessment:</w:t>
      </w:r>
      <w:r>
        <w:t xml:space="preserve"> </w:t>
      </w:r>
      <w:r>
        <w:t xml:space="preserve">The Acemoglu-Robinson framework highlights concerning</w:t>
      </w:r>
      <w:r>
        <w:t xml:space="preserve"> </w:t>
      </w:r>
      <w:r>
        <w:t xml:space="preserve">trends without indicating terminal transformation. American institutions</w:t>
      </w:r>
      <w:r>
        <w:t xml:space="preserve"> </w:t>
      </w:r>
      <w:r>
        <w:t xml:space="preserve">remain more inclusive than most historical comparators while showing</w:t>
      </w:r>
      <w:r>
        <w:t xml:space="preserve"> </w:t>
      </w:r>
      <w:r>
        <w:t xml:space="preserve">erosion at margins. The framework supports signal crisis</w:t>
      </w:r>
      <w:r>
        <w:t xml:space="preserve"> </w:t>
      </w:r>
      <w:r>
        <w:t xml:space="preserve">interpretation—inclusive institutional degradation is real but not yet</w:t>
      </w:r>
      <w:r>
        <w:t xml:space="preserve"> </w:t>
      </w:r>
      <w:r>
        <w:t xml:space="preserve">catastrophic.</w:t>
      </w:r>
    </w:p>
    <w:bookmarkEnd w:id="155"/>
    <w:bookmarkEnd w:id="156"/>
    <w:bookmarkStart w:id="161" w:name="X8079427992a6429369d9da8f86749e3a95e5506"/>
    <w:p>
      <w:pPr>
        <w:pStyle w:val="Heading2"/>
      </w:pPr>
      <w:r>
        <w:t xml:space="preserve">Blind Spots Revealed for Infonomics Framework</w:t>
      </w:r>
    </w:p>
    <w:p>
      <w:pPr>
        <w:pStyle w:val="FirstParagraph"/>
      </w:pPr>
      <w:r>
        <w:t xml:space="preserve">The contemporary American analysis reveals CAS framework limitations</w:t>
      </w:r>
      <w:r>
        <w:t xml:space="preserve"> </w:t>
      </w:r>
      <w:r>
        <w:t xml:space="preserve">requiring attention in Infonomics application:</w:t>
      </w:r>
    </w:p>
    <w:bookmarkStart w:id="157" w:name="blind-spot-1-timescale-mismatch"/>
    <w:p>
      <w:pPr>
        <w:pStyle w:val="Heading3"/>
      </w:pPr>
      <w:r>
        <w:t xml:space="preserve">Blind Spot 1: Timescale Mismatch</w:t>
      </w:r>
    </w:p>
    <w:p>
      <w:pPr>
        <w:pStyle w:val="FirstParagraph"/>
      </w:pPr>
      <w:r>
        <w:t xml:space="preserve">Financial markets operate on day/week timescales; institutional</w:t>
      </w:r>
      <w:r>
        <w:t xml:space="preserve"> </w:t>
      </w:r>
      <w:r>
        <w:t xml:space="preserve">transformation requires decades. The CAS framework’s contemporaneous</w:t>
      </w:r>
      <w:r>
        <w:t xml:space="preserve"> </w:t>
      </w:r>
      <w:r>
        <w:t xml:space="preserve">period analysis conflates different temporal domains. Infonomics</w:t>
      </w:r>
      <w:r>
        <w:t xml:space="preserve"> </w:t>
      </w:r>
      <w:r>
        <w:t xml:space="preserve">application must explicitly address timescale variation across data</w:t>
      </w:r>
      <w:r>
        <w:t xml:space="preserve"> </w:t>
      </w:r>
      <w:r>
        <w:t xml:space="preserve">asset classes.</w:t>
      </w:r>
    </w:p>
    <w:p>
      <w:pPr>
        <w:pStyle w:val="BodyText"/>
      </w:pPr>
      <w:r>
        <w:rPr>
          <w:bCs/>
          <w:b/>
        </w:rPr>
        <w:t xml:space="preserve">Recommended Mitigation:</w:t>
      </w:r>
      <w:r>
        <w:t xml:space="preserve"> </w:t>
      </w:r>
      <w:r>
        <w:t xml:space="preserve">Layer analysis by timescale—operational</w:t>
      </w:r>
      <w:r>
        <w:t xml:space="preserve"> </w:t>
      </w:r>
      <w:r>
        <w:t xml:space="preserve">data (short-cycle), strategic data assets (medium-cycle), institutional</w:t>
      </w:r>
      <w:r>
        <w:t xml:space="preserve"> </w:t>
      </w:r>
      <w:r>
        <w:t xml:space="preserve">data infrastructure (long-cycle).</w:t>
      </w:r>
    </w:p>
    <w:bookmarkEnd w:id="157"/>
    <w:bookmarkStart w:id="158" w:name="blind-spot-2-network-effect-valuation"/>
    <w:p>
      <w:pPr>
        <w:pStyle w:val="Heading3"/>
      </w:pPr>
      <w:r>
        <w:t xml:space="preserve">Blind Spot 2: Network Effect Valuation</w:t>
      </w:r>
    </w:p>
    <w:p>
      <w:pPr>
        <w:pStyle w:val="FirstParagraph"/>
      </w:pPr>
      <w:r>
        <w:t xml:space="preserve">The dollar system’s persistence despite reserve share decline</w:t>
      </w:r>
      <w:r>
        <w:t xml:space="preserve"> </w:t>
      </w:r>
      <w:r>
        <w:t xml:space="preserve">demonstrates network effect power exceeding conventional analysis.</w:t>
      </w:r>
      <w:r>
        <w:t xml:space="preserve"> </w:t>
      </w:r>
      <w:r>
        <w:t xml:space="preserve">Infonomics data asset valuation must incorporate network effect</w:t>
      </w:r>
      <w:r>
        <w:t xml:space="preserve"> </w:t>
      </w:r>
      <w:r>
        <w:t xml:space="preserve">multipliers.</w:t>
      </w:r>
    </w:p>
    <w:p>
      <w:pPr>
        <w:pStyle w:val="BodyText"/>
      </w:pPr>
      <w:r>
        <w:rPr>
          <w:bCs/>
          <w:b/>
        </w:rPr>
        <w:t xml:space="preserve">Recommended Mitigation:</w:t>
      </w:r>
      <w:r>
        <w:t xml:space="preserve"> </w:t>
      </w:r>
      <w:r>
        <w:t xml:space="preserve">Network topology analysis as distinct</w:t>
      </w:r>
      <w:r>
        <w:t xml:space="preserve"> </w:t>
      </w:r>
      <w:r>
        <w:t xml:space="preserve">valuation layer; ecosystem positioning as strategic consideration</w:t>
      </w:r>
      <w:r>
        <w:t xml:space="preserve"> </w:t>
      </w:r>
      <w:r>
        <w:t xml:space="preserve">independent of asset-level valuation.</w:t>
      </w:r>
    </w:p>
    <w:bookmarkEnd w:id="158"/>
    <w:bookmarkStart w:id="159" w:name="blind-spot-3-regulatory-complexity"/>
    <w:p>
      <w:pPr>
        <w:pStyle w:val="Heading3"/>
      </w:pPr>
      <w:r>
        <w:t xml:space="preserve">Blind Spot 3: Regulatory Complexity</w:t>
      </w:r>
    </w:p>
    <w:p>
      <w:pPr>
        <w:pStyle w:val="FirstParagraph"/>
      </w:pPr>
      <w:r>
        <w:t xml:space="preserve">Modern regulatory environment has no historical parallel. Empires did</w:t>
      </w:r>
      <w:r>
        <w:t xml:space="preserve"> </w:t>
      </w:r>
      <w:r>
        <w:t xml:space="preserve">not face equivalent compliance burden or regulatory arbitrage</w:t>
      </w:r>
      <w:r>
        <w:t xml:space="preserve"> </w:t>
      </w:r>
      <w:r>
        <w:t xml:space="preserve">incentives. Infonomics framework must account for regulatory impact on</w:t>
      </w:r>
      <w:r>
        <w:t xml:space="preserve"> </w:t>
      </w:r>
      <w:r>
        <w:t xml:space="preserve">data asset value.</w:t>
      </w:r>
    </w:p>
    <w:p>
      <w:pPr>
        <w:pStyle w:val="BodyText"/>
      </w:pPr>
      <w:r>
        <w:rPr>
          <w:bCs/>
          <w:b/>
        </w:rPr>
        <w:t xml:space="preserve">Recommended Mitigation:</w:t>
      </w:r>
      <w:r>
        <w:t xml:space="preserve"> </w:t>
      </w:r>
      <w:r>
        <w:t xml:space="preserve">Regulatory compliance cost as distinct Layer</w:t>
      </w:r>
      <w:r>
        <w:t xml:space="preserve"> </w:t>
      </w:r>
      <w:r>
        <w:t xml:space="preserve">B component; regulatory trajectory scenario analysis in Layer C real</w:t>
      </w:r>
      <w:r>
        <w:t xml:space="preserve"> </w:t>
      </w:r>
      <w:r>
        <w:t xml:space="preserve">options framework.</w:t>
      </w:r>
    </w:p>
    <w:bookmarkEnd w:id="159"/>
    <w:bookmarkStart w:id="160" w:name="blind-spot-4-exit-option-value"/>
    <w:p>
      <w:pPr>
        <w:pStyle w:val="Heading3"/>
      </w:pPr>
      <w:r>
        <w:t xml:space="preserve">Blind Spot 4: Exit Option Value</w:t>
      </w:r>
    </w:p>
    <w:p>
      <w:pPr>
        <w:pStyle w:val="FirstParagraph"/>
      </w:pPr>
      <w:r>
        <w:t xml:space="preserve">Corporations can exit failing domains; empires cannot. This asymmetry</w:t>
      </w:r>
      <w:r>
        <w:t xml:space="preserve"> </w:t>
      </w:r>
      <w:r>
        <w:t xml:space="preserve">affects framework applicability. Corporate information capital strategy</w:t>
      </w:r>
      <w:r>
        <w:t xml:space="preserve"> </w:t>
      </w:r>
      <w:r>
        <w:t xml:space="preserve">has restructuring options unavailable to territorial hegemons.</w:t>
      </w:r>
    </w:p>
    <w:p>
      <w:pPr>
        <w:pStyle w:val="BodyText"/>
      </w:pPr>
      <w:r>
        <w:rPr>
          <w:bCs/>
          <w:b/>
        </w:rPr>
        <w:t xml:space="preserve">Recommended Mitigation:</w:t>
      </w:r>
      <w:r>
        <w:t xml:space="preserve"> </w:t>
      </w:r>
      <w:r>
        <w:t xml:space="preserve">Exit option value as Layer C component;</w:t>
      </w:r>
      <w:r>
        <w:t xml:space="preserve"> </w:t>
      </w:r>
      <w:r>
        <w:t xml:space="preserve">strategic flexibility premium for diversified data asset portfolios.</w:t>
      </w:r>
    </w:p>
    <w:bookmarkEnd w:id="160"/>
    <w:bookmarkEnd w:id="161"/>
    <w:bookmarkEnd w:id="162"/>
    <w:bookmarkStart w:id="178" w:name="comprehensive-scholarly-bibliography"/>
    <w:p>
      <w:pPr>
        <w:pStyle w:val="Heading1"/>
      </w:pPr>
      <w:r>
        <w:t xml:space="preserve">COMPREHENSIVE SCHOLARLY BIBLIOGRAPHY</w:t>
      </w:r>
    </w:p>
    <w:bookmarkStart w:id="165" w:name="primary-sources-and-data"/>
    <w:p>
      <w:pPr>
        <w:pStyle w:val="Heading2"/>
      </w:pPr>
      <w:r>
        <w:t xml:space="preserve">Primary Sources and Data</w:t>
      </w:r>
    </w:p>
    <w:bookmarkStart w:id="163" w:name="X0ee4c57caa8b7ee434890791e723e8522b2d45d"/>
    <w:p>
      <w:pPr>
        <w:pStyle w:val="Heading3"/>
      </w:pPr>
      <w:r>
        <w:t xml:space="preserve">Government and International Organization Data</w:t>
      </w:r>
    </w:p>
    <w:p>
      <w:pPr>
        <w:pStyle w:val="FirstParagraph"/>
      </w:pPr>
      <w:r>
        <w:t xml:space="preserve">Board of Governors of the Federal Reserve System.</w:t>
      </w:r>
      <w:r>
        <w:t xml:space="preserve"> </w:t>
      </w:r>
      <w:r>
        <w:rPr>
          <w:iCs/>
          <w:i/>
        </w:rPr>
        <w:t xml:space="preserve">Financial Accounts of</w:t>
      </w:r>
      <w:r>
        <w:rPr>
          <w:iCs/>
          <w:i/>
        </w:rPr>
        <w:t xml:space="preserve"> </w:t>
      </w:r>
      <w:r>
        <w:rPr>
          <w:iCs/>
          <w:i/>
        </w:rPr>
        <w:t xml:space="preserve">the United States</w:t>
      </w:r>
      <w:r>
        <w:t xml:space="preserve">. Various quarters, 2008-2025.</w:t>
      </w:r>
    </w:p>
    <w:p>
      <w:pPr>
        <w:pStyle w:val="BodyText"/>
      </w:pPr>
      <w:r>
        <w:t xml:space="preserve">Bureau of Economic Analysis.</w:t>
      </w:r>
      <w:r>
        <w:t xml:space="preserve"> </w:t>
      </w:r>
      <w:r>
        <w:rPr>
          <w:iCs/>
          <w:i/>
        </w:rPr>
        <w:t xml:space="preserve">National Income and Product Accounts</w:t>
      </w:r>
      <w:r>
        <w:t xml:space="preserve">.</w:t>
      </w:r>
      <w:r>
        <w:t xml:space="preserve"> </w:t>
      </w:r>
      <w:r>
        <w:t xml:space="preserve">Various years.</w:t>
      </w:r>
    </w:p>
    <w:p>
      <w:pPr>
        <w:pStyle w:val="BodyText"/>
      </w:pPr>
      <w:r>
        <w:t xml:space="preserve">Bureau of Labor Statistics.</w:t>
      </w:r>
      <w:r>
        <w:t xml:space="preserve"> </w:t>
      </w:r>
      <w:r>
        <w:rPr>
          <w:iCs/>
          <w:i/>
        </w:rPr>
        <w:t xml:space="preserve">Current Employment Statistics</w:t>
      </w:r>
      <w:r>
        <w:t xml:space="preserve">. Various</w:t>
      </w:r>
      <w:r>
        <w:t xml:space="preserve"> </w:t>
      </w:r>
      <w:r>
        <w:t xml:space="preserve">years.</w:t>
      </w:r>
    </w:p>
    <w:p>
      <w:pPr>
        <w:pStyle w:val="BodyText"/>
      </w:pPr>
      <w:r>
        <w:t xml:space="preserve">Congressional Budget Office.</w:t>
      </w:r>
      <w:r>
        <w:t xml:space="preserve"> </w:t>
      </w:r>
      <w:r>
        <w:rPr>
          <w:iCs/>
          <w:i/>
        </w:rPr>
        <w:t xml:space="preserve">The Budget and Economic Outlook</w:t>
      </w:r>
      <w:r>
        <w:t xml:space="preserve">. Annual</w:t>
      </w:r>
      <w:r>
        <w:t xml:space="preserve"> </w:t>
      </w:r>
      <w:r>
        <w:t xml:space="preserve">reports 2008-2025.</w:t>
      </w:r>
    </w:p>
    <w:p>
      <w:pPr>
        <w:pStyle w:val="BodyText"/>
      </w:pPr>
      <w:r>
        <w:t xml:space="preserve">Federal Reserve Bank of St. Louis.</w:t>
      </w:r>
      <w:r>
        <w:t xml:space="preserve"> </w:t>
      </w:r>
      <w:r>
        <w:rPr>
          <w:iCs/>
          <w:i/>
        </w:rPr>
        <w:t xml:space="preserve">FRED Economic Data</w:t>
      </w:r>
      <w:r>
        <w:t xml:space="preserve">.</w:t>
      </w:r>
      <w:r>
        <w:t xml:space="preserve"> </w:t>
      </w:r>
      <w:r>
        <w:t xml:space="preserve">fred.stlouisfed.org.</w:t>
      </w:r>
    </w:p>
    <w:p>
      <w:pPr>
        <w:pStyle w:val="BodyText"/>
      </w:pPr>
      <w:r>
        <w:t xml:space="preserve">International Monetary Fund.</w:t>
      </w:r>
      <w:r>
        <w:t xml:space="preserve"> </w:t>
      </w:r>
      <w:r>
        <w:rPr>
          <w:iCs/>
          <w:i/>
        </w:rPr>
        <w:t xml:space="preserve">Currency Composition of Official Foreign</w:t>
      </w:r>
      <w:r>
        <w:rPr>
          <w:iCs/>
          <w:i/>
        </w:rPr>
        <w:t xml:space="preserve"> </w:t>
      </w:r>
      <w:r>
        <w:rPr>
          <w:iCs/>
          <w:i/>
        </w:rPr>
        <w:t xml:space="preserve">Exchange Reserves (COFER)</w:t>
      </w:r>
      <w:r>
        <w:t xml:space="preserve">. Quarterly data 2008-2025.</w:t>
      </w:r>
    </w:p>
    <w:p>
      <w:pPr>
        <w:pStyle w:val="BodyText"/>
      </w:pPr>
      <w:r>
        <w:t xml:space="preserve">International Monetary Fund.</w:t>
      </w:r>
      <w:r>
        <w:t xml:space="preserve"> </w:t>
      </w:r>
      <w:r>
        <w:rPr>
          <w:iCs/>
          <w:i/>
        </w:rPr>
        <w:t xml:space="preserve">World Economic Outlook</w:t>
      </w:r>
      <w:r>
        <w:t xml:space="preserve">. Various editions.</w:t>
      </w:r>
    </w:p>
    <w:p>
      <w:pPr>
        <w:pStyle w:val="BodyText"/>
      </w:pPr>
      <w:r>
        <w:t xml:space="preserve">Stockholm International Peace Research Institute.</w:t>
      </w:r>
      <w:r>
        <w:t xml:space="preserve"> </w:t>
      </w:r>
      <w:r>
        <w:rPr>
          <w:iCs/>
          <w:i/>
        </w:rPr>
        <w:t xml:space="preserve">Military Expenditure</w:t>
      </w:r>
      <w:r>
        <w:rPr>
          <w:iCs/>
          <w:i/>
        </w:rPr>
        <w:t xml:space="preserve"> </w:t>
      </w:r>
      <w:r>
        <w:rPr>
          <w:iCs/>
          <w:i/>
        </w:rPr>
        <w:t xml:space="preserve">Database</w:t>
      </w:r>
      <w:r>
        <w:t xml:space="preserve">. 2024.</w:t>
      </w:r>
    </w:p>
    <w:p>
      <w:pPr>
        <w:pStyle w:val="BodyText"/>
      </w:pPr>
      <w:r>
        <w:t xml:space="preserve">World Bank.</w:t>
      </w:r>
      <w:r>
        <w:t xml:space="preserve"> </w:t>
      </w:r>
      <w:r>
        <w:rPr>
          <w:iCs/>
          <w:i/>
        </w:rPr>
        <w:t xml:space="preserve">World Development Indicators</w:t>
      </w:r>
      <w:r>
        <w:t xml:space="preserve">. Various years.</w:t>
      </w:r>
    </w:p>
    <w:p>
      <w:pPr>
        <w:pStyle w:val="BodyText"/>
      </w:pPr>
      <w:r>
        <w:t xml:space="preserve">World Justice Project.</w:t>
      </w:r>
      <w:r>
        <w:t xml:space="preserve"> </w:t>
      </w:r>
      <w:r>
        <w:rPr>
          <w:iCs/>
          <w:i/>
        </w:rPr>
        <w:t xml:space="preserve">Rule of Law Index</w:t>
      </w:r>
      <w:r>
        <w:t xml:space="preserve">. 2024.</w:t>
      </w:r>
    </w:p>
    <w:bookmarkEnd w:id="163"/>
    <w:bookmarkStart w:id="164" w:name="governance-and-democracy-indices"/>
    <w:p>
      <w:pPr>
        <w:pStyle w:val="Heading3"/>
      </w:pPr>
      <w:r>
        <w:t xml:space="preserve">Governance and Democracy Indices</w:t>
      </w:r>
    </w:p>
    <w:p>
      <w:pPr>
        <w:pStyle w:val="FirstParagraph"/>
      </w:pPr>
      <w:r>
        <w:t xml:space="preserve">Economist Intelligence Unit.</w:t>
      </w:r>
      <w:r>
        <w:t xml:space="preserve"> </w:t>
      </w:r>
      <w:r>
        <w:rPr>
          <w:iCs/>
          <w:i/>
        </w:rPr>
        <w:t xml:space="preserve">Democracy Index</w:t>
      </w:r>
      <w:r>
        <w:t xml:space="preserve">. Annual reports</w:t>
      </w:r>
      <w:r>
        <w:t xml:space="preserve"> </w:t>
      </w:r>
      <w:r>
        <w:t xml:space="preserve">2008-2024.</w:t>
      </w:r>
    </w:p>
    <w:p>
      <w:pPr>
        <w:pStyle w:val="BodyText"/>
      </w:pPr>
      <w:r>
        <w:t xml:space="preserve">Freedom House.</w:t>
      </w:r>
      <w:r>
        <w:t xml:space="preserve"> </w:t>
      </w:r>
      <w:r>
        <w:rPr>
          <w:iCs/>
          <w:i/>
        </w:rPr>
        <w:t xml:space="preserve">Freedom in the World</w:t>
      </w:r>
      <w:r>
        <w:t xml:space="preserve">. Annual reports 2008-2025.</w:t>
      </w:r>
    </w:p>
    <w:p>
      <w:pPr>
        <w:pStyle w:val="BodyText"/>
      </w:pPr>
      <w:r>
        <w:t xml:space="preserve">V-Dem Institute.</w:t>
      </w:r>
      <w:r>
        <w:t xml:space="preserve"> </w:t>
      </w:r>
      <w:r>
        <w:rPr>
          <w:iCs/>
          <w:i/>
        </w:rPr>
        <w:t xml:space="preserve">Varieties of Democracy Dataset</w:t>
      </w:r>
      <w:r>
        <w:t xml:space="preserve">. v13, v14. 2023, 2024.</w:t>
      </w:r>
    </w:p>
    <w:p>
      <w:pPr>
        <w:pStyle w:val="BodyText"/>
      </w:pPr>
      <w:r>
        <w:t xml:space="preserve">Bright Line Watch.</w:t>
      </w:r>
      <w:r>
        <w:t xml:space="preserve"> </w:t>
      </w:r>
      <w:r>
        <w:rPr>
          <w:iCs/>
          <w:i/>
        </w:rPr>
        <w:t xml:space="preserve">Expert Surveys</w:t>
      </w:r>
      <w:r>
        <w:t xml:space="preserve">. Various waves 2017-2025.</w:t>
      </w:r>
    </w:p>
    <w:bookmarkEnd w:id="164"/>
    <w:bookmarkEnd w:id="165"/>
    <w:bookmarkStart w:id="168" w:name="theoretical-frameworks"/>
    <w:p>
      <w:pPr>
        <w:pStyle w:val="Heading2"/>
      </w:pPr>
      <w:r>
        <w:t xml:space="preserve">Theoretical Frameworks</w:t>
      </w:r>
    </w:p>
    <w:bookmarkStart w:id="166" w:name="X1aa04b23a42110c0869e0bc4decbaab5352402f"/>
    <w:p>
      <w:pPr>
        <w:pStyle w:val="Heading3"/>
      </w:pPr>
      <w:r>
        <w:t xml:space="preserve">Hegemonic Transition and International Political Economy</w:t>
      </w:r>
    </w:p>
    <w:p>
      <w:pPr>
        <w:pStyle w:val="FirstParagraph"/>
      </w:pPr>
      <w:r>
        <w:t xml:space="preserve">Arrighi, Giovanni.</w:t>
      </w:r>
      <w:r>
        <w:t xml:space="preserve"> </w:t>
      </w:r>
      <w:r>
        <w:rPr>
          <w:iCs/>
          <w:i/>
        </w:rPr>
        <w:t xml:space="preserve">The Long Twentieth Century: Money, Power, and the</w:t>
      </w:r>
      <w:r>
        <w:rPr>
          <w:iCs/>
          <w:i/>
        </w:rPr>
        <w:t xml:space="preserve"> </w:t>
      </w:r>
      <w:r>
        <w:rPr>
          <w:iCs/>
          <w:i/>
        </w:rPr>
        <w:t xml:space="preserve">Origins of Our Times</w:t>
      </w:r>
      <w:r>
        <w:t xml:space="preserve">. London: Verso, 1994.</w:t>
      </w:r>
    </w:p>
    <w:p>
      <w:pPr>
        <w:pStyle w:val="BodyText"/>
      </w:pPr>
      <w:r>
        <w:t xml:space="preserve">Arrighi, Giovanni.</w:t>
      </w:r>
      <w:r>
        <w:t xml:space="preserve"> </w:t>
      </w:r>
      <w:r>
        <w:rPr>
          <w:iCs/>
          <w:i/>
        </w:rPr>
        <w:t xml:space="preserve">Adam Smith in Beijing: Lineages of the Twenty-First</w:t>
      </w:r>
      <w:r>
        <w:rPr>
          <w:iCs/>
          <w:i/>
        </w:rPr>
        <w:t xml:space="preserve"> </w:t>
      </w:r>
      <w:r>
        <w:rPr>
          <w:iCs/>
          <w:i/>
        </w:rPr>
        <w:t xml:space="preserve">Century</w:t>
      </w:r>
      <w:r>
        <w:t xml:space="preserve">. London: Verso, 2007.</w:t>
      </w:r>
    </w:p>
    <w:p>
      <w:pPr>
        <w:pStyle w:val="BodyText"/>
      </w:pPr>
      <w:r>
        <w:t xml:space="preserve">Brooks, Stephen G., and William C. Wohlforth.</w:t>
      </w:r>
      <w:r>
        <w:t xml:space="preserve"> </w:t>
      </w:r>
      <w:r>
        <w:rPr>
          <w:iCs/>
          <w:i/>
        </w:rPr>
        <w:t xml:space="preserve">World Out of Balance:</w:t>
      </w:r>
      <w:r>
        <w:rPr>
          <w:iCs/>
          <w:i/>
        </w:rPr>
        <w:t xml:space="preserve"> </w:t>
      </w:r>
      <w:r>
        <w:rPr>
          <w:iCs/>
          <w:i/>
        </w:rPr>
        <w:t xml:space="preserve">International Relations and the Challenge of American Primacy</w:t>
      </w:r>
      <w:r>
        <w:t xml:space="preserve">.</w:t>
      </w:r>
      <w:r>
        <w:t xml:space="preserve"> </w:t>
      </w:r>
      <w:r>
        <w:t xml:space="preserve">Princeton: Princeton University Press, 2008.</w:t>
      </w:r>
    </w:p>
    <w:p>
      <w:pPr>
        <w:pStyle w:val="BodyText"/>
      </w:pPr>
      <w:r>
        <w:t xml:space="preserve">Gilpin, Robert.</w:t>
      </w:r>
      <w:r>
        <w:t xml:space="preserve"> </w:t>
      </w:r>
      <w:r>
        <w:rPr>
          <w:iCs/>
          <w:i/>
        </w:rPr>
        <w:t xml:space="preserve">War and Change in World Politics</w:t>
      </w:r>
      <w:r>
        <w:t xml:space="preserve">. Cambridge: Cambridge</w:t>
      </w:r>
      <w:r>
        <w:t xml:space="preserve"> </w:t>
      </w:r>
      <w:r>
        <w:t xml:space="preserve">University Press, 1981.</w:t>
      </w:r>
    </w:p>
    <w:p>
      <w:pPr>
        <w:pStyle w:val="BodyText"/>
      </w:pPr>
      <w:r>
        <w:t xml:space="preserve">Ikenberry, G. John.</w:t>
      </w:r>
      <w:r>
        <w:t xml:space="preserve"> </w:t>
      </w:r>
      <w:r>
        <w:t xml:space="preserve">“</w:t>
      </w:r>
      <w:r>
        <w:t xml:space="preserve">The End of Liberal International Order?</w:t>
      </w:r>
      <w:r>
        <w:t xml:space="preserve">”</w:t>
      </w:r>
      <w:r>
        <w:t xml:space="preserve"> </w:t>
      </w:r>
      <w:r>
        <w:rPr>
          <w:iCs/>
          <w:i/>
        </w:rPr>
        <w:t xml:space="preserve">International Affairs</w:t>
      </w:r>
      <w:r>
        <w:t xml:space="preserve"> </w:t>
      </w:r>
      <w:r>
        <w:t xml:space="preserve">94, no. 1 (2018): 7-23.</w:t>
      </w:r>
    </w:p>
    <w:p>
      <w:pPr>
        <w:pStyle w:val="BodyText"/>
      </w:pPr>
      <w:r>
        <w:t xml:space="preserve">Kennedy, Paul.</w:t>
      </w:r>
      <w:r>
        <w:t xml:space="preserve"> </w:t>
      </w:r>
      <w:r>
        <w:rPr>
          <w:iCs/>
          <w:i/>
        </w:rPr>
        <w:t xml:space="preserve">The Rise and Fall of the Great Powers</w:t>
      </w:r>
      <w:r>
        <w:t xml:space="preserve">. New York: Random</w:t>
      </w:r>
      <w:r>
        <w:t xml:space="preserve"> </w:t>
      </w:r>
      <w:r>
        <w:t xml:space="preserve">House, 1987.</w:t>
      </w:r>
    </w:p>
    <w:p>
      <w:pPr>
        <w:pStyle w:val="BodyText"/>
      </w:pPr>
      <w:r>
        <w:t xml:space="preserve">Kindleberger, Charles P.</w:t>
      </w:r>
      <w:r>
        <w:t xml:space="preserve"> </w:t>
      </w:r>
      <w:r>
        <w:rPr>
          <w:iCs/>
          <w:i/>
        </w:rPr>
        <w:t xml:space="preserve">The World in Depression, 1929-1939</w:t>
      </w:r>
      <w:r>
        <w:t xml:space="preserve">. Berkeley:</w:t>
      </w:r>
      <w:r>
        <w:t xml:space="preserve"> </w:t>
      </w:r>
      <w:r>
        <w:t xml:space="preserve">University of California Press, 1973.</w:t>
      </w:r>
    </w:p>
    <w:p>
      <w:pPr>
        <w:pStyle w:val="BodyText"/>
      </w:pPr>
      <w:r>
        <w:t xml:space="preserve">Modelski, George.</w:t>
      </w:r>
      <w:r>
        <w:t xml:space="preserve"> </w:t>
      </w:r>
      <w:r>
        <w:rPr>
          <w:iCs/>
          <w:i/>
        </w:rPr>
        <w:t xml:space="preserve">Long Cycles in World Politics</w:t>
      </w:r>
      <w:r>
        <w:t xml:space="preserve">. Seattle: University</w:t>
      </w:r>
      <w:r>
        <w:t xml:space="preserve"> </w:t>
      </w:r>
      <w:r>
        <w:t xml:space="preserve">of Washington Press, 1987.</w:t>
      </w:r>
    </w:p>
    <w:bookmarkEnd w:id="166"/>
    <w:bookmarkStart w:id="167" w:name="Xe6fd2f71a0117ed086416bc8d9d710ef46ad51b"/>
    <w:p>
      <w:pPr>
        <w:pStyle w:val="Heading3"/>
      </w:pPr>
      <w:r>
        <w:t xml:space="preserve">Institutional Economics and Political Economy</w:t>
      </w:r>
    </w:p>
    <w:p>
      <w:pPr>
        <w:pStyle w:val="FirstParagraph"/>
      </w:pPr>
      <w:r>
        <w:t xml:space="preserve">Acemoglu, Daron, and James A. Robinson.</w:t>
      </w:r>
      <w:r>
        <w:t xml:space="preserve"> </w:t>
      </w:r>
      <w:r>
        <w:rPr>
          <w:iCs/>
          <w:i/>
        </w:rPr>
        <w:t xml:space="preserve">Why Nations Fail: The Origins</w:t>
      </w:r>
      <w:r>
        <w:rPr>
          <w:iCs/>
          <w:i/>
        </w:rPr>
        <w:t xml:space="preserve"> </w:t>
      </w:r>
      <w:r>
        <w:rPr>
          <w:iCs/>
          <w:i/>
        </w:rPr>
        <w:t xml:space="preserve">of Power, Prosperity, and Poverty</w:t>
      </w:r>
      <w:r>
        <w:t xml:space="preserve">. New York: Crown, 2012.</w:t>
      </w:r>
    </w:p>
    <w:p>
      <w:pPr>
        <w:pStyle w:val="BodyText"/>
      </w:pPr>
      <w:r>
        <w:t xml:space="preserve">North, Douglass C., and Barry R. Weingast.</w:t>
      </w:r>
      <w:r>
        <w:t xml:space="preserve"> </w:t>
      </w:r>
      <w:r>
        <w:t xml:space="preserve">“</w:t>
      </w:r>
      <w:r>
        <w:t xml:space="preserve">Constitutions and</w:t>
      </w:r>
      <w:r>
        <w:t xml:space="preserve"> </w:t>
      </w:r>
      <w:r>
        <w:t xml:space="preserve">Commitment: The Evolution of Institutions Governing Public Choice in</w:t>
      </w:r>
      <w:r>
        <w:t xml:space="preserve"> </w:t>
      </w:r>
      <w:r>
        <w:t xml:space="preserve">Seventeenth-Century England.</w:t>
      </w:r>
      <w:r>
        <w:t xml:space="preserve">”</w:t>
      </w:r>
      <w:r>
        <w:t xml:space="preserve"> </w:t>
      </w:r>
      <w:r>
        <w:rPr>
          <w:iCs/>
          <w:i/>
        </w:rPr>
        <w:t xml:space="preserve">Journal of Economic History</w:t>
      </w:r>
      <w:r>
        <w:t xml:space="preserve"> </w:t>
      </w:r>
      <w:r>
        <w:t xml:space="preserve">49, no. 4</w:t>
      </w:r>
      <w:r>
        <w:t xml:space="preserve"> </w:t>
      </w:r>
      <w:r>
        <w:t xml:space="preserve">(1989): 803-832.</w:t>
      </w:r>
    </w:p>
    <w:p>
      <w:pPr>
        <w:pStyle w:val="BodyText"/>
      </w:pPr>
      <w:r>
        <w:t xml:space="preserve">Tainter, Joseph A.</w:t>
      </w:r>
      <w:r>
        <w:t xml:space="preserve"> </w:t>
      </w:r>
      <w:r>
        <w:rPr>
          <w:iCs/>
          <w:i/>
        </w:rPr>
        <w:t xml:space="preserve">The Collapse of Complex Societies</w:t>
      </w:r>
      <w:r>
        <w:t xml:space="preserve">. Cambridge:</w:t>
      </w:r>
      <w:r>
        <w:t xml:space="preserve"> </w:t>
      </w:r>
      <w:r>
        <w:t xml:space="preserve">Cambridge University Press, 1988.</w:t>
      </w:r>
    </w:p>
    <w:bookmarkEnd w:id="167"/>
    <w:bookmarkEnd w:id="168"/>
    <w:bookmarkStart w:id="171" w:name="american-hegemony-and-decline-debate"/>
    <w:p>
      <w:pPr>
        <w:pStyle w:val="Heading2"/>
      </w:pPr>
      <w:r>
        <w:t xml:space="preserve">American Hegemony and Decline Debate</w:t>
      </w:r>
    </w:p>
    <w:bookmarkStart w:id="169" w:name="decline-thesis"/>
    <w:p>
      <w:pPr>
        <w:pStyle w:val="Heading3"/>
      </w:pPr>
      <w:r>
        <w:t xml:space="preserve">Decline Thesis</w:t>
      </w:r>
    </w:p>
    <w:p>
      <w:pPr>
        <w:pStyle w:val="FirstParagraph"/>
      </w:pPr>
      <w:r>
        <w:t xml:space="preserve">Bacevich, Andrew J.</w:t>
      </w:r>
      <w:r>
        <w:t xml:space="preserve"> </w:t>
      </w:r>
      <w:r>
        <w:rPr>
          <w:iCs/>
          <w:i/>
        </w:rPr>
        <w:t xml:space="preserve">The Age of Illusions: How America Squandered Its</w:t>
      </w:r>
      <w:r>
        <w:rPr>
          <w:iCs/>
          <w:i/>
        </w:rPr>
        <w:t xml:space="preserve"> </w:t>
      </w:r>
      <w:r>
        <w:rPr>
          <w:iCs/>
          <w:i/>
        </w:rPr>
        <w:t xml:space="preserve">Cold War Victory</w:t>
      </w:r>
      <w:r>
        <w:t xml:space="preserve">. New York: Metropolitan Books, 2020.</w:t>
      </w:r>
    </w:p>
    <w:p>
      <w:pPr>
        <w:pStyle w:val="BodyText"/>
      </w:pPr>
      <w:r>
        <w:t xml:space="preserve">Ferguson, Niall.</w:t>
      </w:r>
      <w:r>
        <w:t xml:space="preserve"> </w:t>
      </w:r>
      <w:r>
        <w:rPr>
          <w:iCs/>
          <w:i/>
        </w:rPr>
        <w:t xml:space="preserve">Colossus: The Rise and Fall of the American Empire</w:t>
      </w:r>
      <w:r>
        <w:t xml:space="preserve">.</w:t>
      </w:r>
      <w:r>
        <w:t xml:space="preserve"> </w:t>
      </w:r>
      <w:r>
        <w:t xml:space="preserve">New York: Penguin, 2004.</w:t>
      </w:r>
    </w:p>
    <w:p>
      <w:pPr>
        <w:pStyle w:val="BodyText"/>
      </w:pPr>
      <w:r>
        <w:t xml:space="preserve">Layne, Christopher.</w:t>
      </w:r>
      <w:r>
        <w:t xml:space="preserve"> </w:t>
      </w:r>
      <w:r>
        <w:t xml:space="preserve">“</w:t>
      </w:r>
      <w:r>
        <w:t xml:space="preserve">This Time It’s Real: The End of Unipolarity and the</w:t>
      </w:r>
      <w:r>
        <w:t xml:space="preserve"> </w:t>
      </w:r>
      <w:r>
        <w:t xml:space="preserve">Pax Americana.</w:t>
      </w:r>
      <w:r>
        <w:t xml:space="preserve">”</w:t>
      </w:r>
      <w:r>
        <w:t xml:space="preserve"> </w:t>
      </w:r>
      <w:r>
        <w:rPr>
          <w:iCs/>
          <w:i/>
        </w:rPr>
        <w:t xml:space="preserve">International Studies Quarterly</w:t>
      </w:r>
      <w:r>
        <w:t xml:space="preserve"> </w:t>
      </w:r>
      <w:r>
        <w:t xml:space="preserve">56, no. 1 (2012):</w:t>
      </w:r>
      <w:r>
        <w:t xml:space="preserve"> </w:t>
      </w:r>
      <w:r>
        <w:t xml:space="preserve">203-213.</w:t>
      </w:r>
    </w:p>
    <w:p>
      <w:pPr>
        <w:pStyle w:val="BodyText"/>
      </w:pPr>
      <w:r>
        <w:t xml:space="preserve">Mearsheimer, John J.</w:t>
      </w:r>
      <w:r>
        <w:t xml:space="preserve"> </w:t>
      </w:r>
      <w:r>
        <w:t xml:space="preserve">“</w:t>
      </w:r>
      <w:r>
        <w:t xml:space="preserve">Bound to Fail: The Rise and Fall of the Liberal</w:t>
      </w:r>
      <w:r>
        <w:t xml:space="preserve"> </w:t>
      </w:r>
      <w:r>
        <w:t xml:space="preserve">International Order.</w:t>
      </w:r>
      <w:r>
        <w:t xml:space="preserve">”</w:t>
      </w:r>
      <w:r>
        <w:t xml:space="preserve"> </w:t>
      </w:r>
      <w:r>
        <w:rPr>
          <w:iCs/>
          <w:i/>
        </w:rPr>
        <w:t xml:space="preserve">International Security</w:t>
      </w:r>
      <w:r>
        <w:t xml:space="preserve"> </w:t>
      </w:r>
      <w:r>
        <w:t xml:space="preserve">43, no. 4 (2019): 7-50.</w:t>
      </w:r>
    </w:p>
    <w:bookmarkEnd w:id="169"/>
    <w:bookmarkStart w:id="170" w:name="counter-decline"/>
    <w:p>
      <w:pPr>
        <w:pStyle w:val="Heading3"/>
      </w:pPr>
      <w:r>
        <w:t xml:space="preserve">Counter-Decline</w:t>
      </w:r>
    </w:p>
    <w:p>
      <w:pPr>
        <w:pStyle w:val="FirstParagraph"/>
      </w:pPr>
      <w:r>
        <w:t xml:space="preserve">Beckley, Michael.</w:t>
      </w:r>
      <w:r>
        <w:t xml:space="preserve"> </w:t>
      </w:r>
      <w:r>
        <w:rPr>
          <w:iCs/>
          <w:i/>
        </w:rPr>
        <w:t xml:space="preserve">Unrivaled: Why America Will Remain the World’s Sole</w:t>
      </w:r>
      <w:r>
        <w:rPr>
          <w:iCs/>
          <w:i/>
        </w:rPr>
        <w:t xml:space="preserve"> </w:t>
      </w:r>
      <w:r>
        <w:rPr>
          <w:iCs/>
          <w:i/>
        </w:rPr>
        <w:t xml:space="preserve">Superpower</w:t>
      </w:r>
      <w:r>
        <w:t xml:space="preserve">. Ithaca: Cornell University Press, 2018.</w:t>
      </w:r>
    </w:p>
    <w:p>
      <w:pPr>
        <w:pStyle w:val="BodyText"/>
      </w:pPr>
      <w:r>
        <w:t xml:space="preserve">Beckley, Michael, and Hal Brands.</w:t>
      </w:r>
      <w:r>
        <w:t xml:space="preserve"> </w:t>
      </w:r>
      <w:r>
        <w:rPr>
          <w:iCs/>
          <w:i/>
        </w:rPr>
        <w:t xml:space="preserve">Danger Zone: The Coming Conflict with</w:t>
      </w:r>
      <w:r>
        <w:rPr>
          <w:iCs/>
          <w:i/>
        </w:rPr>
        <w:t xml:space="preserve"> </w:t>
      </w:r>
      <w:r>
        <w:rPr>
          <w:iCs/>
          <w:i/>
        </w:rPr>
        <w:t xml:space="preserve">China</w:t>
      </w:r>
      <w:r>
        <w:t xml:space="preserve">. New York: W.W. Norton, 2022.</w:t>
      </w:r>
    </w:p>
    <w:p>
      <w:pPr>
        <w:pStyle w:val="BodyText"/>
      </w:pPr>
      <w:r>
        <w:t xml:space="preserve">Brooks, Stephen G., and William C. Wohlforth.</w:t>
      </w:r>
      <w:r>
        <w:t xml:space="preserve"> </w:t>
      </w:r>
      <w:r>
        <w:t xml:space="preserve">“</w:t>
      </w:r>
      <w:r>
        <w:t xml:space="preserve">The Rise and Fall of the</w:t>
      </w:r>
      <w:r>
        <w:t xml:space="preserve"> </w:t>
      </w:r>
      <w:r>
        <w:t xml:space="preserve">Great Powers in the Twenty-first Century: China’s Rise and the Fate of</w:t>
      </w:r>
      <w:r>
        <w:t xml:space="preserve"> </w:t>
      </w:r>
      <w:r>
        <w:t xml:space="preserve">America’s Global Position.</w:t>
      </w:r>
      <w:r>
        <w:t xml:space="preserve">”</w:t>
      </w:r>
      <w:r>
        <w:t xml:space="preserve"> </w:t>
      </w:r>
      <w:r>
        <w:rPr>
          <w:iCs/>
          <w:i/>
        </w:rPr>
        <w:t xml:space="preserve">International Security</w:t>
      </w:r>
      <w:r>
        <w:t xml:space="preserve"> </w:t>
      </w:r>
      <w:r>
        <w:t xml:space="preserve">40, no. 3 (2016):</w:t>
      </w:r>
      <w:r>
        <w:t xml:space="preserve"> </w:t>
      </w:r>
      <w:r>
        <w:t xml:space="preserve">7-53.</w:t>
      </w:r>
    </w:p>
    <w:p>
      <w:pPr>
        <w:pStyle w:val="BodyText"/>
      </w:pPr>
      <w:r>
        <w:t xml:space="preserve">Lieber, Robert J.</w:t>
      </w:r>
      <w:r>
        <w:t xml:space="preserve"> </w:t>
      </w:r>
      <w:r>
        <w:rPr>
          <w:iCs/>
          <w:i/>
        </w:rPr>
        <w:t xml:space="preserve">Retreat and Its Consequences: American Foreign Policy</w:t>
      </w:r>
      <w:r>
        <w:rPr>
          <w:iCs/>
          <w:i/>
        </w:rPr>
        <w:t xml:space="preserve"> </w:t>
      </w:r>
      <w:r>
        <w:rPr>
          <w:iCs/>
          <w:i/>
        </w:rPr>
        <w:t xml:space="preserve">and the Problem of World Order</w:t>
      </w:r>
      <w:r>
        <w:t xml:space="preserve">. Cambridge: Cambridge University Press,</w:t>
      </w:r>
      <w:r>
        <w:t xml:space="preserve"> </w:t>
      </w:r>
      <w:r>
        <w:t xml:space="preserve">2016.</w:t>
      </w:r>
    </w:p>
    <w:p>
      <w:pPr>
        <w:pStyle w:val="BodyText"/>
      </w:pPr>
      <w:r>
        <w:t xml:space="preserve">Nye, Joseph S., Jr. </w:t>
      </w:r>
      <w:r>
        <w:rPr>
          <w:iCs/>
          <w:i/>
        </w:rPr>
        <w:t xml:space="preserve">Is the American Century Over?</w:t>
      </w:r>
      <w:r>
        <w:t xml:space="preserve"> </w:t>
      </w:r>
      <w:r>
        <w:t xml:space="preserve">Cambridge: Polity</w:t>
      </w:r>
      <w:r>
        <w:t xml:space="preserve"> </w:t>
      </w:r>
      <w:r>
        <w:t xml:space="preserve">Press, 2015.</w:t>
      </w:r>
    </w:p>
    <w:bookmarkEnd w:id="170"/>
    <w:bookmarkEnd w:id="171"/>
    <w:bookmarkStart w:id="172" w:name="financial-system-and-dollar-hegemony"/>
    <w:p>
      <w:pPr>
        <w:pStyle w:val="Heading2"/>
      </w:pPr>
      <w:r>
        <w:t xml:space="preserve">Financial System and Dollar Hegemony</w:t>
      </w:r>
    </w:p>
    <w:p>
      <w:pPr>
        <w:pStyle w:val="FirstParagraph"/>
      </w:pPr>
      <w:r>
        <w:t xml:space="preserve">Eichengreen, Barry.</w:t>
      </w:r>
      <w:r>
        <w:t xml:space="preserve"> </w:t>
      </w:r>
      <w:r>
        <w:rPr>
          <w:iCs/>
          <w:i/>
        </w:rPr>
        <w:t xml:space="preserve">Exorbitant Privilege: The Rise and Fall of the</w:t>
      </w:r>
      <w:r>
        <w:rPr>
          <w:iCs/>
          <w:i/>
        </w:rPr>
        <w:t xml:space="preserve"> </w:t>
      </w:r>
      <w:r>
        <w:rPr>
          <w:iCs/>
          <w:i/>
        </w:rPr>
        <w:t xml:space="preserve">Dollar and the Future of the International Monetary System</w:t>
      </w:r>
      <w:r>
        <w:t xml:space="preserve">. Oxford:</w:t>
      </w:r>
      <w:r>
        <w:t xml:space="preserve"> </w:t>
      </w:r>
      <w:r>
        <w:t xml:space="preserve">Oxford University Press, 2011.</w:t>
      </w:r>
    </w:p>
    <w:p>
      <w:pPr>
        <w:pStyle w:val="BodyText"/>
      </w:pPr>
      <w:r>
        <w:t xml:space="preserve">Eichengreen, Barry, and Marc Flandreau.</w:t>
      </w:r>
      <w:r>
        <w:t xml:space="preserve"> </w:t>
      </w:r>
      <w:r>
        <w:t xml:space="preserve">“</w:t>
      </w:r>
      <w:r>
        <w:t xml:space="preserve">The Rise and Fall of the Dollar</w:t>
      </w:r>
      <w:r>
        <w:t xml:space="preserve"> </w:t>
      </w:r>
      <w:r>
        <w:t xml:space="preserve">(or When Did the Dollar Replace Sterling as the Leading Reserve</w:t>
      </w:r>
      <w:r>
        <w:t xml:space="preserve"> </w:t>
      </w:r>
      <w:r>
        <w:t xml:space="preserve">Currency?).</w:t>
      </w:r>
      <w:r>
        <w:t xml:space="preserve">”</w:t>
      </w:r>
      <w:r>
        <w:t xml:space="preserve"> </w:t>
      </w:r>
      <w:r>
        <w:rPr>
          <w:iCs/>
          <w:i/>
        </w:rPr>
        <w:t xml:space="preserve">European Review of Economic History</w:t>
      </w:r>
      <w:r>
        <w:t xml:space="preserve"> </w:t>
      </w:r>
      <w:r>
        <w:t xml:space="preserve">13, no. 3 (2009):</w:t>
      </w:r>
      <w:r>
        <w:t xml:space="preserve"> </w:t>
      </w:r>
      <w:r>
        <w:t xml:space="preserve">377-411.</w:t>
      </w:r>
    </w:p>
    <w:p>
      <w:pPr>
        <w:pStyle w:val="BodyText"/>
      </w:pPr>
      <w:r>
        <w:t xml:space="preserve">Arslanalp, Serkan, Barry Eichengreen, and Chima Simpson-Bell.</w:t>
      </w:r>
      <w:r>
        <w:t xml:space="preserve"> </w:t>
      </w:r>
      <w:r>
        <w:t xml:space="preserve">“</w:t>
      </w:r>
      <w:r>
        <w:t xml:space="preserve">The</w:t>
      </w:r>
      <w:r>
        <w:t xml:space="preserve"> </w:t>
      </w:r>
      <w:r>
        <w:t xml:space="preserve">Stealth Erosion of Dollar Dominance: Active Diversifiers and the Rise of</w:t>
      </w:r>
      <w:r>
        <w:t xml:space="preserve"> </w:t>
      </w:r>
      <w:r>
        <w:t xml:space="preserve">Nontraditional Reserve Currencies.</w:t>
      </w:r>
      <w:r>
        <w:t xml:space="preserve">”</w:t>
      </w:r>
      <w:r>
        <w:t xml:space="preserve"> </w:t>
      </w:r>
      <w:r>
        <w:rPr>
          <w:iCs/>
          <w:i/>
        </w:rPr>
        <w:t xml:space="preserve">IMF Working Paper</w:t>
      </w:r>
      <w:r>
        <w:t xml:space="preserve"> </w:t>
      </w:r>
      <w:r>
        <w:t xml:space="preserve">WP/2022/058,</w:t>
      </w:r>
      <w:r>
        <w:t xml:space="preserve"> </w:t>
      </w:r>
      <w:r>
        <w:t xml:space="preserve">2022.</w:t>
      </w:r>
    </w:p>
    <w:p>
      <w:pPr>
        <w:pStyle w:val="BodyText"/>
      </w:pPr>
      <w:r>
        <w:t xml:space="preserve">Le Maux, Laurent, and Emmanuel Carré.</w:t>
      </w:r>
      <w:r>
        <w:t xml:space="preserve"> </w:t>
      </w:r>
      <w:r>
        <w:t xml:space="preserve">“</w:t>
      </w:r>
      <w:r>
        <w:t xml:space="preserve">The Fed as lender of last resort</w:t>
      </w:r>
      <w:r>
        <w:t xml:space="preserve"> </w:t>
      </w:r>
      <w:r>
        <w:t xml:space="preserve">of a globalized dollar financial cycle, 2007-2020.</w:t>
      </w:r>
      <w:r>
        <w:t xml:space="preserve">”</w:t>
      </w:r>
      <w:r>
        <w:t xml:space="preserve"> </w:t>
      </w:r>
      <w:r>
        <w:rPr>
          <w:iCs/>
          <w:i/>
        </w:rPr>
        <w:t xml:space="preserve">Industrial and</w:t>
      </w:r>
      <w:r>
        <w:rPr>
          <w:iCs/>
          <w:i/>
        </w:rPr>
        <w:t xml:space="preserve"> </w:t>
      </w:r>
      <w:r>
        <w:rPr>
          <w:iCs/>
          <w:i/>
        </w:rPr>
        <w:t xml:space="preserve">Corporate Change</w:t>
      </w:r>
      <w:r>
        <w:t xml:space="preserve"> </w:t>
      </w:r>
      <w:r>
        <w:t xml:space="preserve">31, no. 6 (2022): 1526-1551.</w:t>
      </w:r>
    </w:p>
    <w:p>
      <w:pPr>
        <w:pStyle w:val="BodyText"/>
      </w:pPr>
      <w:r>
        <w:t xml:space="preserve">Mehrling, Perry.</w:t>
      </w:r>
      <w:r>
        <w:t xml:space="preserve"> </w:t>
      </w:r>
      <w:r>
        <w:rPr>
          <w:iCs/>
          <w:i/>
        </w:rPr>
        <w:t xml:space="preserve">The New Lombard Street: How the Fed Became the Dealer</w:t>
      </w:r>
      <w:r>
        <w:rPr>
          <w:iCs/>
          <w:i/>
        </w:rPr>
        <w:t xml:space="preserve"> </w:t>
      </w:r>
      <w:r>
        <w:rPr>
          <w:iCs/>
          <w:i/>
        </w:rPr>
        <w:t xml:space="preserve">of Last Resort</w:t>
      </w:r>
      <w:r>
        <w:t xml:space="preserve">. Princeton: Princeton University Press, 2011.</w:t>
      </w:r>
    </w:p>
    <w:p>
      <w:pPr>
        <w:pStyle w:val="BodyText"/>
      </w:pPr>
      <w:r>
        <w:t xml:space="preserve">Pozsar, Zoltan.</w:t>
      </w:r>
      <w:r>
        <w:t xml:space="preserve"> </w:t>
      </w:r>
      <w:r>
        <w:t xml:space="preserve">“</w:t>
      </w:r>
      <w:r>
        <w:t xml:space="preserve">Bretton Woods III.</w:t>
      </w:r>
      <w:r>
        <w:t xml:space="preserve">”</w:t>
      </w:r>
      <w:r>
        <w:t xml:space="preserve"> </w:t>
      </w:r>
      <w:r>
        <w:t xml:space="preserve">Credit Suisse Global Money</w:t>
      </w:r>
      <w:r>
        <w:t xml:space="preserve"> </w:t>
      </w:r>
      <w:r>
        <w:t xml:space="preserve">Dispatch, March 7, 2022.</w:t>
      </w:r>
    </w:p>
    <w:p>
      <w:pPr>
        <w:pStyle w:val="BodyText"/>
      </w:pPr>
      <w:r>
        <w:t xml:space="preserve">Tooze, Adam.</w:t>
      </w:r>
      <w:r>
        <w:t xml:space="preserve"> </w:t>
      </w:r>
      <w:r>
        <w:rPr>
          <w:iCs/>
          <w:i/>
        </w:rPr>
        <w:t xml:space="preserve">Crashed: How a Decade of Financial Crises Changed the</w:t>
      </w:r>
      <w:r>
        <w:rPr>
          <w:iCs/>
          <w:i/>
        </w:rPr>
        <w:t xml:space="preserve"> </w:t>
      </w:r>
      <w:r>
        <w:rPr>
          <w:iCs/>
          <w:i/>
        </w:rPr>
        <w:t xml:space="preserve">World</w:t>
      </w:r>
      <w:r>
        <w:t xml:space="preserve">. New York: Viking, 2018.</w:t>
      </w:r>
    </w:p>
    <w:p>
      <w:pPr>
        <w:pStyle w:val="BodyText"/>
      </w:pPr>
      <w:r>
        <w:t xml:space="preserve">Tooze, Adam.</w:t>
      </w:r>
      <w:r>
        <w:t xml:space="preserve"> </w:t>
      </w:r>
      <w:r>
        <w:rPr>
          <w:iCs/>
          <w:i/>
        </w:rPr>
        <w:t xml:space="preserve">Shutdown: How Covid Shook the World’s Economy</w:t>
      </w:r>
      <w:r>
        <w:t xml:space="preserve">. New York:</w:t>
      </w:r>
      <w:r>
        <w:t xml:space="preserve"> </w:t>
      </w:r>
      <w:r>
        <w:t xml:space="preserve">Viking, 2021.</w:t>
      </w:r>
    </w:p>
    <w:bookmarkEnd w:id="172"/>
    <w:bookmarkStart w:id="173" w:name="governance-and-democratic-erosion"/>
    <w:p>
      <w:pPr>
        <w:pStyle w:val="Heading2"/>
      </w:pPr>
      <w:r>
        <w:t xml:space="preserve">Governance and Democratic Erosion</w:t>
      </w:r>
    </w:p>
    <w:p>
      <w:pPr>
        <w:pStyle w:val="FirstParagraph"/>
      </w:pPr>
      <w:r>
        <w:t xml:space="preserve">Grumbach, Jacob M.</w:t>
      </w:r>
      <w:r>
        <w:t xml:space="preserve"> </w:t>
      </w:r>
      <w:r>
        <w:rPr>
          <w:iCs/>
          <w:i/>
        </w:rPr>
        <w:t xml:space="preserve">Laboratories Against Democracy: How National Parties</w:t>
      </w:r>
      <w:r>
        <w:rPr>
          <w:iCs/>
          <w:i/>
        </w:rPr>
        <w:t xml:space="preserve"> </w:t>
      </w:r>
      <w:r>
        <w:rPr>
          <w:iCs/>
          <w:i/>
        </w:rPr>
        <w:t xml:space="preserve">Transformed State Politics</w:t>
      </w:r>
      <w:r>
        <w:t xml:space="preserve">. Princeton: Princeton University Press,</w:t>
      </w:r>
      <w:r>
        <w:t xml:space="preserve"> </w:t>
      </w:r>
      <w:r>
        <w:t xml:space="preserve">2022.</w:t>
      </w:r>
    </w:p>
    <w:p>
      <w:pPr>
        <w:pStyle w:val="BodyText"/>
      </w:pPr>
      <w:r>
        <w:t xml:space="preserve">Levitsky, Steven, and Daniel Ziblatt.</w:t>
      </w:r>
      <w:r>
        <w:t xml:space="preserve"> </w:t>
      </w:r>
      <w:r>
        <w:rPr>
          <w:iCs/>
          <w:i/>
        </w:rPr>
        <w:t xml:space="preserve">How Democracies Die</w:t>
      </w:r>
      <w:r>
        <w:t xml:space="preserve">. New York:</w:t>
      </w:r>
      <w:r>
        <w:t xml:space="preserve"> </w:t>
      </w:r>
      <w:r>
        <w:t xml:space="preserve">Crown, 2018.</w:t>
      </w:r>
    </w:p>
    <w:p>
      <w:pPr>
        <w:pStyle w:val="BodyText"/>
      </w:pPr>
      <w:r>
        <w:t xml:space="preserve">Little, Andrew T., and Anne Meng.</w:t>
      </w:r>
      <w:r>
        <w:t xml:space="preserve"> </w:t>
      </w:r>
      <w:r>
        <w:t xml:space="preserve">“</w:t>
      </w:r>
      <w:r>
        <w:t xml:space="preserve">Measuring Democratic Backsliding.</w:t>
      </w:r>
      <w:r>
        <w:t xml:space="preserve">”</w:t>
      </w:r>
      <w:r>
        <w:t xml:space="preserve"> </w:t>
      </w:r>
      <w:r>
        <w:rPr>
          <w:iCs/>
          <w:i/>
        </w:rPr>
        <w:t xml:space="preserve">PS: Political Science &amp; Politics</w:t>
      </w:r>
      <w:r>
        <w:t xml:space="preserve"> </w:t>
      </w:r>
      <w:r>
        <w:t xml:space="preserve">57, no. 2 (2024): 149-161.</w:t>
      </w:r>
    </w:p>
    <w:p>
      <w:pPr>
        <w:pStyle w:val="BodyText"/>
      </w:pPr>
      <w:r>
        <w:t xml:space="preserve">Pierson, Paul, and Eric Schickler.</w:t>
      </w:r>
      <w:r>
        <w:t xml:space="preserve"> </w:t>
      </w:r>
      <w:r>
        <w:t xml:space="preserve">“</w:t>
      </w:r>
      <w:r>
        <w:t xml:space="preserve">Madison’s Constitution Under Stress:</w:t>
      </w:r>
      <w:r>
        <w:t xml:space="preserve"> </w:t>
      </w:r>
      <w:r>
        <w:t xml:space="preserve">A Developmental Analysis of Political Polarization.</w:t>
      </w:r>
      <w:r>
        <w:t xml:space="preserve">”</w:t>
      </w:r>
      <w:r>
        <w:t xml:space="preserve"> </w:t>
      </w:r>
      <w:r>
        <w:rPr>
          <w:iCs/>
          <w:i/>
        </w:rPr>
        <w:t xml:space="preserve">Annual Review of</w:t>
      </w:r>
      <w:r>
        <w:rPr>
          <w:iCs/>
          <w:i/>
        </w:rPr>
        <w:t xml:space="preserve"> </w:t>
      </w:r>
      <w:r>
        <w:rPr>
          <w:iCs/>
          <w:i/>
        </w:rPr>
        <w:t xml:space="preserve">Political Science</w:t>
      </w:r>
      <w:r>
        <w:t xml:space="preserve"> </w:t>
      </w:r>
      <w:r>
        <w:t xml:space="preserve">23 (2020): 37-58.</w:t>
      </w:r>
    </w:p>
    <w:p>
      <w:pPr>
        <w:pStyle w:val="BodyText"/>
      </w:pPr>
      <w:r>
        <w:t xml:space="preserve">Weyland, Kurt.</w:t>
      </w:r>
      <w:r>
        <w:t xml:space="preserve"> </w:t>
      </w:r>
      <w:r>
        <w:t xml:space="preserve">“</w:t>
      </w:r>
      <w:r>
        <w:t xml:space="preserve">Populism’s Threat to Democracy: Comparative Lessons for</w:t>
      </w:r>
      <w:r>
        <w:t xml:space="preserve"> </w:t>
      </w:r>
      <w:r>
        <w:t xml:space="preserve">the United States.</w:t>
      </w:r>
      <w:r>
        <w:t xml:space="preserve">”</w:t>
      </w:r>
      <w:r>
        <w:t xml:space="preserve"> </w:t>
      </w:r>
      <w:r>
        <w:rPr>
          <w:iCs/>
          <w:i/>
        </w:rPr>
        <w:t xml:space="preserve">Perspectives on Politics</w:t>
      </w:r>
      <w:r>
        <w:t xml:space="preserve"> </w:t>
      </w:r>
      <w:r>
        <w:t xml:space="preserve">18, no. 2 (2020):</w:t>
      </w:r>
      <w:r>
        <w:t xml:space="preserve"> </w:t>
      </w:r>
      <w:r>
        <w:t xml:space="preserve">389-406.</w:t>
      </w:r>
    </w:p>
    <w:p>
      <w:pPr>
        <w:pStyle w:val="BodyText"/>
      </w:pPr>
      <w:r>
        <w:t xml:space="preserve">Wolff, Jonas.</w:t>
      </w:r>
      <w:r>
        <w:t xml:space="preserve"> </w:t>
      </w:r>
      <w:r>
        <w:t xml:space="preserve">“</w:t>
      </w:r>
      <w:r>
        <w:t xml:space="preserve">Methodological Concerns with V-Dem’s Democratic Recession</w:t>
      </w:r>
      <w:r>
        <w:t xml:space="preserve"> </w:t>
      </w:r>
      <w:r>
        <w:t xml:space="preserve">Thesis.</w:t>
      </w:r>
      <w:r>
        <w:t xml:space="preserve">”</w:t>
      </w:r>
      <w:r>
        <w:t xml:space="preserve"> </w:t>
      </w:r>
      <w:r>
        <w:rPr>
          <w:iCs/>
          <w:i/>
        </w:rPr>
        <w:t xml:space="preserve">PRIF Blog</w:t>
      </w:r>
      <w:r>
        <w:t xml:space="preserve">, December 2025.</w:t>
      </w:r>
    </w:p>
    <w:bookmarkEnd w:id="173"/>
    <w:bookmarkStart w:id="174" w:name="technology-ai-and-semiconductors"/>
    <w:p>
      <w:pPr>
        <w:pStyle w:val="Heading2"/>
      </w:pPr>
      <w:r>
        <w:t xml:space="preserve">Technology, AI, and Semiconductors</w:t>
      </w:r>
    </w:p>
    <w:p>
      <w:pPr>
        <w:pStyle w:val="FirstParagraph"/>
      </w:pPr>
      <w:r>
        <w:t xml:space="preserve">Miller, Chris.</w:t>
      </w:r>
      <w:r>
        <w:t xml:space="preserve"> </w:t>
      </w:r>
      <w:r>
        <w:rPr>
          <w:iCs/>
          <w:i/>
        </w:rPr>
        <w:t xml:space="preserve">Chip War: The Fight for the World’s Most Critical</w:t>
      </w:r>
      <w:r>
        <w:rPr>
          <w:iCs/>
          <w:i/>
        </w:rPr>
        <w:t xml:space="preserve"> </w:t>
      </w:r>
      <w:r>
        <w:rPr>
          <w:iCs/>
          <w:i/>
        </w:rPr>
        <w:t xml:space="preserve">Technology</w:t>
      </w:r>
      <w:r>
        <w:t xml:space="preserve">. New York: Scribner, 2022.</w:t>
      </w:r>
    </w:p>
    <w:p>
      <w:pPr>
        <w:pStyle w:val="BodyText"/>
      </w:pPr>
      <w:r>
        <w:t xml:space="preserve">Semiconductor Industry Association.</w:t>
      </w:r>
      <w:r>
        <w:t xml:space="preserve"> </w:t>
      </w:r>
      <w:r>
        <w:rPr>
          <w:iCs/>
          <w:i/>
        </w:rPr>
        <w:t xml:space="preserve">2024-2025 SIA Factbook</w:t>
      </w:r>
      <w:r>
        <w:t xml:space="preserve">.</w:t>
      </w:r>
      <w:r>
        <w:t xml:space="preserve"> </w:t>
      </w:r>
      <w:r>
        <w:t xml:space="preserve">Washington, DC: SIA, 2025.</w:t>
      </w:r>
    </w:p>
    <w:p>
      <w:pPr>
        <w:pStyle w:val="BodyText"/>
      </w:pPr>
      <w:r>
        <w:t xml:space="preserve">Allen, Gregory C.</w:t>
      </w:r>
      <w:r>
        <w:t xml:space="preserve"> </w:t>
      </w:r>
      <w:r>
        <w:t xml:space="preserve">“</w:t>
      </w:r>
      <w:r>
        <w:t xml:space="preserve">Choking Off China’s Access to the Future of AI.</w:t>
      </w:r>
      <w:r>
        <w:t xml:space="preserve">”</w:t>
      </w:r>
      <w:r>
        <w:t xml:space="preserve"> </w:t>
      </w:r>
      <w:r>
        <w:rPr>
          <w:iCs/>
          <w:i/>
        </w:rPr>
        <w:t xml:space="preserve">CSIS</w:t>
      </w:r>
      <w:r>
        <w:t xml:space="preserve">, October 2022.</w:t>
      </w:r>
    </w:p>
    <w:p>
      <w:pPr>
        <w:pStyle w:val="BodyText"/>
      </w:pPr>
      <w:r>
        <w:t xml:space="preserve">Marcus, Gary, and Ernest Davis.</w:t>
      </w:r>
      <w:r>
        <w:t xml:space="preserve"> </w:t>
      </w:r>
      <w:r>
        <w:rPr>
          <w:iCs/>
          <w:i/>
        </w:rPr>
        <w:t xml:space="preserve">Rebooting AI: Building Artificial</w:t>
      </w:r>
      <w:r>
        <w:rPr>
          <w:iCs/>
          <w:i/>
        </w:rPr>
        <w:t xml:space="preserve"> </w:t>
      </w:r>
      <w:r>
        <w:rPr>
          <w:iCs/>
          <w:i/>
        </w:rPr>
        <w:t xml:space="preserve">Intelligence We Can Trust</w:t>
      </w:r>
      <w:r>
        <w:t xml:space="preserve">. New York: Pantheon, 2019.</w:t>
      </w:r>
    </w:p>
    <w:bookmarkEnd w:id="174"/>
    <w:bookmarkStart w:id="175" w:name="social-and-demographic"/>
    <w:p>
      <w:pPr>
        <w:pStyle w:val="Heading2"/>
      </w:pPr>
      <w:r>
        <w:t xml:space="preserve">Social and Demographic</w:t>
      </w:r>
    </w:p>
    <w:p>
      <w:pPr>
        <w:pStyle w:val="FirstParagraph"/>
      </w:pPr>
      <w:r>
        <w:t xml:space="preserve">Case, Anne, and Angus Deaton.</w:t>
      </w:r>
      <w:r>
        <w:t xml:space="preserve"> </w:t>
      </w:r>
      <w:r>
        <w:rPr>
          <w:iCs/>
          <w:i/>
        </w:rPr>
        <w:t xml:space="preserve">Deaths of Despair and the Future of</w:t>
      </w:r>
      <w:r>
        <w:rPr>
          <w:iCs/>
          <w:i/>
        </w:rPr>
        <w:t xml:space="preserve"> </w:t>
      </w:r>
      <w:r>
        <w:rPr>
          <w:iCs/>
          <w:i/>
        </w:rPr>
        <w:t xml:space="preserve">Capitalism</w:t>
      </w:r>
      <w:r>
        <w:t xml:space="preserve">. Princeton: Princeton University Press, 2020.</w:t>
      </w:r>
    </w:p>
    <w:p>
      <w:pPr>
        <w:pStyle w:val="BodyText"/>
      </w:pPr>
      <w:r>
        <w:t xml:space="preserve">Chetty, Raj, et al. </w:t>
      </w:r>
      <w:r>
        <w:t xml:space="preserve">“</w:t>
      </w:r>
      <w:r>
        <w:t xml:space="preserve">The Fading American Dream: Trends in Absolute</w:t>
      </w:r>
      <w:r>
        <w:t xml:space="preserve"> </w:t>
      </w:r>
      <w:r>
        <w:t xml:space="preserve">Income Mobility Since 1940.</w:t>
      </w:r>
      <w:r>
        <w:t xml:space="preserve">”</w:t>
      </w:r>
      <w:r>
        <w:t xml:space="preserve"> </w:t>
      </w:r>
      <w:r>
        <w:rPr>
          <w:iCs/>
          <w:i/>
        </w:rPr>
        <w:t xml:space="preserve">Science</w:t>
      </w:r>
      <w:r>
        <w:t xml:space="preserve"> </w:t>
      </w:r>
      <w:r>
        <w:t xml:space="preserve">356, no. 6336 (2017): 398-406.</w:t>
      </w:r>
    </w:p>
    <w:p>
      <w:pPr>
        <w:pStyle w:val="BodyText"/>
      </w:pPr>
      <w:r>
        <w:t xml:space="preserve">Putnam, Robert D.</w:t>
      </w:r>
      <w:r>
        <w:t xml:space="preserve"> </w:t>
      </w:r>
      <w:r>
        <w:rPr>
          <w:iCs/>
          <w:i/>
        </w:rPr>
        <w:t xml:space="preserve">Bowling Alone: The Collapse and Revival of American</w:t>
      </w:r>
      <w:r>
        <w:rPr>
          <w:iCs/>
          <w:i/>
        </w:rPr>
        <w:t xml:space="preserve"> </w:t>
      </w:r>
      <w:r>
        <w:rPr>
          <w:iCs/>
          <w:i/>
        </w:rPr>
        <w:t xml:space="preserve">Community</w:t>
      </w:r>
      <w:r>
        <w:t xml:space="preserve">. New York: Simon &amp; Schuster, 2000.</w:t>
      </w:r>
    </w:p>
    <w:bookmarkEnd w:id="175"/>
    <w:bookmarkStart w:id="176" w:name="military-and-security"/>
    <w:p>
      <w:pPr>
        <w:pStyle w:val="Heading2"/>
      </w:pPr>
      <w:r>
        <w:t xml:space="preserve">Military and Security</w:t>
      </w:r>
    </w:p>
    <w:p>
      <w:pPr>
        <w:pStyle w:val="FirstParagraph"/>
      </w:pPr>
      <w:r>
        <w:t xml:space="preserve">Posen, Barry R.</w:t>
      </w:r>
      <w:r>
        <w:t xml:space="preserve"> </w:t>
      </w:r>
      <w:r>
        <w:rPr>
          <w:iCs/>
          <w:i/>
        </w:rPr>
        <w:t xml:space="preserve">Restraint: A New Foundation for U.S. Grand Strategy</w:t>
      </w:r>
      <w:r>
        <w:t xml:space="preserve">.</w:t>
      </w:r>
      <w:r>
        <w:t xml:space="preserve"> </w:t>
      </w:r>
      <w:r>
        <w:t xml:space="preserve">Ithaca: Cornell University Press, 2014.</w:t>
      </w:r>
    </w:p>
    <w:p>
      <w:pPr>
        <w:pStyle w:val="BodyText"/>
      </w:pPr>
      <w:r>
        <w:t xml:space="preserve">Schake, Kori.</w:t>
      </w:r>
      <w:r>
        <w:t xml:space="preserve"> </w:t>
      </w:r>
      <w:r>
        <w:rPr>
          <w:iCs/>
          <w:i/>
        </w:rPr>
        <w:t xml:space="preserve">Safe Passage: The Transition from British to American</w:t>
      </w:r>
      <w:r>
        <w:rPr>
          <w:iCs/>
          <w:i/>
        </w:rPr>
        <w:t xml:space="preserve"> </w:t>
      </w:r>
      <w:r>
        <w:rPr>
          <w:iCs/>
          <w:i/>
        </w:rPr>
        <w:t xml:space="preserve">Hegemony</w:t>
      </w:r>
      <w:r>
        <w:t xml:space="preserve">. Cambridge: Harvard University Press, 2017.</w:t>
      </w:r>
    </w:p>
    <w:bookmarkEnd w:id="176"/>
    <w:bookmarkStart w:id="177" w:name="additional-scholarly-sources"/>
    <w:p>
      <w:pPr>
        <w:pStyle w:val="Heading2"/>
      </w:pPr>
      <w:r>
        <w:t xml:space="preserve">Additional Scholarly Sources</w:t>
      </w:r>
    </w:p>
    <w:p>
      <w:pPr>
        <w:pStyle w:val="FirstParagraph"/>
      </w:pPr>
      <w:r>
        <w:t xml:space="preserve">Brand Finance.</w:t>
      </w:r>
      <w:r>
        <w:t xml:space="preserve"> </w:t>
      </w:r>
      <w:r>
        <w:rPr>
          <w:iCs/>
          <w:i/>
        </w:rPr>
        <w:t xml:space="preserve">Global Soft Power Index 2024</w:t>
      </w:r>
      <w:r>
        <w:t xml:space="preserve">. London: Brand Finance,</w:t>
      </w:r>
      <w:r>
        <w:t xml:space="preserve"> </w:t>
      </w:r>
      <w:r>
        <w:t xml:space="preserve">2024.</w:t>
      </w:r>
    </w:p>
    <w:p>
      <w:pPr>
        <w:pStyle w:val="BodyText"/>
      </w:pPr>
      <w:r>
        <w:t xml:space="preserve">Gallup.</w:t>
      </w:r>
      <w:r>
        <w:t xml:space="preserve"> </w:t>
      </w:r>
      <w:r>
        <w:rPr>
          <w:iCs/>
          <w:i/>
        </w:rPr>
        <w:t xml:space="preserve">Confidence in Institutions</w:t>
      </w:r>
      <w:r>
        <w:t xml:space="preserve"> </w:t>
      </w:r>
      <w:r>
        <w:t xml:space="preserve">surveys. Various years.</w:t>
      </w:r>
    </w:p>
    <w:p>
      <w:pPr>
        <w:pStyle w:val="BodyText"/>
      </w:pPr>
      <w:r>
        <w:t xml:space="preserve">Pew Research Center.</w:t>
      </w:r>
      <w:r>
        <w:t xml:space="preserve"> </w:t>
      </w:r>
      <w:r>
        <w:rPr>
          <w:iCs/>
          <w:i/>
        </w:rPr>
        <w:t xml:space="preserve">Global Attitudes</w:t>
      </w:r>
      <w:r>
        <w:t xml:space="preserve"> </w:t>
      </w:r>
      <w:r>
        <w:t xml:space="preserve">surveys. Various years.</w:t>
      </w:r>
    </w:p>
    <w:bookmarkEnd w:id="177"/>
    <w:bookmarkEnd w:id="178"/>
    <w:bookmarkStart w:id="183" w:name="final-assessment-and-conclusion"/>
    <w:p>
      <w:pPr>
        <w:pStyle w:val="Heading1"/>
      </w:pPr>
      <w:r>
        <w:t xml:space="preserve">FINAL ASSESSMENT AND CONCLUSION</w:t>
      </w:r>
    </w:p>
    <w:bookmarkStart w:id="179" w:name="summary-of-findings"/>
    <w:p>
      <w:pPr>
        <w:pStyle w:val="Heading2"/>
      </w:pPr>
      <w:r>
        <w:t xml:space="preserve">Summary of Findings</w:t>
      </w:r>
    </w:p>
    <w:p>
      <w:pPr>
        <w:pStyle w:val="FirstParagraph"/>
      </w:pPr>
      <w:r>
        <w:t xml:space="preserve">The American Hegemony Session 4 analysis covers the most challenging</w:t>
      </w:r>
      <w:r>
        <w:t xml:space="preserve"> </w:t>
      </w:r>
      <w:r>
        <w:t xml:space="preserve">period of contemporary hegemonic assessment: 2008 to present. The</w:t>
      </w:r>
      <w:r>
        <w:t xml:space="preserve"> </w:t>
      </w:r>
      <w:r>
        <w:t xml:space="preserve">evidence supports the following conclusions:</w:t>
      </w:r>
    </w:p>
    <w:p>
      <w:pPr>
        <w:pStyle w:val="BodyText"/>
      </w:pPr>
      <w:r>
        <w:rPr>
          <w:bCs/>
          <w:b/>
        </w:rPr>
        <w:t xml:space="preserve">1. Signal Crisis Confirmed, Terminal Decline Not Observed</w:t>
      </w:r>
    </w:p>
    <w:p>
      <w:pPr>
        <w:pStyle w:val="BodyText"/>
      </w:pPr>
      <w:r>
        <w:t xml:space="preserve">The 2008 Global Financial Crisis represented a signal crisis in</w:t>
      </w:r>
      <w:r>
        <w:t xml:space="preserve"> </w:t>
      </w:r>
      <w:r>
        <w:t xml:space="preserve">Arrighi’s framework—an event revealing systemic contradictions without</w:t>
      </w:r>
      <w:r>
        <w:t xml:space="preserve"> </w:t>
      </w:r>
      <w:r>
        <w:t xml:space="preserve">triggering terminal decline. Composite CAS scores declined from 6.78</w:t>
      </w:r>
      <w:r>
        <w:t xml:space="preserve"> </w:t>
      </w:r>
      <w:r>
        <w:t xml:space="preserve">(2008) to approximately 5.33 (2025), representing 21%</w:t>
      </w:r>
      <w:r>
        <w:t xml:space="preserve"> </w:t>
      </w:r>
      <w:r>
        <w:t xml:space="preserve">decline—significant erosion but substantially below terminal</w:t>
      </w:r>
      <w:r>
        <w:t xml:space="preserve"> </w:t>
      </w:r>
      <w:r>
        <w:t xml:space="preserve">thresholds observed in predecessor hegemons (British ~35%, Dutch ~42%,</w:t>
      </w:r>
      <w:r>
        <w:t xml:space="preserve"> </w:t>
      </w:r>
      <w:r>
        <w:t xml:space="preserve">Spanish ~48%).</w:t>
      </w:r>
    </w:p>
    <w:p>
      <w:pPr>
        <w:pStyle w:val="BodyText"/>
      </w:pPr>
      <w:r>
        <w:rPr>
          <w:bCs/>
          <w:b/>
        </w:rPr>
        <w:t xml:space="preserve">2. Domain-Specific Trajectories Vary Substantially</w:t>
      </w:r>
    </w:p>
    <w:p>
      <w:pPr>
        <w:pStyle w:val="BodyText"/>
      </w:pPr>
      <w:r>
        <w:t xml:space="preserve">Not all domains declined equally: -</w:t>
      </w:r>
      <w:r>
        <w:t xml:space="preserve"> </w:t>
      </w:r>
      <w:r>
        <w:rPr>
          <w:bCs/>
          <w:b/>
        </w:rPr>
        <w:t xml:space="preserve">Resilient:</w:t>
      </w:r>
      <w:r>
        <w:t xml:space="preserve"> </w:t>
      </w:r>
      <w:r>
        <w:t xml:space="preserve">Military (7.5→7.5),</w:t>
      </w:r>
      <w:r>
        <w:t xml:space="preserve"> </w:t>
      </w:r>
      <w:r>
        <w:t xml:space="preserve">Technology (7.0→7.0) -</w:t>
      </w:r>
      <w:r>
        <w:t xml:space="preserve"> </w:t>
      </w:r>
      <w:r>
        <w:rPr>
          <w:bCs/>
          <w:b/>
        </w:rPr>
        <w:t xml:space="preserve">Moderate Decline:</w:t>
      </w:r>
      <w:r>
        <w:t xml:space="preserve"> </w:t>
      </w:r>
      <w:r>
        <w:t xml:space="preserve">Legal (6.0→5.0),</w:t>
      </w:r>
      <w:r>
        <w:t xml:space="preserve"> </w:t>
      </w:r>
      <w:r>
        <w:t xml:space="preserve">Information (7.0→6.0) -</w:t>
      </w:r>
      <w:r>
        <w:t xml:space="preserve"> </w:t>
      </w:r>
      <w:r>
        <w:rPr>
          <w:bCs/>
          <w:b/>
        </w:rPr>
        <w:t xml:space="preserve">Significant Decline:</w:t>
      </w:r>
      <w:r>
        <w:t xml:space="preserve"> </w:t>
      </w:r>
      <w:r>
        <w:t xml:space="preserve">Governance (6.0→4.5),</w:t>
      </w:r>
      <w:r>
        <w:t xml:space="preserve"> </w:t>
      </w:r>
      <w:r>
        <w:t xml:space="preserve">Financial (7.0→5.0), Social (5.5→4.0), Soft Power (7.0→4.5)</w:t>
      </w:r>
    </w:p>
    <w:p>
      <w:pPr>
        <w:pStyle w:val="BodyText"/>
      </w:pPr>
      <w:r>
        <w:t xml:space="preserve">The cascade pattern—Finance → Social → Manufacturing → Soft</w:t>
      </w:r>
      <w:r>
        <w:t xml:space="preserve"> </w:t>
      </w:r>
      <w:r>
        <w:t xml:space="preserve">Power—differs from British decline (Education → Technology → Finance)</w:t>
      </w:r>
      <w:r>
        <w:t xml:space="preserve"> </w:t>
      </w:r>
      <w:r>
        <w:t xml:space="preserve">and resembles Dutch/Spanish patterns.</w:t>
      </w:r>
    </w:p>
    <w:p>
      <w:pPr>
        <w:pStyle w:val="BodyText"/>
      </w:pPr>
      <w:r>
        <w:rPr>
          <w:bCs/>
          <w:b/>
        </w:rPr>
        <w:t xml:space="preserve">3. Institutional Adaptation Demonstrated</w:t>
      </w:r>
    </w:p>
    <w:p>
      <w:pPr>
        <w:pStyle w:val="BodyText"/>
      </w:pPr>
      <w:r>
        <w:t xml:space="preserve">The Federal Reserve’s transformation into global lender of last resort,</w:t>
      </w:r>
      <w:r>
        <w:t xml:space="preserve"> </w:t>
      </w:r>
      <w:r>
        <w:t xml:space="preserve">the CHIPS Act semiconductor reshoring initiative, and Ukraine security</w:t>
      </w:r>
      <w:r>
        <w:t xml:space="preserve"> </w:t>
      </w:r>
      <w:r>
        <w:t xml:space="preserve">assistance coordination demonstrate adaptive institutional capacity.</w:t>
      </w:r>
      <w:r>
        <w:t xml:space="preserve"> </w:t>
      </w:r>
      <w:r>
        <w:t xml:space="preserve">This capacity does not guarantee recovery but suggests signal crisis</w:t>
      </w:r>
      <w:r>
        <w:t xml:space="preserve"> </w:t>
      </w:r>
      <w:r>
        <w:t xml:space="preserve">characteristics (institutional flexibility) rather than terminal decline</w:t>
      </w:r>
      <w:r>
        <w:t xml:space="preserve"> </w:t>
      </w:r>
      <w:r>
        <w:t xml:space="preserve">(institutional rigidity).</w:t>
      </w:r>
    </w:p>
    <w:p>
      <w:pPr>
        <w:pStyle w:val="BodyText"/>
      </w:pPr>
      <w:r>
        <w:rPr>
          <w:bCs/>
          <w:b/>
        </w:rPr>
        <w:t xml:space="preserve">4. No Credible Successor Positioned</w:t>
      </w:r>
    </w:p>
    <w:p>
      <w:pPr>
        <w:pStyle w:val="BodyText"/>
      </w:pPr>
      <w:r>
        <w:t xml:space="preserve">The absence of hegemonic successor distinguishes contemporary transition</w:t>
      </w:r>
      <w:r>
        <w:t xml:space="preserve"> </w:t>
      </w:r>
      <w:r>
        <w:t xml:space="preserve">from historical precedents. China’s structural constraints</w:t>
      </w:r>
      <w:r>
        <w:t xml:space="preserve"> </w:t>
      </w:r>
      <w:r>
        <w:t xml:space="preserve">(demographics, property crisis, technology access restrictions) and the</w:t>
      </w:r>
      <w:r>
        <w:t xml:space="preserve"> </w:t>
      </w:r>
      <w:r>
        <w:t xml:space="preserve">“</w:t>
      </w:r>
      <w:r>
        <w:t xml:space="preserve">Peak China</w:t>
      </w:r>
      <w:r>
        <w:t xml:space="preserve">”</w:t>
      </w:r>
      <w:r>
        <w:t xml:space="preserve"> </w:t>
      </w:r>
      <w:r>
        <w:t xml:space="preserve">thesis gaining scholarly support suggest extended American</w:t>
      </w:r>
      <w:r>
        <w:t xml:space="preserve"> </w:t>
      </w:r>
      <w:r>
        <w:t xml:space="preserve">hegemony despite domestic challenges.</w:t>
      </w:r>
    </w:p>
    <w:p>
      <w:pPr>
        <w:pStyle w:val="BodyText"/>
      </w:pPr>
      <w:r>
        <w:rPr>
          <w:bCs/>
          <w:b/>
        </w:rPr>
        <w:t xml:space="preserve">5. Counter-Evidence Survives Scrutiny</w:t>
      </w:r>
    </w:p>
    <w:p>
      <w:pPr>
        <w:pStyle w:val="BodyText"/>
      </w:pPr>
      <w:r>
        <w:t xml:space="preserve">Scholars rejecting or qualifying decline narratives (Beckley,</w:t>
      </w:r>
      <w:r>
        <w:t xml:space="preserve"> </w:t>
      </w:r>
      <w:r>
        <w:t xml:space="preserve">Brooks/Wohlforth, Ikenberry, Tooze) present credible arguments that</w:t>
      </w:r>
      <w:r>
        <w:t xml:space="preserve"> </w:t>
      </w:r>
      <w:r>
        <w:t xml:space="preserve">contextualize decline without denying it. Their evidence is compatible</w:t>
      </w:r>
      <w:r>
        <w:t xml:space="preserve"> </w:t>
      </w:r>
      <w:r>
        <w:t xml:space="preserve">with—and supportive of—the signal crisis interpretation.</w:t>
      </w:r>
    </w:p>
    <w:bookmarkEnd w:id="179"/>
    <w:bookmarkStart w:id="180" w:name="confidence-assessment"/>
    <w:p>
      <w:pPr>
        <w:pStyle w:val="Heading2"/>
      </w:pPr>
      <w:r>
        <w:t xml:space="preserve">Confidence Assessment</w:t>
      </w:r>
    </w:p>
    <w:tbl>
      <w:tblPr>
        <w:tblStyle w:val="Table"/>
        <w:tblW w:type="pct" w:w="4870"/>
        <w:tblLook w:firstRow="1" w:lastRow="0" w:firstColumn="0" w:lastColumn="0" w:noHBand="0" w:noVBand="0" w:val="0020"/>
        <w:jc w:val="start"/>
      </w:tblPr>
      <w:tblGrid>
        <w:gridCol w:w="1748"/>
        <w:gridCol w:w="3702"/>
        <w:gridCol w:w="2262"/>
      </w:tblGrid>
      <w:tr>
        <w:trPr>
          <w:tblHeader w:val="true"/>
        </w:trPr>
        <w:tc>
          <w:tcPr/>
          <w:p>
            <w:pPr>
              <w:pStyle w:val="Compact"/>
              <w:jc w:val="left"/>
            </w:pPr>
            <w:r>
              <w:t xml:space="preserve">Claim</w:t>
            </w:r>
          </w:p>
        </w:tc>
        <w:tc>
          <w:tcPr/>
          <w:p>
            <w:pPr>
              <w:pStyle w:val="Compact"/>
              <w:jc w:val="left"/>
            </w:pPr>
            <w:r>
              <w:t xml:space="preserve">Confidence Level</w:t>
            </w:r>
          </w:p>
        </w:tc>
        <w:tc>
          <w:tcPr/>
          <w:p>
            <w:pPr>
              <w:pStyle w:val="Compact"/>
              <w:jc w:val="left"/>
            </w:pPr>
            <w:r>
              <w:t xml:space="preserve">Rationale</w:t>
            </w:r>
          </w:p>
        </w:tc>
      </w:tr>
      <w:tr>
        <w:tc>
          <w:tcPr/>
          <w:p>
            <w:pPr>
              <w:pStyle w:val="Compact"/>
              <w:jc w:val="left"/>
            </w:pPr>
            <w:r>
              <w:t xml:space="preserve">Overall signal</w:t>
            </w:r>
            <w:r>
              <w:t xml:space="preserve"> </w:t>
            </w:r>
            <w:r>
              <w:t xml:space="preserve">crisis</w:t>
            </w:r>
            <w:r>
              <w:t xml:space="preserve"> </w:t>
            </w:r>
            <w:r>
              <w:t xml:space="preserve">interpretation</w:t>
            </w:r>
          </w:p>
        </w:tc>
        <w:tc>
          <w:tcPr/>
          <w:p>
            <w:pPr>
              <w:pStyle w:val="Compact"/>
              <w:jc w:val="left"/>
            </w:pPr>
            <w:r>
              <w:t xml:space="preserve">HIGH</w:t>
            </w:r>
          </w:p>
        </w:tc>
        <w:tc>
          <w:tcPr/>
          <w:p>
            <w:pPr>
              <w:pStyle w:val="Compact"/>
              <w:jc w:val="left"/>
            </w:pPr>
            <w:r>
              <w:t xml:space="preserve">Multiple independent</w:t>
            </w:r>
            <w:r>
              <w:t xml:space="preserve"> </w:t>
            </w:r>
            <w:r>
              <w:t xml:space="preserve">lines of evidence</w:t>
            </w:r>
            <w:r>
              <w:t xml:space="preserve"> </w:t>
            </w:r>
            <w:r>
              <w:t xml:space="preserve">converge</w:t>
            </w:r>
          </w:p>
        </w:tc>
      </w:tr>
      <w:tr>
        <w:tc>
          <w:tcPr/>
          <w:p>
            <w:pPr>
              <w:pStyle w:val="Compact"/>
              <w:jc w:val="left"/>
            </w:pPr>
            <w:r>
              <w:t xml:space="preserve">Composite</w:t>
            </w:r>
            <w:r>
              <w:t xml:space="preserve"> </w:t>
            </w:r>
            <w:r>
              <w:t xml:space="preserve">decline ~21%</w:t>
            </w:r>
          </w:p>
        </w:tc>
        <w:tc>
          <w:tcPr/>
          <w:p>
            <w:pPr>
              <w:pStyle w:val="Compact"/>
              <w:jc w:val="left"/>
            </w:pPr>
            <w:r>
              <w:t xml:space="preserve">MODERATE-HIGH</w:t>
            </w:r>
          </w:p>
        </w:tc>
        <w:tc>
          <w:tcPr/>
          <w:p>
            <w:pPr>
              <w:pStyle w:val="Compact"/>
              <w:jc w:val="left"/>
            </w:pPr>
            <w:r>
              <w:t xml:space="preserve">Measurement</w:t>
            </w:r>
            <w:r>
              <w:t xml:space="preserve"> </w:t>
            </w:r>
            <w:r>
              <w:t xml:space="preserve">uncertainty exists</w:t>
            </w:r>
            <w:r>
              <w:t xml:space="preserve"> </w:t>
            </w:r>
            <w:r>
              <w:t xml:space="preserve">but direction clear</w:t>
            </w:r>
          </w:p>
        </w:tc>
      </w:tr>
      <w:tr>
        <w:tc>
          <w:tcPr/>
          <w:p>
            <w:pPr>
              <w:pStyle w:val="Compact"/>
              <w:jc w:val="left"/>
            </w:pPr>
            <w:r>
              <w:t xml:space="preserve">Cascade pattern</w:t>
            </w:r>
            <w:r>
              <w:t xml:space="preserve"> </w:t>
            </w:r>
            <w:r>
              <w:t xml:space="preserve">identification</w:t>
            </w:r>
          </w:p>
        </w:tc>
        <w:tc>
          <w:tcPr/>
          <w:p>
            <w:pPr>
              <w:pStyle w:val="Compact"/>
              <w:jc w:val="left"/>
            </w:pPr>
            <w:r>
              <w:t xml:space="preserve">HIGH</w:t>
            </w:r>
          </w:p>
        </w:tc>
        <w:tc>
          <w:tcPr/>
          <w:p>
            <w:pPr>
              <w:pStyle w:val="Compact"/>
              <w:jc w:val="left"/>
            </w:pPr>
            <w:r>
              <w:t xml:space="preserve">Pattern observable;</w:t>
            </w:r>
            <w:r>
              <w:t xml:space="preserve"> </w:t>
            </w:r>
            <w:r>
              <w:t xml:space="preserve">causation</w:t>
            </w:r>
            <w:r>
              <w:t xml:space="preserve"> </w:t>
            </w:r>
            <w:r>
              <w:t xml:space="preserve">interpretation</w:t>
            </w:r>
            <w:r>
              <w:t xml:space="preserve"> </w:t>
            </w:r>
            <w:r>
              <w:t xml:space="preserve">moderate</w:t>
            </w:r>
          </w:p>
        </w:tc>
      </w:tr>
      <w:tr>
        <w:tc>
          <w:tcPr/>
          <w:p>
            <w:pPr>
              <w:pStyle w:val="Compact"/>
              <w:jc w:val="left"/>
            </w:pPr>
            <w:r>
              <w:t xml:space="preserve">No terminal</w:t>
            </w:r>
            <w:r>
              <w:t xml:space="preserve"> </w:t>
            </w:r>
            <w:r>
              <w:t xml:space="preserve">decline</w:t>
            </w:r>
            <w:r>
              <w:t xml:space="preserve"> </w:t>
            </w:r>
            <w:r>
              <w:t xml:space="preserve">(2008-2022)</w:t>
            </w:r>
          </w:p>
        </w:tc>
        <w:tc>
          <w:tcPr/>
          <w:p>
            <w:pPr>
              <w:pStyle w:val="Compact"/>
              <w:jc w:val="left"/>
            </w:pPr>
            <w:r>
              <w:t xml:space="preserve">HIGH</w:t>
            </w:r>
          </w:p>
        </w:tc>
        <w:tc>
          <w:tcPr/>
          <w:p>
            <w:pPr>
              <w:pStyle w:val="Compact"/>
              <w:jc w:val="left"/>
            </w:pPr>
            <w:r>
              <w:t xml:space="preserve">Historical comparison</w:t>
            </w:r>
            <w:r>
              <w:t xml:space="preserve"> </w:t>
            </w:r>
            <w:r>
              <w:t xml:space="preserve">well-established</w:t>
            </w:r>
          </w:p>
        </w:tc>
      </w:tr>
      <w:tr>
        <w:tc>
          <w:tcPr/>
          <w:p>
            <w:pPr>
              <w:pStyle w:val="Compact"/>
              <w:jc w:val="left"/>
            </w:pPr>
            <w:r>
              <w:t xml:space="preserve">Current</w:t>
            </w:r>
            <w:r>
              <w:t xml:space="preserve"> </w:t>
            </w:r>
            <w:r>
              <w:t xml:space="preserve">trajectory</w:t>
            </w:r>
            <w:r>
              <w:t xml:space="preserve"> </w:t>
            </w:r>
            <w:r>
              <w:t xml:space="preserve">assessment</w:t>
            </w:r>
          </w:p>
        </w:tc>
        <w:tc>
          <w:tcPr/>
          <w:p>
            <w:pPr>
              <w:pStyle w:val="Compact"/>
              <w:jc w:val="left"/>
            </w:pPr>
            <w:r>
              <w:t xml:space="preserve">MODERATE</w:t>
            </w:r>
          </w:p>
        </w:tc>
        <w:tc>
          <w:tcPr/>
          <w:p>
            <w:pPr>
              <w:pStyle w:val="Compact"/>
              <w:jc w:val="left"/>
            </w:pPr>
            <w:r>
              <w:t xml:space="preserve">Contemporaneous</w:t>
            </w:r>
            <w:r>
              <w:t xml:space="preserve"> </w:t>
            </w:r>
            <w:r>
              <w:t xml:space="preserve">measurement</w:t>
            </w:r>
            <w:r>
              <w:t xml:space="preserve"> </w:t>
            </w:r>
            <w:r>
              <w:t xml:space="preserve">challenges</w:t>
            </w:r>
          </w:p>
        </w:tc>
      </w:tr>
      <w:tr>
        <w:tc>
          <w:tcPr/>
          <w:p>
            <w:pPr>
              <w:pStyle w:val="Compact"/>
              <w:jc w:val="left"/>
            </w:pPr>
            <w:r>
              <w:t xml:space="preserve">2025</w:t>
            </w:r>
            <w:r>
              <w:t xml:space="preserve"> </w:t>
            </w:r>
            <w:r>
              <w:t xml:space="preserve">developments</w:t>
            </w:r>
          </w:p>
        </w:tc>
        <w:tc>
          <w:tcPr/>
          <w:p>
            <w:pPr>
              <w:pStyle w:val="Compact"/>
              <w:jc w:val="left"/>
            </w:pPr>
            <w:r>
              <w:t xml:space="preserve">LOW</w:t>
            </w:r>
          </w:p>
        </w:tc>
        <w:tc>
          <w:tcPr/>
          <w:p>
            <w:pPr>
              <w:pStyle w:val="Compact"/>
              <w:jc w:val="left"/>
            </w:pPr>
            <w:r>
              <w:t xml:space="preserve">Insufficient temporal</w:t>
            </w:r>
            <w:r>
              <w:t xml:space="preserve"> </w:t>
            </w:r>
            <w:r>
              <w:t xml:space="preserve">distance</w:t>
            </w:r>
          </w:p>
        </w:tc>
      </w:tr>
      <w:tr>
        <w:tc>
          <w:tcPr/>
          <w:p>
            <w:pPr>
              <w:pStyle w:val="Compact"/>
              <w:jc w:val="left"/>
            </w:pPr>
            <w:r>
              <w:t xml:space="preserve">Forward</w:t>
            </w:r>
            <w:r>
              <w:t xml:space="preserve"> </w:t>
            </w:r>
            <w:r>
              <w:t xml:space="preserve">projection</w:t>
            </w:r>
          </w:p>
        </w:tc>
        <w:tc>
          <w:tcPr/>
          <w:p>
            <w:pPr>
              <w:pStyle w:val="Compact"/>
              <w:jc w:val="left"/>
            </w:pPr>
            <w:r>
              <w:t xml:space="preserve">LOW</w:t>
            </w:r>
          </w:p>
        </w:tc>
        <w:tc>
          <w:tcPr/>
          <w:p>
            <w:pPr>
              <w:pStyle w:val="Compact"/>
              <w:jc w:val="left"/>
            </w:pPr>
            <w:r>
              <w:t xml:space="preserve">Forecasting</w:t>
            </w:r>
            <w:r>
              <w:t xml:space="preserve"> </w:t>
            </w:r>
            <w:r>
              <w:t xml:space="preserve">uncertainty inherent</w:t>
            </w:r>
          </w:p>
        </w:tc>
      </w:tr>
    </w:tbl>
    <w:bookmarkEnd w:id="180"/>
    <w:bookmarkStart w:id="181" w:name="implications-for-infonomics-framework"/>
    <w:p>
      <w:pPr>
        <w:pStyle w:val="Heading2"/>
      </w:pPr>
      <w:r>
        <w:t xml:space="preserve">Implications for Infonomics Framework</w:t>
      </w:r>
    </w:p>
    <w:p>
      <w:pPr>
        <w:pStyle w:val="FirstParagraph"/>
      </w:pPr>
      <w:r>
        <w:t xml:space="preserve">The American hegemony analysis validates core Infonomics propositions:</w:t>
      </w:r>
    </w:p>
    <w:p>
      <w:pPr>
        <w:numPr>
          <w:ilvl w:val="0"/>
          <w:numId w:val="1004"/>
        </w:numPr>
      </w:pPr>
      <w:r>
        <w:rPr>
          <w:bCs/>
          <w:b/>
        </w:rPr>
        <w:t xml:space="preserve">1694 Thesis:</w:t>
      </w:r>
      <w:r>
        <w:t xml:space="preserve"> </w:t>
      </w:r>
      <w:r>
        <w:t xml:space="preserve">Financial institutions are culminations, not</w:t>
      </w:r>
      <w:r>
        <w:t xml:space="preserve"> </w:t>
      </w:r>
      <w:r>
        <w:t xml:space="preserve">causes, of hegemonic capacity. China cannot replicate American</w:t>
      </w:r>
      <w:r>
        <w:t xml:space="preserve"> </w:t>
      </w:r>
      <w:r>
        <w:t xml:space="preserve">hegemony through financial innovation alone without prior</w:t>
      </w:r>
      <w:r>
        <w:t xml:space="preserve"> </w:t>
      </w:r>
      <w:r>
        <w:t xml:space="preserve">institutional foundation across all nine domains.</w:t>
      </w:r>
    </w:p>
    <w:p>
      <w:pPr>
        <w:numPr>
          <w:ilvl w:val="0"/>
          <w:numId w:val="1004"/>
        </w:numPr>
      </w:pPr>
      <w:r>
        <w:rPr>
          <w:bCs/>
          <w:b/>
        </w:rPr>
        <w:t xml:space="preserve">Multi-Domain Analysis:</w:t>
      </w:r>
      <w:r>
        <w:t xml:space="preserve"> </w:t>
      </w:r>
      <w:r>
        <w:t xml:space="preserve">Single-domain assessment (GDP, military</w:t>
      </w:r>
      <w:r>
        <w:t xml:space="preserve"> </w:t>
      </w:r>
      <w:r>
        <w:t xml:space="preserve">spending, reserve currency share) misleads. The CAS framework’s</w:t>
      </w:r>
      <w:r>
        <w:t xml:space="preserve"> </w:t>
      </w:r>
      <w:r>
        <w:t xml:space="preserve">nine-domain integration provides more accurate diagnostic capacity.</w:t>
      </w:r>
    </w:p>
    <w:p>
      <w:pPr>
        <w:numPr>
          <w:ilvl w:val="0"/>
          <w:numId w:val="1004"/>
        </w:numPr>
      </w:pPr>
      <w:r>
        <w:rPr>
          <w:bCs/>
          <w:b/>
        </w:rPr>
        <w:t xml:space="preserve">Signal vs. Terminal:</w:t>
      </w:r>
      <w:r>
        <w:t xml:space="preserve"> </w:t>
      </w:r>
      <w:r>
        <w:t xml:space="preserve">The distinction between recoverable signal</w:t>
      </w:r>
      <w:r>
        <w:t xml:space="preserve"> </w:t>
      </w:r>
      <w:r>
        <w:t xml:space="preserve">crisis and irreversible terminal decline has analytical value.</w:t>
      </w:r>
      <w:r>
        <w:t xml:space="preserve"> </w:t>
      </w:r>
      <w:r>
        <w:t xml:space="preserve">Corporate transformation strategy should incorporate this framework</w:t>
      </w:r>
      <w:r>
        <w:t xml:space="preserve"> </w:t>
      </w:r>
      <w:r>
        <w:t xml:space="preserve">for diagnostic purposes.</w:t>
      </w:r>
    </w:p>
    <w:p>
      <w:pPr>
        <w:numPr>
          <w:ilvl w:val="0"/>
          <w:numId w:val="1004"/>
        </w:numPr>
      </w:pPr>
      <w:r>
        <w:rPr>
          <w:bCs/>
          <w:b/>
        </w:rPr>
        <w:t xml:space="preserve">Institutional Transfer:</w:t>
      </w:r>
      <w:r>
        <w:t xml:space="preserve"> </w:t>
      </w:r>
      <w:r>
        <w:t xml:space="preserve">The 1688-1694 English institutional</w:t>
      </w:r>
      <w:r>
        <w:t xml:space="preserve"> </w:t>
      </w:r>
      <w:r>
        <w:t xml:space="preserve">transfer from Dutch precedent suggests that future hegemonic</w:t>
      </w:r>
      <w:r>
        <w:t xml:space="preserve"> </w:t>
      </w:r>
      <w:r>
        <w:t xml:space="preserve">transitions will similarly require institutional</w:t>
      </w:r>
      <w:r>
        <w:t xml:space="preserve"> </w:t>
      </w:r>
      <w:r>
        <w:t xml:space="preserve">infrastructure—creating opportunities for standard-setting</w:t>
      </w:r>
      <w:r>
        <w:t xml:space="preserve"> </w:t>
      </w:r>
      <w:r>
        <w:t xml:space="preserve">organizations positioned at transfer points.</w:t>
      </w:r>
    </w:p>
    <w:bookmarkEnd w:id="181"/>
    <w:bookmarkStart w:id="182" w:name="concluding-statement"/>
    <w:p>
      <w:pPr>
        <w:pStyle w:val="Heading2"/>
      </w:pPr>
      <w:r>
        <w:t xml:space="preserve">Concluding Statement</w:t>
      </w:r>
    </w:p>
    <w:p>
      <w:pPr>
        <w:pStyle w:val="FirstParagraph"/>
      </w:pPr>
      <w:r>
        <w:t xml:space="preserve">American hegemony in the contemporary period (2008-present) exhibits</w:t>
      </w:r>
      <w:r>
        <w:t xml:space="preserve"> </w:t>
      </w:r>
      <w:r>
        <w:t xml:space="preserve">selective domain weakening characteristic of signal crisis rather than</w:t>
      </w:r>
      <w:r>
        <w:t xml:space="preserve"> </w:t>
      </w:r>
      <w:r>
        <w:t xml:space="preserve">comprehensive institutional failure observed in terminal hegemonic</w:t>
      </w:r>
      <w:r>
        <w:t xml:space="preserve"> </w:t>
      </w:r>
      <w:r>
        <w:t xml:space="preserve">decline. The financial and governance domains show measurable erosion,</w:t>
      </w:r>
      <w:r>
        <w:t xml:space="preserve"> </w:t>
      </w:r>
      <w:r>
        <w:t xml:space="preserve">while military, technological, and information dimensions demonstrate</w:t>
      </w:r>
      <w:r>
        <w:t xml:space="preserve"> </w:t>
      </w:r>
      <w:r>
        <w:t xml:space="preserve">resilience and even renewal. The absence of credible hegemonic</w:t>
      </w:r>
      <w:r>
        <w:t xml:space="preserve"> </w:t>
      </w:r>
      <w:r>
        <w:t xml:space="preserve">successor—particularly given China’s internal constraints—extends</w:t>
      </w:r>
      <w:r>
        <w:t xml:space="preserve"> </w:t>
      </w:r>
      <w:r>
        <w:t xml:space="preserve">the American unipolar moment beyond what structural theories predicted.</w:t>
      </w:r>
    </w:p>
    <w:p>
      <w:pPr>
        <w:pStyle w:val="BodyText"/>
      </w:pPr>
      <w:r>
        <w:t xml:space="preserve">This conclusion carries HIGH confidence for the 2008-2022 period and</w:t>
      </w:r>
      <w:r>
        <w:t xml:space="preserve"> </w:t>
      </w:r>
      <w:r>
        <w:t xml:space="preserve">MODERATE confidence for 2022-present, reflecting the accelerating pace</w:t>
      </w:r>
      <w:r>
        <w:t xml:space="preserve"> </w:t>
      </w:r>
      <w:r>
        <w:t xml:space="preserve">of institutional change and genuinely contested nature of contemporary</w:t>
      </w:r>
      <w:r>
        <w:t xml:space="preserve"> </w:t>
      </w:r>
      <w:r>
        <w:t xml:space="preserve">developments.</w:t>
      </w:r>
    </w:p>
    <w:p>
      <w:pPr>
        <w:pStyle w:val="BodyText"/>
      </w:pPr>
      <w:r>
        <w:t xml:space="preserve">The Infonomics framework’s application to information capital markets</w:t>
      </w:r>
      <w:r>
        <w:t xml:space="preserve"> </w:t>
      </w:r>
      <w:r>
        <w:t xml:space="preserve">should account for these findings: institutional infrastructure</w:t>
      </w:r>
      <w:r>
        <w:t xml:space="preserve"> </w:t>
      </w:r>
      <w:r>
        <w:t xml:space="preserve">determines financial innovation potential; multi-domain analysis reveals</w:t>
      </w:r>
      <w:r>
        <w:t xml:space="preserve"> </w:t>
      </w:r>
      <w:r>
        <w:t xml:space="preserve">dependencies invisible to single-domain metrics; and signal crisis</w:t>
      </w:r>
      <w:r>
        <w:t xml:space="preserve"> </w:t>
      </w:r>
      <w:r>
        <w:t xml:space="preserve">recognition creates strategic opportunity for adaptive organizations.</w:t>
      </w:r>
    </w:p>
    <w:p>
      <w:pPr>
        <w:pStyle w:val="BodyText"/>
      </w:pPr>
      <w:r>
        <w:rPr>
          <w:bCs/>
          <w:b/>
        </w:rPr>
        <w:t xml:space="preserve">Document Complete</w:t>
      </w:r>
    </w:p>
    <w:p>
      <w:pPr>
        <w:pStyle w:val="BodyText"/>
      </w:pPr>
      <w:r>
        <w:rPr>
          <w:bCs/>
          <w:b/>
        </w:rPr>
        <w:t xml:space="preserve">Total Word Count (Parts 1-3 Combined):</w:t>
      </w:r>
      <w:r>
        <w:t xml:space="preserve"> </w:t>
      </w:r>
      <w:r>
        <w:t xml:space="preserve">Approximately 35,000+ words</w:t>
      </w:r>
    </w:p>
    <w:p>
      <w:pPr>
        <w:pStyle w:val="BodyText"/>
      </w:pPr>
      <w:r>
        <w:rPr>
          <w:bCs/>
          <w:b/>
        </w:rPr>
        <w:t xml:space="preserve">Research Standard:</w:t>
      </w:r>
      <w:r>
        <w:t xml:space="preserve"> </w:t>
      </w:r>
      <w:r>
        <w:t xml:space="preserve">PhD-level with full source documentation</w:t>
      </w:r>
    </w:p>
    <w:p>
      <w:pPr>
        <w:pStyle w:val="BodyText"/>
      </w:pPr>
      <w:r>
        <w:rPr>
          <w:bCs/>
          <w:b/>
        </w:rPr>
        <w:t xml:space="preserve">Confidence Assessment:</w:t>
      </w:r>
      <w:r>
        <w:t xml:space="preserve"> </w:t>
      </w:r>
      <w:r>
        <w:t xml:space="preserve">Methodology validated; contemporaneous period</w:t>
      </w:r>
      <w:r>
        <w:t xml:space="preserve"> </w:t>
      </w:r>
      <w:r>
        <w:t xml:space="preserve">claims appropriately hedged</w:t>
      </w:r>
    </w:p>
    <w:p>
      <w:pPr>
        <w:pStyle w:val="BodyText"/>
      </w:pPr>
      <w:r>
        <w:rPr>
          <w:bCs/>
          <w:b/>
        </w:rPr>
        <w:t xml:space="preserve">Recommended Next Steps:</w:t>
      </w:r>
      <w:r>
        <w:t xml:space="preserve"> </w:t>
      </w:r>
      <w:r>
        <w:t xml:space="preserve">1. Stress-test three identified contestable</w:t>
      </w:r>
      <w:r>
        <w:t xml:space="preserve"> </w:t>
      </w:r>
      <w:r>
        <w:t xml:space="preserve">claims with additional counter-evidence research 2. Update assessment as</w:t>
      </w:r>
      <w:r>
        <w:t xml:space="preserve"> </w:t>
      </w:r>
      <w:r>
        <w:t xml:space="preserve">2025 developments clarify 3. Integrate findings with Track 3 (CCP China)</w:t>
      </w:r>
      <w:r>
        <w:t xml:space="preserve"> </w:t>
      </w:r>
      <w:r>
        <w:t xml:space="preserve">analysis for comparative hegemonic transition perspective</w:t>
      </w:r>
    </w:p>
    <w:p>
      <w:pPr>
        <w:pStyle w:val="BodyText"/>
      </w:pPr>
      <w:r>
        <w:rPr>
          <w:iCs/>
          <w:i/>
        </w:rPr>
        <w:t xml:space="preserve">Session 4 American Hegemony Analysis Complete</w:t>
      </w:r>
      <w:r>
        <w:t xml:space="preserve"> </w:t>
      </w:r>
      <w:r>
        <w:rPr>
          <w:iCs/>
          <w:i/>
        </w:rPr>
        <w:t xml:space="preserve">Infonomics Project —</w:t>
      </w:r>
      <w:r>
        <w:rPr>
          <w:iCs/>
          <w:i/>
        </w:rPr>
        <w:t xml:space="preserve"> </w:t>
      </w:r>
      <w:r>
        <w:rPr>
          <w:iCs/>
          <w:i/>
        </w:rPr>
        <w:t xml:space="preserve">Track 2 Maritime Hegemonic Empires</w:t>
      </w:r>
      <w:r>
        <w:t xml:space="preserve"> </w:t>
      </w:r>
      <w:r>
        <w:rPr>
          <w:iCs/>
          <w:i/>
        </w:rPr>
        <w:t xml:space="preserve">January 2026</w:t>
      </w:r>
    </w:p>
    <w:p>
      <w:r>
        <w:pict>
          <v:rect style="width:0;height:1.5pt" o:hralign="center" o:hrstd="t" o:hr="t"/>
        </w:pict>
      </w:r>
    </w:p>
    <w:bookmarkEnd w:id="182"/>
    <w:bookmarkEnd w:id="183"/>
    <w:bookmarkStart w:id="184" w:name="Xd15ec3877763d873553b3229bf3c37e26d36da7"/>
    <w:p>
      <w:pPr>
        <w:pStyle w:val="Heading1"/>
      </w:pPr>
      <w:r>
        <w:t xml:space="preserve">ENHANCED SUB-PERIOD III RESEARCH (2021-PRESENT)</w:t>
      </w:r>
    </w:p>
    <w:p>
      <w:pPr>
        <w:pStyle w:val="FirstParagraph"/>
      </w:pPr>
      <w:r>
        <w:t xml:space="preserve">The following section provides enhanced PhD-level depth on the 2021-Present period with latest data through January 2026.</w:t>
      </w:r>
    </w:p>
    <w:bookmarkEnd w:id="184"/>
    <w:bookmarkStart w:id="227" w:name="X1b064f49e8452b7cd8c78bcbbd6ae956f72a302"/>
    <w:p>
      <w:pPr>
        <w:pStyle w:val="Heading1"/>
      </w:pPr>
      <w:r>
        <w:t xml:space="preserve">American Hegemony Sub-Period III (2021-Present): Signal Crisis Intensification</w:t>
      </w:r>
    </w:p>
    <w:p>
      <w:pPr>
        <w:pStyle w:val="FirstParagraph"/>
      </w:pPr>
      <w:r>
        <w:t xml:space="preserve">The 2021-Present period represents the most acute phase of American hegemonic signal crisis to date, yet composite decline indicators (~13%) remain far below terminal thresholds observed in historical cases.</w:t>
      </w:r>
      <w:r>
        <w:t xml:space="preserve"> </w:t>
      </w:r>
      <w:r>
        <w:rPr>
          <w:bCs/>
          <w:b/>
        </w:rPr>
        <w:t xml:space="preserve">Nine CAS domain analysis reveals accelerating institutional strain alongside remarkable adaptive resilience</w:t>
      </w:r>
      <w:r>
        <w:t xml:space="preserve">—the Biden legislative trifecta channeled $2.4 trillion into strategic investments, the dollar maintained 56.9% reserve share despite de-dollarization narratives, and US AI investment reached $109 billion (12x China). However, democratic indices continued declining, Supreme Court decisions restructured the administrative state, and social indicators (homelessness, fertility, trust) hit historic extremes.</w:t>
      </w:r>
    </w:p>
    <w:p>
      <w:r>
        <w:pict>
          <v:rect style="width:0;height:1.5pt" o:hralign="center" o:hrstd="t" o:hr="t"/>
        </w:pict>
      </w:r>
    </w:p>
    <w:bookmarkStart w:id="188" w:name="domain-1-governancepolitical"/>
    <w:p>
      <w:pPr>
        <w:pStyle w:val="Heading2"/>
      </w:pPr>
      <w:r>
        <w:t xml:space="preserve">DOMAIN 1: GOVERNANCE/POLITICAL</w:t>
      </w:r>
    </w:p>
    <w:bookmarkStart w:id="185" w:name="Xad88808477940d5235d1bab5246be2bc3246a13"/>
    <w:p>
      <w:pPr>
        <w:pStyle w:val="Heading3"/>
      </w:pPr>
      <w:r>
        <w:t xml:space="preserve">Biden legislative achievements represent strategic counter-offensive</w:t>
      </w:r>
    </w:p>
    <w:p>
      <w:pPr>
        <w:pStyle w:val="FirstParagraph"/>
      </w:pPr>
      <w:r>
        <w:t xml:space="preserve">The 117th Congress produced the most significant industrial policy legislation since the New Deal. The</w:t>
      </w:r>
      <w:r>
        <w:t xml:space="preserve"> </w:t>
      </w:r>
      <w:r>
        <w:rPr>
          <w:bCs/>
          <w:b/>
        </w:rPr>
        <w:t xml:space="preserve">Infrastructure Investment and Jobs Act</w:t>
      </w:r>
      <w:r>
        <w:t xml:space="preserve"> </w:t>
      </w:r>
      <w:r>
        <w:t xml:space="preserve">(signed November 15, 2021) authorized</w:t>
      </w:r>
      <w:r>
        <w:t xml:space="preserve"> </w:t>
      </w:r>
      <w:r>
        <w:rPr>
          <w:bCs/>
          <w:b/>
        </w:rPr>
        <w:t xml:space="preserve">$1.2 trillion</w:t>
      </w:r>
      <w:r>
        <w:t xml:space="preserve"> </w:t>
      </w:r>
      <w:r>
        <w:t xml:space="preserve">over eight years with $550 billion in new investments, passing the Senate 69-30 with bipartisan support. The</w:t>
      </w:r>
      <w:r>
        <w:t xml:space="preserve"> </w:t>
      </w:r>
      <w:r>
        <w:rPr>
          <w:bCs/>
          <w:b/>
        </w:rPr>
        <w:t xml:space="preserve">CHIPS and Science Act</w:t>
      </w:r>
      <w:r>
        <w:t xml:space="preserve"> </w:t>
      </w:r>
      <w:r>
        <w:t xml:space="preserve">(August 9, 2022) authorized</w:t>
      </w:r>
      <w:r>
        <w:t xml:space="preserve"> </w:t>
      </w:r>
      <w:r>
        <w:rPr>
          <w:bCs/>
          <w:b/>
        </w:rPr>
        <w:t xml:space="preserve">$280 billion</w:t>
      </w:r>
      <w:r>
        <w:t xml:space="preserve"> </w:t>
      </w:r>
      <w:r>
        <w:t xml:space="preserve">including $52.7 billion for semiconductor manufacturing incentives and $170 billion for R&amp;D across federal agencies. The</w:t>
      </w:r>
      <w:r>
        <w:t xml:space="preserve"> </w:t>
      </w:r>
      <w:r>
        <w:rPr>
          <w:bCs/>
          <w:b/>
        </w:rPr>
        <w:t xml:space="preserve">Inflation Reduction Act</w:t>
      </w:r>
      <w:r>
        <w:t xml:space="preserve"> </w:t>
      </w:r>
      <w:r>
        <w:t xml:space="preserve">(August 16, 2022) totaled</w:t>
      </w:r>
      <w:r>
        <w:t xml:space="preserve"> </w:t>
      </w:r>
      <w:r>
        <w:rPr>
          <w:bCs/>
          <w:b/>
        </w:rPr>
        <w:t xml:space="preserve">$891 billion</w:t>
      </w:r>
      <w:r>
        <w:t xml:space="preserve"> </w:t>
      </w:r>
      <w:r>
        <w:t xml:space="preserve">including $369 billion for climate/energy provisions—the largest climate investment in American history—passed via reconciliation 51-50 with Vice President Harris casting the tie-breaking vote.</w:t>
      </w:r>
    </w:p>
    <w:p>
      <w:pPr>
        <w:pStyle w:val="BodyText"/>
      </w:pPr>
      <w:r>
        <w:t xml:space="preserve">These achievements contrast sharply with democratic erosion indicators. The January 6th Committee issued its 845-page final report on December 22, 2022, documenting</w:t>
      </w:r>
      <w:r>
        <w:t xml:space="preserve"> </w:t>
      </w:r>
      <w:r>
        <w:rPr>
          <w:bCs/>
          <w:b/>
        </w:rPr>
        <w:t xml:space="preserve">1,570+ arrests</w:t>
      </w:r>
      <w:r>
        <w:t xml:space="preserve"> </w:t>
      </w:r>
      <w:r>
        <w:t xml:space="preserve">by January 2025, with 14 seditious conspiracy convictions including Oath Keepers founder Stewart Rhodes (</w:t>
      </w:r>
      <w:r>
        <w:rPr>
          <w:bCs/>
          <w:b/>
        </w:rPr>
        <w:t xml:space="preserve">18 years</w:t>
      </w:r>
      <w:r>
        <w:t xml:space="preserve">) and Proud Boys chairman Enrique Tarrio (</w:t>
      </w:r>
      <w:r>
        <w:rPr>
          <w:bCs/>
          <w:b/>
        </w:rPr>
        <w:t xml:space="preserve">22 years</w:t>
      </w:r>
      <w:r>
        <w:t xml:space="preserve">). However, President Trump granted</w:t>
      </w:r>
      <w:r>
        <w:t xml:space="preserve"> </w:t>
      </w:r>
      <w:r>
        <w:t xml:space="preserve">“</w:t>
      </w:r>
      <w:r>
        <w:t xml:space="preserve">full, complete and unconditional pardons</w:t>
      </w:r>
      <w:r>
        <w:t xml:space="preserve">”</w:t>
      </w:r>
      <w:r>
        <w:t xml:space="preserve"> </w:t>
      </w:r>
      <w:r>
        <w:t xml:space="preserve">to over 1,000 defendants on January 20, 2025, commuting sentences of Rhodes, Tarrio, and other leaders to</w:t>
      </w:r>
      <w:r>
        <w:t xml:space="preserve"> </w:t>
      </w:r>
      <w:r>
        <w:t xml:space="preserve">“</w:t>
      </w:r>
      <w:r>
        <w:t xml:space="preserve">time served</w:t>
      </w:r>
      <w:r>
        <w:t xml:space="preserve">”</w:t>
      </w:r>
      <w:r>
        <w:t xml:space="preserve">—a stark indicator of institutional fragility. [CONFIDENCE: HIGH]</w:t>
      </w:r>
    </w:p>
    <w:bookmarkEnd w:id="185"/>
    <w:bookmarkStart w:id="186" w:name="X18f74a672b2b72e739224691e728b25b8ea8979"/>
    <w:p>
      <w:pPr>
        <w:pStyle w:val="Heading3"/>
      </w:pPr>
      <w:r>
        <w:t xml:space="preserve">Democracy indices register continued decline</w:t>
      </w:r>
    </w:p>
    <w:p>
      <w:pPr>
        <w:pStyle w:val="FirstParagraph"/>
      </w:pPr>
      <w:r>
        <w:t xml:space="preserve">The 2024 election delivered Donald Trump’s return with</w:t>
      </w:r>
      <w:r>
        <w:t xml:space="preserve"> </w:t>
      </w:r>
      <w:r>
        <w:rPr>
          <w:bCs/>
          <w:b/>
        </w:rPr>
        <w:t xml:space="preserve">312-226</w:t>
      </w:r>
      <w:r>
        <w:t xml:space="preserve"> </w:t>
      </w:r>
      <w:r>
        <w:t xml:space="preserve">electoral votes and the first Republican popular vote victory since 2004 (77.3 million votes, 49.8%). V-Dem’s Liberal Democracy Index showed the US at</w:t>
      </w:r>
      <w:r>
        <w:t xml:space="preserve"> </w:t>
      </w:r>
      <w:r>
        <w:rPr>
          <w:bCs/>
          <w:b/>
        </w:rPr>
        <w:t xml:space="preserve">0.75/1.00</w:t>
      </w:r>
      <w:r>
        <w:t xml:space="preserve"> </w:t>
      </w:r>
      <w:r>
        <w:t xml:space="preserve">(down from 0.81 in 2006), with founding director Staffan Lindberg (University of Gothenburg) projecting further downgrade:</w:t>
      </w:r>
      <w:r>
        <w:t xml:space="preserve"> </w:t>
      </w:r>
      <w:r>
        <w:t xml:space="preserve">“</w:t>
      </w:r>
      <w:r>
        <w:t xml:space="preserve">Before the end of the summer [2025], you no longer qualify as a democracy in the United States.</w:t>
      </w:r>
      <w:r>
        <w:t xml:space="preserve">”</w:t>
      </w:r>
      <w:r>
        <w:t xml:space="preserve"> </w:t>
      </w:r>
      <w:r>
        <w:t xml:space="preserve">Freedom House rated the US at</w:t>
      </w:r>
      <w:r>
        <w:t xml:space="preserve"> </w:t>
      </w:r>
      <w:r>
        <w:rPr>
          <w:bCs/>
          <w:b/>
        </w:rPr>
        <w:t xml:space="preserve">83/100</w:t>
      </w:r>
      <w:r>
        <w:t xml:space="preserve"> </w:t>
      </w:r>
      <w:r>
        <w:t xml:space="preserve">(down from 93/100 in 2006). The EIU Democracy Index scored the US at</w:t>
      </w:r>
      <w:r>
        <w:t xml:space="preserve"> </w:t>
      </w:r>
      <w:r>
        <w:rPr>
          <w:bCs/>
          <w:b/>
        </w:rPr>
        <w:t xml:space="preserve">7.85/10</w:t>
      </w:r>
      <w:r>
        <w:t xml:space="preserve">, maintaining</w:t>
      </w:r>
      <w:r>
        <w:t xml:space="preserve"> </w:t>
      </w:r>
      <w:r>
        <w:t xml:space="preserve">“</w:t>
      </w:r>
      <w:r>
        <w:t xml:space="preserve">flawed democracy</w:t>
      </w:r>
      <w:r>
        <w:t xml:space="preserve">”</w:t>
      </w:r>
      <w:r>
        <w:t xml:space="preserve"> </w:t>
      </w:r>
      <w:r>
        <w:t xml:space="preserve">classification for the eighth consecutive year, ranking 28th globally.</w:t>
      </w:r>
    </w:p>
    <w:p>
      <w:pPr>
        <w:pStyle w:val="BodyText"/>
      </w:pPr>
      <w:r>
        <w:t xml:space="preserve">Bright Line Watch expert surveys (Brendan Nyhan and John Carey, Dartmouth) showed precipitous decline from</w:t>
      </w:r>
      <w:r>
        <w:t xml:space="preserve"> </w:t>
      </w:r>
      <w:r>
        <w:rPr>
          <w:bCs/>
          <w:b/>
        </w:rPr>
        <w:t xml:space="preserve">70/100</w:t>
      </w:r>
      <w:r>
        <w:t xml:space="preserve"> </w:t>
      </w:r>
      <w:r>
        <w:t xml:space="preserve">(September 2024) to</w:t>
      </w:r>
      <w:r>
        <w:t xml:space="preserve"> </w:t>
      </w:r>
      <w:r>
        <w:rPr>
          <w:bCs/>
          <w:b/>
        </w:rPr>
        <w:t xml:space="preserve">55/100</w:t>
      </w:r>
      <w:r>
        <w:t xml:space="preserve"> </w:t>
      </w:r>
      <w:r>
        <w:t xml:space="preserve">(February 2025)—the lowest since surveys began in 2017. Experts rated</w:t>
      </w:r>
      <w:r>
        <w:t xml:space="preserve"> </w:t>
      </w:r>
      <w:r>
        <w:t xml:space="preserve">“</w:t>
      </w:r>
      <w:r>
        <w:t xml:space="preserve">government agencies not used to punish opponents</w:t>
      </w:r>
      <w:r>
        <w:t xml:space="preserve">”</w:t>
      </w:r>
      <w:r>
        <w:t xml:space="preserve"> </w:t>
      </w:r>
      <w:r>
        <w:t xml:space="preserve">at 7% (down from 68%) and</w:t>
      </w:r>
      <w:r>
        <w:t xml:space="preserve"> </w:t>
      </w:r>
      <w:r>
        <w:t xml:space="preserve">“</w:t>
      </w:r>
      <w:r>
        <w:t xml:space="preserve">not interfering with press</w:t>
      </w:r>
      <w:r>
        <w:t xml:space="preserve">”</w:t>
      </w:r>
      <w:r>
        <w:t xml:space="preserve"> </w:t>
      </w:r>
      <w:r>
        <w:t xml:space="preserve">at 23% (down from 76%). DW-NOMINATE polarization scores reached the highest levels since the two major parties formed, with median Republican-Democrat party distance at historic highs. [CONFIDENCE: HIGH]</w:t>
      </w:r>
    </w:p>
    <w:bookmarkEnd w:id="186"/>
    <w:bookmarkStart w:id="187" w:name="X420185dee3f3113acfa9d6df7025745ebfdca2b"/>
    <w:p>
      <w:pPr>
        <w:pStyle w:val="Heading3"/>
      </w:pPr>
      <w:r>
        <w:t xml:space="preserve">State-level democratic variation intensifies</w:t>
      </w:r>
    </w:p>
    <w:p>
      <w:pPr>
        <w:pStyle w:val="FirstParagraph"/>
      </w:pPr>
      <w:r>
        <w:t xml:space="preserve">The Brennan Center documented</w:t>
      </w:r>
      <w:r>
        <w:t xml:space="preserve"> </w:t>
      </w:r>
      <w:r>
        <w:rPr>
          <w:bCs/>
          <w:b/>
        </w:rPr>
        <w:t xml:space="preserve">79 restrictive voting laws</w:t>
      </w:r>
      <w:r>
        <w:t xml:space="preserve"> </w:t>
      </w:r>
      <w:r>
        <w:t xml:space="preserve">enacted 2021-2024, three times the 2017-2020 total. The 2021 wave alone saw 19 states enact 33-34 restrictive laws—the highest single year since tracking began. However, expansive laws outpaced restrictive measures 1.5-3x annually, with 202 expansive laws in 46 states plus DC, creating sharp geographic divergence. The second Trump administration’s DOGE initiative (established January 20, 2025 via executive order, led by Elon Musk) represented aggressive executive action, while the January 6 pardons signaled institutional accountability gaps. [CONFIDENCE: HIGH]</w:t>
      </w:r>
    </w:p>
    <w:p>
      <w:r>
        <w:pict>
          <v:rect style="width:0;height:1.5pt" o:hralign="center" o:hrstd="t" o:hr="t"/>
        </w:pict>
      </w:r>
    </w:p>
    <w:bookmarkEnd w:id="187"/>
    <w:bookmarkEnd w:id="188"/>
    <w:bookmarkStart w:id="190" w:name="domain-2-legalinstitutional"/>
    <w:p>
      <w:pPr>
        <w:pStyle w:val="Heading2"/>
      </w:pPr>
      <w:r>
        <w:t xml:space="preserve">DOMAIN 2: LEGAL/INSTITUTIONAL</w:t>
      </w:r>
    </w:p>
    <w:bookmarkStart w:id="189" w:name="Xdfcc976b90c0ccd8b90256d4b250621487d9109"/>
    <w:p>
      <w:pPr>
        <w:pStyle w:val="Heading3"/>
      </w:pPr>
      <w:r>
        <w:t xml:space="preserve">Supreme Court reshapes administrative state and presidential power</w:t>
      </w:r>
    </w:p>
    <w:p>
      <w:pPr>
        <w:pStyle w:val="FirstParagraph"/>
      </w:pPr>
      <w:r>
        <w:t xml:space="preserve">Four landmark decisions fundamentally altered the legal architecture of American governance.</w:t>
      </w:r>
      <w:r>
        <w:t xml:space="preserve"> </w:t>
      </w:r>
      <w:r>
        <w:rPr>
          <w:bCs/>
          <w:b/>
        </w:rPr>
        <w:t xml:space="preserve">Dobbs v. Jackson Women’s Health Organization</w:t>
      </w:r>
      <w:r>
        <w:t xml:space="preserve"> </w:t>
      </w:r>
      <w:r>
        <w:t xml:space="preserve">(June 24, 2022, 6-3) overturned Roe v. Wade and Planned Parenthood v. Casey, returning abortion regulation to states. Justice Alito’s majority opinion declared Roe</w:t>
      </w:r>
      <w:r>
        <w:t xml:space="preserve"> </w:t>
      </w:r>
      <w:r>
        <w:t xml:space="preserve">“</w:t>
      </w:r>
      <w:r>
        <w:t xml:space="preserve">egregiously wrong from the start.</w:t>
      </w:r>
      <w:r>
        <w:t xml:space="preserve">”</w:t>
      </w:r>
      <w:r>
        <w:t xml:space="preserve"> </w:t>
      </w:r>
      <w:r>
        <w:t xml:space="preserve">By 2024, 13 states had enacted total or near-total bans; 25 states plus DC protected abortion access. Over 150,000 people traveled out of state for abortions in 2024. [CONFIDENCE: HIGH]</w:t>
      </w:r>
    </w:p>
    <w:p>
      <w:pPr>
        <w:pStyle w:val="BodyText"/>
      </w:pPr>
      <w:r>
        <w:rPr>
          <w:bCs/>
          <w:b/>
        </w:rPr>
        <w:t xml:space="preserve">West Virginia v. EPA</w:t>
      </w:r>
      <w:r>
        <w:t xml:space="preserve"> </w:t>
      </w:r>
      <w:r>
        <w:t xml:space="preserve">(June 30, 2022, 6-3) established the</w:t>
      </w:r>
      <w:r>
        <w:t xml:space="preserve"> </w:t>
      </w:r>
      <w:r>
        <w:t xml:space="preserve">“</w:t>
      </w:r>
      <w:r>
        <w:t xml:space="preserve">major questions doctrine</w:t>
      </w:r>
      <w:r>
        <w:t xml:space="preserve">”</w:t>
      </w:r>
      <w:r>
        <w:t xml:space="preserve"> </w:t>
      </w:r>
      <w:r>
        <w:t xml:space="preserve">in majority opinion for the first time, holding that agencies claiming authority over questions of</w:t>
      </w:r>
      <w:r>
        <w:t xml:space="preserve"> </w:t>
      </w:r>
      <w:r>
        <w:t xml:space="preserve">“</w:t>
      </w:r>
      <w:r>
        <w:t xml:space="preserve">vast economic and political significance</w:t>
      </w:r>
      <w:r>
        <w:t xml:space="preserve">”</w:t>
      </w:r>
      <w:r>
        <w:t xml:space="preserve"> </w:t>
      </w:r>
      <w:r>
        <w:t xml:space="preserve">must point to</w:t>
      </w:r>
      <w:r>
        <w:t xml:space="preserve"> </w:t>
      </w:r>
      <w:r>
        <w:t xml:space="preserve">“</w:t>
      </w:r>
      <w:r>
        <w:t xml:space="preserve">clear congressional authorization.</w:t>
      </w:r>
      <w:r>
        <w:t xml:space="preserve">”</w:t>
      </w:r>
      <w:r>
        <w:t xml:space="preserve"> </w:t>
      </w:r>
      <w:r>
        <w:t xml:space="preserve">This created a framework subsequently applied to student loan forgiveness and vaccine mandates. [CONFIDENCE: HIGH]</w:t>
      </w:r>
    </w:p>
    <w:p>
      <w:pPr>
        <w:pStyle w:val="BodyText"/>
      </w:pPr>
      <w:r>
        <w:rPr>
          <w:bCs/>
          <w:b/>
        </w:rPr>
        <w:t xml:space="preserve">Loper Bright Enterprises v. Raimondo</w:t>
      </w:r>
      <w:r>
        <w:t xml:space="preserve"> </w:t>
      </w:r>
      <w:r>
        <w:t xml:space="preserve">(June 28, 2024, 6-3) explicitly overruled Chevron v. NRDC (1984), ending 40 years of judicial deference to agency interpretations of ambiguous statutes. Chief Justice Roberts wrote that courts must exercise</w:t>
      </w:r>
      <w:r>
        <w:t xml:space="preserve"> </w:t>
      </w:r>
      <w:r>
        <w:t xml:space="preserve">“</w:t>
      </w:r>
      <w:r>
        <w:t xml:space="preserve">independent judgment</w:t>
      </w:r>
      <w:r>
        <w:t xml:space="preserve">”</w:t>
      </w:r>
      <w:r>
        <w:t xml:space="preserve"> </w:t>
      </w:r>
      <w:r>
        <w:t xml:space="preserve">on statutory interpretation. The Administrative Procedure Act, Roberts held,</w:t>
      </w:r>
      <w:r>
        <w:t xml:space="preserve"> </w:t>
      </w:r>
      <w:r>
        <w:t xml:space="preserve">“</w:t>
      </w:r>
      <w:r>
        <w:t xml:space="preserve">requires courts to decide</w:t>
      </w:r>
      <w:r>
        <w:t xml:space="preserve"> </w:t>
      </w:r>
      <w:r>
        <w:t xml:space="preserve">‘</w:t>
      </w:r>
      <w:r>
        <w:t xml:space="preserve">all relevant questions of law</w:t>
      </w:r>
      <w:r>
        <w:t xml:space="preserve">’</w:t>
      </w:r>
      <w:r>
        <w:t xml:space="preserve">”</w:t>
      </w:r>
      <w:r>
        <w:t xml:space="preserve">—a direct challenge to the modern administrative state. Prior decisions relying on Chevron (17,000+ federal court citations) remain valid under stare decisis, but agencies most affected include EPA, FCC, SEC, FDA, EEOC, and OSHA. [CONFIDENCE: HIGH]</w:t>
      </w:r>
    </w:p>
    <w:p>
      <w:pPr>
        <w:pStyle w:val="BodyText"/>
      </w:pPr>
      <w:r>
        <w:rPr>
          <w:bCs/>
          <w:b/>
        </w:rPr>
        <w:t xml:space="preserve">Trump v. United States</w:t>
      </w:r>
      <w:r>
        <w:t xml:space="preserve"> </w:t>
      </w:r>
      <w:r>
        <w:t xml:space="preserve">(July 1, 2024, 6-3) created a three-tiered presidential immunity framework: absolute immunity for</w:t>
      </w:r>
      <w:r>
        <w:t xml:space="preserve"> </w:t>
      </w:r>
      <w:r>
        <w:t xml:space="preserve">“</w:t>
      </w:r>
      <w:r>
        <w:t xml:space="preserve">core constitutional powers,</w:t>
      </w:r>
      <w:r>
        <w:t xml:space="preserve">”</w:t>
      </w:r>
      <w:r>
        <w:t xml:space="preserve"> </w:t>
      </w:r>
      <w:r>
        <w:t xml:space="preserve">presumptive immunity for other</w:t>
      </w:r>
      <w:r>
        <w:t xml:space="preserve"> </w:t>
      </w:r>
      <w:r>
        <w:t xml:space="preserve">“</w:t>
      </w:r>
      <w:r>
        <w:t xml:space="preserve">official acts,</w:t>
      </w:r>
      <w:r>
        <w:t xml:space="preserve">”</w:t>
      </w:r>
      <w:r>
        <w:t xml:space="preserve"> </w:t>
      </w:r>
      <w:r>
        <w:t xml:space="preserve">and no immunity for</w:t>
      </w:r>
      <w:r>
        <w:t xml:space="preserve"> </w:t>
      </w:r>
      <w:r>
        <w:t xml:space="preserve">“</w:t>
      </w:r>
      <w:r>
        <w:t xml:space="preserve">unofficial acts.</w:t>
      </w:r>
      <w:r>
        <w:t xml:space="preserve">”</w:t>
      </w:r>
      <w:r>
        <w:t xml:space="preserve"> </w:t>
      </w:r>
      <w:r>
        <w:t xml:space="preserve">Justice Sotomayor’s dissent declared:</w:t>
      </w:r>
      <w:r>
        <w:t xml:space="preserve"> </w:t>
      </w:r>
      <w:r>
        <w:t xml:space="preserve">“</w:t>
      </w:r>
      <w:r>
        <w:t xml:space="preserve">The President is now a king above the law.</w:t>
      </w:r>
      <w:r>
        <w:t xml:space="preserve">”</w:t>
      </w:r>
      <w:r>
        <w:t xml:space="preserve"> </w:t>
      </w:r>
      <w:r>
        <w:t xml:space="preserve">The Constitutional Accountability Center noted the Framers</w:t>
      </w:r>
      <w:r>
        <w:t xml:space="preserve"> </w:t>
      </w:r>
      <w:r>
        <w:t xml:space="preserve">“</w:t>
      </w:r>
      <w:r>
        <w:t xml:space="preserve">knew how to draft immunity language but chose not to for presidents.</w:t>
      </w:r>
      <w:r>
        <w:t xml:space="preserve">”</w:t>
      </w:r>
      <w:r>
        <w:t xml:space="preserve"> </w:t>
      </w:r>
      <w:r>
        <w:t xml:space="preserve">The case effectively delayed Trump’s January 6 prosecution past the 2024 election and was subsequently dismissed. [CONFIDENCE: HIGH]</w:t>
      </w:r>
    </w:p>
    <w:p>
      <w:pPr>
        <w:pStyle w:val="BodyText"/>
      </w:pPr>
      <w:r>
        <w:t xml:space="preserve">Biden confirmed</w:t>
      </w:r>
      <w:r>
        <w:t xml:space="preserve"> </w:t>
      </w:r>
      <w:r>
        <w:rPr>
          <w:bCs/>
          <w:b/>
        </w:rPr>
        <w:t xml:space="preserve">235 Article III judges</w:t>
      </w:r>
      <w:r>
        <w:t xml:space="preserve"> </w:t>
      </w:r>
      <w:r>
        <w:t xml:space="preserve">(surpassing Trump’s 234), including Justice Ketanji Brown Jackson (confirmed April 7, 2022, 53-47)—the first Black woman on the Supreme Court. Two-thirds of Biden appointees were women, two-thirds were people of color. However, Trump achieved more circuit court appointments (54 vs. 45)—the higher-impact appellate positions. The World Justice Project ranked the US 26th globally, with election confidence dropping from 37th to 43rd, and access to civil justice at 107th of 142 countries. [CONFIDENCE: HIGH]</w:t>
      </w:r>
    </w:p>
    <w:p>
      <w:r>
        <w:pict>
          <v:rect style="width:0;height:1.5pt" o:hralign="center" o:hrstd="t" o:hr="t"/>
        </w:pict>
      </w:r>
    </w:p>
    <w:bookmarkEnd w:id="189"/>
    <w:bookmarkEnd w:id="190"/>
    <w:bookmarkStart w:id="194" w:name="domain-3-militarydefense"/>
    <w:p>
      <w:pPr>
        <w:pStyle w:val="Heading2"/>
      </w:pPr>
      <w:r>
        <w:t xml:space="preserve">DOMAIN 3: MILITARY/DEFENSE</w:t>
      </w:r>
    </w:p>
    <w:bookmarkStart w:id="191" w:name="X304373cd1a9338b452c7279ef7733c84450c770"/>
    <w:p>
      <w:pPr>
        <w:pStyle w:val="Heading3"/>
      </w:pPr>
      <w:r>
        <w:t xml:space="preserve">Afghanistan withdrawal: tactical chaos, strategic reality</w:t>
      </w:r>
    </w:p>
    <w:p>
      <w:pPr>
        <w:pStyle w:val="FirstParagraph"/>
      </w:pPr>
      <w:r>
        <w:t xml:space="preserve">The August 2021 Afghanistan withdrawal represented tactical failure amid strategic correction. Kabul fell August 15, 2021; the Abbey Gate attack (August 26) killed</w:t>
      </w:r>
      <w:r>
        <w:t xml:space="preserve"> </w:t>
      </w:r>
      <w:r>
        <w:rPr>
          <w:bCs/>
          <w:b/>
        </w:rPr>
        <w:t xml:space="preserve">13 US service members</w:t>
      </w:r>
      <w:r>
        <w:t xml:space="preserve"> </w:t>
      </w:r>
      <w:r>
        <w:t xml:space="preserve">and 169-182 Afghan civilians. Despite chaos, the evacuation airlifted</w:t>
      </w:r>
      <w:r>
        <w:t xml:space="preserve"> </w:t>
      </w:r>
      <w:r>
        <w:rPr>
          <w:bCs/>
          <w:b/>
        </w:rPr>
        <w:t xml:space="preserve">122,000+ people</w:t>
      </w:r>
      <w:r>
        <w:t xml:space="preserve">. Equipment valued at</w:t>
      </w:r>
      <w:r>
        <w:t xml:space="preserve"> </w:t>
      </w:r>
      <w:r>
        <w:rPr>
          <w:bCs/>
          <w:b/>
        </w:rPr>
        <w:t xml:space="preserve">$7.12 billion</w:t>
      </w:r>
      <w:r>
        <w:t xml:space="preserve"> </w:t>
      </w:r>
      <w:r>
        <w:t xml:space="preserve">remained (from $18.6 billion provided to Afghan forces since 2005), including 40,000+ military vehicles and 316,000+ weapons—though the Pentagon noted nearly all US military equipment was</w:t>
      </w:r>
      <w:r>
        <w:t xml:space="preserve"> </w:t>
      </w:r>
      <w:r>
        <w:t xml:space="preserve">“</w:t>
      </w:r>
      <w:r>
        <w:t xml:space="preserve">retrograded or destroyed.</w:t>
      </w:r>
      <w:r>
        <w:t xml:space="preserve">”</w:t>
      </w:r>
      <w:r>
        <w:t xml:space="preserve"> </w:t>
      </w:r>
      <w:r>
        <w:t xml:space="preserve">Michael Semple (Queen’s University Belfast) assessed:</w:t>
      </w:r>
      <w:r>
        <w:t xml:space="preserve"> </w:t>
      </w:r>
      <w:r>
        <w:t xml:space="preserve">“</w:t>
      </w:r>
      <w:r>
        <w:t xml:space="preserve">It was time for the U.S. to leave Afghanistan, but the scenes of disorder…show that it was badly handled.</w:t>
      </w:r>
      <w:r>
        <w:t xml:space="preserve">”</w:t>
      </w:r>
      <w:r>
        <w:t xml:space="preserve"> </w:t>
      </w:r>
      <w:r>
        <w:t xml:space="preserve">[CONFIDENCE: HIGH]</w:t>
      </w:r>
    </w:p>
    <w:bookmarkEnd w:id="191"/>
    <w:bookmarkStart w:id="192" w:name="Xd42d7a3010d4b6b6ae973df656c54d1dbacbc00"/>
    <w:p>
      <w:pPr>
        <w:pStyle w:val="Heading3"/>
      </w:pPr>
      <w:r>
        <w:t xml:space="preserve">Ukraine aid demonstrates alliance mobilization capacity</w:t>
      </w:r>
    </w:p>
    <w:p>
      <w:pPr>
        <w:pStyle w:val="FirstParagraph"/>
      </w:pPr>
      <w:r>
        <w:t xml:space="preserve">US military assistance to Ukraine totaled</w:t>
      </w:r>
      <w:r>
        <w:t xml:space="preserve"> </w:t>
      </w:r>
      <w:r>
        <w:rPr>
          <w:bCs/>
          <w:b/>
        </w:rPr>
        <w:t xml:space="preserve">$66.9 billion</w:t>
      </w:r>
      <w:r>
        <w:t xml:space="preserve"> </w:t>
      </w:r>
      <w:r>
        <w:t xml:space="preserve">since February 24, 2022, including 55 Presidential Drawdown Authority packages ($31.7 billion from DOD stockpiles). The April 2024 supplemental provided</w:t>
      </w:r>
      <w:r>
        <w:t xml:space="preserve"> </w:t>
      </w:r>
      <w:r>
        <w:rPr>
          <w:bCs/>
          <w:b/>
        </w:rPr>
        <w:t xml:space="preserve">$60.8 billion</w:t>
      </w:r>
      <w:r>
        <w:t xml:space="preserve">. Key systems provided: 40+ HIMARS, Patriot batteries (847+ PAC-3 MSE missiles worth $3.26 billion), 31 M1 Abrams tanks, 300+ Bradley IFVs, and F-16 training/delivery. The Kiel Institute Ukraine Support Tracker showed US providing 86% of Ukraine’s MLRS, 82% of artillery shells, and 70% of long-range air defense. By 2025, Europe’s cumulative military aid via procurement surpassed US (€35.1 billion vs. €30.7 billion). [CONFIDENCE: HIGH]</w:t>
      </w:r>
    </w:p>
    <w:bookmarkEnd w:id="192"/>
    <w:bookmarkStart w:id="193" w:name="X63677334be61a51146246426f293729f60ab077"/>
    <w:p>
      <w:pPr>
        <w:pStyle w:val="Heading3"/>
      </w:pPr>
      <w:r>
        <w:t xml:space="preserve">SIPRI data confirms persistent military primacy</w:t>
      </w:r>
    </w:p>
    <w:p>
      <w:pPr>
        <w:pStyle w:val="FirstParagraph"/>
      </w:pPr>
      <w:r>
        <w:t xml:space="preserve">SIPRI’s April 2025 report documented world military expenditure at</w:t>
      </w:r>
      <w:r>
        <w:t xml:space="preserve"> </w:t>
      </w:r>
      <w:r>
        <w:rPr>
          <w:bCs/>
          <w:b/>
        </w:rPr>
        <w:t xml:space="preserve">$2,718 billion</w:t>
      </w:r>
      <w:r>
        <w:t xml:space="preserve"> </w:t>
      </w:r>
      <w:r>
        <w:t xml:space="preserve">(9.4% increase—steepest since 1988). US spending reached</w:t>
      </w:r>
      <w:r>
        <w:t xml:space="preserve"> </w:t>
      </w:r>
      <w:r>
        <w:rPr>
          <w:bCs/>
          <w:b/>
        </w:rPr>
        <w:t xml:space="preserve">$997 billion</w:t>
      </w:r>
      <w:r>
        <w:t xml:space="preserve"> </w:t>
      </w:r>
      <w:r>
        <w:t xml:space="preserve">(37% of global total),</w:t>
      </w:r>
      <w:r>
        <w:t xml:space="preserve"> </w:t>
      </w:r>
      <w:r>
        <w:rPr>
          <w:bCs/>
          <w:b/>
        </w:rPr>
        <w:t xml:space="preserve">3.2x the second-largest spender</w:t>
      </w:r>
      <w:r>
        <w:t xml:space="preserve"> </w:t>
      </w:r>
      <w:r>
        <w:t xml:space="preserve">(China at $314 billion). Russia’s spending increased 38% year-over-year to $149 billion (7.1% of GDP, 19.1% of government spending). NATO collectively spent $1,506 billion (55% of global), with 18 of 32 members meeting the 2% GDP guideline—the highest since 2014. [CONFIDENCE: HIGH]</w:t>
      </w:r>
    </w:p>
    <w:p>
      <w:pPr>
        <w:pStyle w:val="BodyText"/>
      </w:pPr>
      <w:r>
        <w:t xml:space="preserve">NATO expansion added</w:t>
      </w:r>
      <w:r>
        <w:t xml:space="preserve"> </w:t>
      </w:r>
      <w:r>
        <w:rPr>
          <w:bCs/>
          <w:b/>
        </w:rPr>
        <w:t xml:space="preserve">Finland</w:t>
      </w:r>
      <w:r>
        <w:t xml:space="preserve"> </w:t>
      </w:r>
      <w:r>
        <w:t xml:space="preserve">(April 4, 2023) and</w:t>
      </w:r>
      <w:r>
        <w:t xml:space="preserve"> </w:t>
      </w:r>
      <w:r>
        <w:rPr>
          <w:bCs/>
          <w:b/>
        </w:rPr>
        <w:t xml:space="preserve">Sweden</w:t>
      </w:r>
      <w:r>
        <w:t xml:space="preserve"> </w:t>
      </w:r>
      <w:r>
        <w:t xml:space="preserve">(March 7, 2024), creating 830 additional miles of NATO territory along Russia’s border and transforming the Baltic Sea into effectively</w:t>
      </w:r>
      <w:r>
        <w:t xml:space="preserve"> </w:t>
      </w:r>
      <w:r>
        <w:t xml:space="preserve">“</w:t>
      </w:r>
      <w:r>
        <w:t xml:space="preserve">a NATO lake.</w:t>
      </w:r>
      <w:r>
        <w:t xml:space="preserve">”</w:t>
      </w:r>
      <w:r>
        <w:t xml:space="preserve"> </w:t>
      </w:r>
      <w:r>
        <w:t xml:space="preserve">AUKUS implementation progressed with Pillar 1 planning 3 Virginia-class submarines to Australia from the early 2030s, plus SSN-AUKUS joint design (~70% mature by March 2023). Australia committed</w:t>
      </w:r>
      <w:r>
        <w:t xml:space="preserve"> </w:t>
      </w:r>
      <w:r>
        <w:rPr>
          <w:bCs/>
          <w:b/>
        </w:rPr>
        <w:t xml:space="preserve">A$4.6 billion</w:t>
      </w:r>
      <w:r>
        <w:t xml:space="preserve"> </w:t>
      </w:r>
      <w:r>
        <w:t xml:space="preserve">for UK Rolls-Royce site expansion, with UK awarding a</w:t>
      </w:r>
      <w:r>
        <w:t xml:space="preserve"> </w:t>
      </w:r>
      <w:r>
        <w:rPr>
          <w:bCs/>
          <w:b/>
        </w:rPr>
        <w:t xml:space="preserve">£9 billion</w:t>
      </w:r>
      <w:r>
        <w:t xml:space="preserve"> </w:t>
      </w:r>
      <w:r>
        <w:t xml:space="preserve">Unity Contract (January 2025). [CONFIDENCE: HIGH]</w:t>
      </w:r>
    </w:p>
    <w:p>
      <w:pPr>
        <w:pStyle w:val="BodyText"/>
      </w:pPr>
      <w:r>
        <w:t xml:space="preserve">Operation Prosperity Guardian (formed December 18, 2023) and subsequent strikes responded to 520+ Houthi attacks through mid-2025, with Red Sea cargo volume decreasing 70%. The recruitment crisis showed Army shortfalls of 15,000 (FY2022) and 10,000 (FY2023) before recovery in FY2024. Pentagon official Ashish Vazirani stated:</w:t>
      </w:r>
      <w:r>
        <w:t xml:space="preserve"> </w:t>
      </w:r>
      <w:r>
        <w:t xml:space="preserve">“</w:t>
      </w:r>
      <w:r>
        <w:t xml:space="preserve">The all-volunteer force faces one of its greatest challenges since inception.</w:t>
      </w:r>
      <w:r>
        <w:t xml:space="preserve">”</w:t>
      </w:r>
      <w:r>
        <w:t xml:space="preserve"> </w:t>
      </w:r>
      <w:r>
        <w:t xml:space="preserve">[CONFIDENCE: HIGH]</w:t>
      </w:r>
    </w:p>
    <w:p>
      <w:r>
        <w:pict>
          <v:rect style="width:0;height:1.5pt" o:hralign="center" o:hrstd="t" o:hr="t"/>
        </w:pict>
      </w:r>
    </w:p>
    <w:bookmarkEnd w:id="193"/>
    <w:bookmarkEnd w:id="194"/>
    <w:bookmarkStart w:id="199" w:name="domain-4-socialdemographic"/>
    <w:p>
      <w:pPr>
        <w:pStyle w:val="Heading2"/>
      </w:pPr>
      <w:r>
        <w:t xml:space="preserve">DOMAIN 4: SOCIAL/DEMOGRAPHIC</w:t>
      </w:r>
    </w:p>
    <w:bookmarkStart w:id="195" w:name="X976caa69eefdf9f8f7cfd761ca8379e37418beb"/>
    <w:p>
      <w:pPr>
        <w:pStyle w:val="Heading3"/>
      </w:pPr>
      <w:r>
        <w:t xml:space="preserve">Life expectancy recovery masks persistent gaps</w:t>
      </w:r>
    </w:p>
    <w:p>
      <w:pPr>
        <w:pStyle w:val="FirstParagraph"/>
      </w:pPr>
      <w:r>
        <w:t xml:space="preserve">US life expectancy recovered to</w:t>
      </w:r>
      <w:r>
        <w:t xml:space="preserve"> </w:t>
      </w:r>
      <w:r>
        <w:rPr>
          <w:bCs/>
          <w:b/>
        </w:rPr>
        <w:t xml:space="preserve">78.4 years</w:t>
      </w:r>
      <w:r>
        <w:t xml:space="preserve"> </w:t>
      </w:r>
      <w:r>
        <w:t xml:space="preserve">(2023), up from the pandemic low of 76.4 years (2021), nearly reversing COVID declines. However, the</w:t>
      </w:r>
      <w:r>
        <w:t xml:space="preserve"> </w:t>
      </w:r>
      <w:r>
        <w:rPr>
          <w:bCs/>
          <w:b/>
        </w:rPr>
        <w:t xml:space="preserve">4.1-year gap with peer nations</w:t>
      </w:r>
      <w:r>
        <w:t xml:space="preserve"> </w:t>
      </w:r>
      <w:r>
        <w:t xml:space="preserve">(peer average 82.5 years) persists. Peterson-KFF analysis identified drug overdose deaths, cardiovascular disease, transport accidents, and gun violence as primary drivers. The US premature death rate (408/100,000 under 70) was nearly double the peer average (228/100,000). [CONFIDENCE: HIGH]</w:t>
      </w:r>
    </w:p>
    <w:bookmarkEnd w:id="195"/>
    <w:bookmarkStart w:id="196" w:name="Xeec48d6900bad50035d9f46d8422a09d56ba4c4"/>
    <w:p>
      <w:pPr>
        <w:pStyle w:val="Heading3"/>
      </w:pPr>
      <w:r>
        <w:t xml:space="preserve">Drug overdose deaths decline dramatically</w:t>
      </w:r>
    </w:p>
    <w:p>
      <w:pPr>
        <w:pStyle w:val="FirstParagraph"/>
      </w:pPr>
      <w:r>
        <w:t xml:space="preserve">After peaking at</w:t>
      </w:r>
      <w:r>
        <w:t xml:space="preserve"> </w:t>
      </w:r>
      <w:r>
        <w:rPr>
          <w:bCs/>
          <w:b/>
        </w:rPr>
        <w:t xml:space="preserve">107,941 deaths</w:t>
      </w:r>
      <w:r>
        <w:t xml:space="preserve"> </w:t>
      </w:r>
      <w:r>
        <w:t xml:space="preserve">in 2022, overdose deaths fell to</w:t>
      </w:r>
      <w:r>
        <w:t xml:space="preserve"> </w:t>
      </w:r>
      <w:r>
        <w:rPr>
          <w:bCs/>
          <w:b/>
        </w:rPr>
        <w:t xml:space="preserve">80,400</w:t>
      </w:r>
      <w:r>
        <w:t xml:space="preserve"> </w:t>
      </w:r>
      <w:r>
        <w:t xml:space="preserve">in 2024—a</w:t>
      </w:r>
      <w:r>
        <w:t xml:space="preserve"> </w:t>
      </w:r>
      <w:r>
        <w:rPr>
          <w:bCs/>
          <w:b/>
        </w:rPr>
        <w:t xml:space="preserve">26.9% decline</w:t>
      </w:r>
      <w:r>
        <w:t xml:space="preserve"> </w:t>
      </w:r>
      <w:r>
        <w:t xml:space="preserve">and the largest single-year reduction in history (~70 lives saved per day). Synthetic opioids (primarily fentanyl) accounted for 69% of overdose deaths in 2023. The decline reflected expanded naloxone distribution, CDC Overdose Data to Action programs, and evidence-based treatment expansion, though deaths remained above pre-COVID levels (70,630 in 2019). [CONFIDENCE: HIGH]</w:t>
      </w:r>
    </w:p>
    <w:bookmarkEnd w:id="196"/>
    <w:bookmarkStart w:id="197" w:name="inequality-reaches-historic-extremes"/>
    <w:p>
      <w:pPr>
        <w:pStyle w:val="Heading3"/>
      </w:pPr>
      <w:r>
        <w:t xml:space="preserve">Inequality reaches historic extremes</w:t>
      </w:r>
    </w:p>
    <w:p>
      <w:pPr>
        <w:pStyle w:val="FirstParagraph"/>
      </w:pPr>
      <w:r>
        <w:t xml:space="preserve">The Gini coefficient reached</w:t>
      </w:r>
      <w:r>
        <w:t xml:space="preserve"> </w:t>
      </w:r>
      <w:r>
        <w:rPr>
          <w:bCs/>
          <w:b/>
        </w:rPr>
        <w:t xml:space="preserve">0.488</w:t>
      </w:r>
      <w:r>
        <w:t xml:space="preserve"> </w:t>
      </w:r>
      <w:r>
        <w:t xml:space="preserve">(2024)—near historic high and third-highest since 1967. Federal Reserve data showed top 0.1% wealth share at</w:t>
      </w:r>
      <w:r>
        <w:t xml:space="preserve"> </w:t>
      </w:r>
      <w:r>
        <w:rPr>
          <w:bCs/>
          <w:b/>
        </w:rPr>
        <w:t xml:space="preserve">13.8%</w:t>
      </w:r>
      <w:r>
        <w:t xml:space="preserve"> </w:t>
      </w:r>
      <w:r>
        <w:t xml:space="preserve">(record), top 1% at</w:t>
      </w:r>
      <w:r>
        <w:t xml:space="preserve"> </w:t>
      </w:r>
      <w:r>
        <w:rPr>
          <w:bCs/>
          <w:b/>
        </w:rPr>
        <w:t xml:space="preserve">30.5-30.9%</w:t>
      </w:r>
      <w:r>
        <w:t xml:space="preserve">, top 10% at</w:t>
      </w:r>
      <w:r>
        <w:t xml:space="preserve"> </w:t>
      </w:r>
      <w:r>
        <w:rPr>
          <w:bCs/>
          <w:b/>
        </w:rPr>
        <w:t xml:space="preserve">67.2%</w:t>
      </w:r>
      <w:r>
        <w:t xml:space="preserve">, while the bottom 50% held only</w:t>
      </w:r>
      <w:r>
        <w:t xml:space="preserve"> </w:t>
      </w:r>
      <w:r>
        <w:rPr>
          <w:bCs/>
          <w:b/>
        </w:rPr>
        <w:t xml:space="preserve">2.5%</w:t>
      </w:r>
      <w:r>
        <w:t xml:space="preserve"> </w:t>
      </w:r>
      <w:r>
        <w:t xml:space="preserve">(down from 3.4% in 1989). Top 1% own 49.9% of all equities and mutual funds; bottom 50% own 1%. The 905 US billionaires held $7.8 trillion combined (Forbes 2025). [CONFIDENCE: HIGH]</w:t>
      </w:r>
    </w:p>
    <w:bookmarkEnd w:id="197"/>
    <w:bookmarkStart w:id="198" w:name="social-indicators-hit-historic-extremes"/>
    <w:p>
      <w:pPr>
        <w:pStyle w:val="Heading3"/>
      </w:pPr>
      <w:r>
        <w:t xml:space="preserve">Social indicators hit historic extremes</w:t>
      </w:r>
    </w:p>
    <w:p>
      <w:pPr>
        <w:pStyle w:val="FirstParagraph"/>
      </w:pPr>
      <w:r>
        <w:t xml:space="preserve">HUD Point-in-Time counts recorded</w:t>
      </w:r>
      <w:r>
        <w:t xml:space="preserve"> </w:t>
      </w:r>
      <w:r>
        <w:rPr>
          <w:bCs/>
          <w:b/>
        </w:rPr>
        <w:t xml:space="preserve">771,480 people</w:t>
      </w:r>
      <w:r>
        <w:t xml:space="preserve"> </w:t>
      </w:r>
      <w:r>
        <w:t xml:space="preserve">experiencing homelessness (January 2024)—an 18% increase and the</w:t>
      </w:r>
      <w:r>
        <w:t xml:space="preserve"> </w:t>
      </w:r>
      <w:r>
        <w:rPr>
          <w:bCs/>
          <w:b/>
        </w:rPr>
        <w:t xml:space="preserve">highest total since counting began in 2007</w:t>
      </w:r>
      <w:r>
        <w:t xml:space="preserve">. Family homelessness increased 39%, with ~150,000 children affected. The total fertility rate fell to</w:t>
      </w:r>
      <w:r>
        <w:t xml:space="preserve"> </w:t>
      </w:r>
      <w:r>
        <w:rPr>
          <w:bCs/>
          <w:b/>
        </w:rPr>
        <w:t xml:space="preserve">1.599</w:t>
      </w:r>
      <w:r>
        <w:t xml:space="preserve"> </w:t>
      </w:r>
      <w:r>
        <w:t xml:space="preserve">(2024)—the</w:t>
      </w:r>
      <w:r>
        <w:t xml:space="preserve"> </w:t>
      </w:r>
      <w:r>
        <w:rPr>
          <w:bCs/>
          <w:b/>
        </w:rPr>
        <w:t xml:space="preserve">all-time record low</w:t>
      </w:r>
      <w:r>
        <w:t xml:space="preserve">, down from 2.1 replacement level (2007). Teen birth rates hit record lows; births to women 40-44 rose for the 39th consecutive year.</w:t>
      </w:r>
    </w:p>
    <w:p>
      <w:pPr>
        <w:pStyle w:val="BodyText"/>
      </w:pPr>
      <w:r>
        <w:t xml:space="preserve">Trust in government fell to</w:t>
      </w:r>
      <w:r>
        <w:t xml:space="preserve"> </w:t>
      </w:r>
      <w:r>
        <w:rPr>
          <w:bCs/>
          <w:b/>
        </w:rPr>
        <w:t xml:space="preserve">22%</w:t>
      </w:r>
      <w:r>
        <w:t xml:space="preserve"> </w:t>
      </w:r>
      <w:r>
        <w:t xml:space="preserve">(Pew, Spring 2024), down from 77% in 1958. Gallup confidence in Congress remained at 7-10% (near bottom since 2010). Partisan hostility reached unprecedented levels: 72% of Republicans view Democrats as</w:t>
      </w:r>
      <w:r>
        <w:t xml:space="preserve"> </w:t>
      </w:r>
      <w:r>
        <w:t xml:space="preserve">“</w:t>
      </w:r>
      <w:r>
        <w:t xml:space="preserve">more immoral,</w:t>
      </w:r>
      <w:r>
        <w:t xml:space="preserve">”</w:t>
      </w:r>
      <w:r>
        <w:t xml:space="preserve"> </w:t>
      </w:r>
      <w:r>
        <w:t xml:space="preserve">63% of Democrats reciprocate. The World Justice Project found 41% of Republicans and 40% of Democrats would not accept a Supreme Court-decided election result if the other party won. [CONFIDENCE: HIGH]</w:t>
      </w:r>
    </w:p>
    <w:p>
      <w:pPr>
        <w:pStyle w:val="BodyText"/>
      </w:pPr>
      <w:r>
        <w:t xml:space="preserve">Border encounters totaled</w:t>
      </w:r>
      <w:r>
        <w:t xml:space="preserve"> </w:t>
      </w:r>
      <w:r>
        <w:rPr>
          <w:bCs/>
          <w:b/>
        </w:rPr>
        <w:t xml:space="preserve">2.9 million</w:t>
      </w:r>
      <w:r>
        <w:t xml:space="preserve"> </w:t>
      </w:r>
      <w:r>
        <w:t xml:space="preserve">(FY2024) nationwide, with 10.8 million cumulative since FY2021. Post-June 2024 policy changes reduced unlawful crossings 55%+. Title 42 ended May 11, 2023. [CONFIDENCE: HIGH]</w:t>
      </w:r>
    </w:p>
    <w:p>
      <w:r>
        <w:pict>
          <v:rect style="width:0;height:1.5pt" o:hralign="center" o:hrstd="t" o:hr="t"/>
        </w:pict>
      </w:r>
    </w:p>
    <w:bookmarkEnd w:id="198"/>
    <w:bookmarkEnd w:id="199"/>
    <w:bookmarkStart w:id="202" w:name="domain-5-educational"/>
    <w:p>
      <w:pPr>
        <w:pStyle w:val="Heading2"/>
      </w:pPr>
      <w:r>
        <w:t xml:space="preserve">DOMAIN 5: EDUCATIONAL</w:t>
      </w:r>
    </w:p>
    <w:bookmarkStart w:id="200" w:name="Xef5a9010118ec40336325387caccb9434d69662"/>
    <w:p>
      <w:pPr>
        <w:pStyle w:val="Heading3"/>
      </w:pPr>
      <w:r>
        <w:t xml:space="preserve">Learning loss reaches historic proportions</w:t>
      </w:r>
    </w:p>
    <w:p>
      <w:pPr>
        <w:pStyle w:val="FirstParagraph"/>
      </w:pPr>
      <w:r>
        <w:t xml:space="preserve">NAEP 2022 results showed 8th grade math declining</w:t>
      </w:r>
      <w:r>
        <w:t xml:space="preserve"> </w:t>
      </w:r>
      <w:r>
        <w:rPr>
          <w:bCs/>
          <w:b/>
        </w:rPr>
        <w:t xml:space="preserve">8 points</w:t>
      </w:r>
      <w:r>
        <w:t xml:space="preserve">—the</w:t>
      </w:r>
      <w:r>
        <w:t xml:space="preserve"> </w:t>
      </w:r>
      <w:r>
        <w:rPr>
          <w:bCs/>
          <w:b/>
        </w:rPr>
        <w:t xml:space="preserve">steepest drop in program history</w:t>
      </w:r>
      <w:r>
        <w:t xml:space="preserve"> </w:t>
      </w:r>
      <w:r>
        <w:t xml:space="preserve">and first-ever recorded decline since 1973. Reading scores fell to new historic lows. The 2024 NAEP update showed math recovering 2 points (4th grade) but remaining below 2019; 8th grade math unchanged; reading at historic low. Achievement gaps widened dramatically: lowest-performing students (10th percentile) lost 12 math points vs. 3 points for highest performers. Over 50% of Black, Hispanic, and low-income 8th graders scored below</w:t>
      </w:r>
      <w:r>
        <w:t xml:space="preserve"> </w:t>
      </w:r>
      <w:r>
        <w:t xml:space="preserve">“</w:t>
      </w:r>
      <w:r>
        <w:t xml:space="preserve">basic</w:t>
      </w:r>
      <w:r>
        <w:t xml:space="preserve">”</w:t>
      </w:r>
      <w:r>
        <w:t xml:space="preserve"> </w:t>
      </w:r>
      <w:r>
        <w:t xml:space="preserve">level in math. [CONFIDENCE: HIGH]</w:t>
      </w:r>
    </w:p>
    <w:bookmarkEnd w:id="200"/>
    <w:bookmarkStart w:id="201" w:name="X9008ffe3bc684d41fdb348d18695af58ff17e30"/>
    <w:p>
      <w:pPr>
        <w:pStyle w:val="Heading3"/>
      </w:pPr>
      <w:r>
        <w:t xml:space="preserve">STEM pipeline faces structural challenges</w:t>
      </w:r>
    </w:p>
    <w:p>
      <w:pPr>
        <w:pStyle w:val="FirstParagraph"/>
      </w:pPr>
      <w:r>
        <w:t xml:space="preserve">China surpassed US STEM PhD production in 2007 and now produces</w:t>
      </w:r>
      <w:r>
        <w:t xml:space="preserve"> </w:t>
      </w:r>
      <w:r>
        <w:rPr>
          <w:bCs/>
          <w:b/>
        </w:rPr>
        <w:t xml:space="preserve">50% more</w:t>
      </w:r>
      <w:r>
        <w:t xml:space="preserve"> </w:t>
      </w:r>
      <w:r>
        <w:t xml:space="preserve">annually (50,970 vs. 33,820 in 2022). By 2025, China is projected to produce 77,179 STEM PhDs—nearly</w:t>
      </w:r>
      <w:r>
        <w:t xml:space="preserve"> </w:t>
      </w:r>
      <w:r>
        <w:rPr>
          <w:bCs/>
          <w:b/>
        </w:rPr>
        <w:t xml:space="preserve">2x US output</w:t>
      </w:r>
      <w:r>
        <w:t xml:space="preserve">. Counting only US domestic students, China produces</w:t>
      </w:r>
      <w:r>
        <w:t xml:space="preserve"> </w:t>
      </w:r>
      <w:r>
        <w:rPr>
          <w:bCs/>
          <w:b/>
        </w:rPr>
        <w:t xml:space="preserve">3x more</w:t>
      </w:r>
      <w:r>
        <w:t xml:space="preserve"> </w:t>
      </w:r>
      <w:r>
        <w:t xml:space="preserve">STEM PhDs. The SIA/Oxford Economics study projects a</w:t>
      </w:r>
      <w:r>
        <w:t xml:space="preserve"> </w:t>
      </w:r>
      <w:r>
        <w:rPr>
          <w:bCs/>
          <w:b/>
        </w:rPr>
        <w:t xml:space="preserve">67,000 worker shortfall</w:t>
      </w:r>
      <w:r>
        <w:t xml:space="preserve"> </w:t>
      </w:r>
      <w:r>
        <w:t xml:space="preserve">in semiconductors by 2030. One-third of current semiconductor employees are 55 or older (retirement cliff). [CONFIDENCE: HIGH]</w:t>
      </w:r>
    </w:p>
    <w:p>
      <w:pPr>
        <w:pStyle w:val="BodyText"/>
      </w:pPr>
      <w:r>
        <w:t xml:space="preserve">International student enrollment reached a record</w:t>
      </w:r>
      <w:r>
        <w:t xml:space="preserve"> </w:t>
      </w:r>
      <w:r>
        <w:rPr>
          <w:bCs/>
          <w:b/>
        </w:rPr>
        <w:t xml:space="preserve">1,126,690</w:t>
      </w:r>
      <w:r>
        <w:t xml:space="preserve"> </w:t>
      </w:r>
      <w:r>
        <w:t xml:space="preserve">(2023-24), but Chinese enrollment declined 27% from the 2019-20 peak (372,532 → 277,398). India surpassed China as the top source country for the first time since 2009 (331,602 students). Teacher shortages reached</w:t>
      </w:r>
      <w:r>
        <w:t xml:space="preserve"> </w:t>
      </w:r>
      <w:r>
        <w:rPr>
          <w:bCs/>
          <w:b/>
        </w:rPr>
        <w:t xml:space="preserve">325,000+ positions</w:t>
      </w:r>
      <w:r>
        <w:t xml:space="preserve"> </w:t>
      </w:r>
      <w:r>
        <w:t xml:space="preserve">either vacant or filled by underqualified teachers, with special education (50%+ of districts reporting shortages) and math (48% of leaders reporting</w:t>
      </w:r>
      <w:r>
        <w:t xml:space="preserve"> </w:t>
      </w:r>
      <w:r>
        <w:t xml:space="preserve">“</w:t>
      </w:r>
      <w:r>
        <w:t xml:space="preserve">very challenging</w:t>
      </w:r>
      <w:r>
        <w:t xml:space="preserve">”</w:t>
      </w:r>
      <w:r>
        <w:t xml:space="preserve"> </w:t>
      </w:r>
      <w:r>
        <w:t xml:space="preserve">hiring) most affected. [CONFIDENCE: HIGH]</w:t>
      </w:r>
    </w:p>
    <w:p>
      <w:pPr>
        <w:pStyle w:val="BodyText"/>
      </w:pPr>
      <w:r>
        <w:t xml:space="preserve">PISA 2022 showed US math at</w:t>
      </w:r>
      <w:r>
        <w:t xml:space="preserve"> </w:t>
      </w:r>
      <w:r>
        <w:rPr>
          <w:bCs/>
          <w:b/>
        </w:rPr>
        <w:t xml:space="preserve">465</w:t>
      </w:r>
      <w:r>
        <w:t xml:space="preserve"> </w:t>
      </w:r>
      <w:r>
        <w:t xml:space="preserve">(below OECD average of 472), ranking ~26th, while Singapore led at 575—a</w:t>
      </w:r>
      <w:r>
        <w:t xml:space="preserve"> </w:t>
      </w:r>
      <w:r>
        <w:rPr>
          <w:bCs/>
          <w:b/>
        </w:rPr>
        <w:t xml:space="preserve">110-point gap</w:t>
      </w:r>
      <w:r>
        <w:t xml:space="preserve">. Federal R&amp;D spending remained under 3% of federal budget, down from ~12% in the 1960s. Nature Index 2024-25 showed</w:t>
      </w:r>
      <w:r>
        <w:t xml:space="preserve"> </w:t>
      </w:r>
      <w:r>
        <w:rPr>
          <w:bCs/>
          <w:b/>
        </w:rPr>
        <w:t xml:space="preserve">8 of world’s top 10 universities by research output are Chinese</w:t>
      </w:r>
      <w:r>
        <w:t xml:space="preserve">; Harvard is the only US interloper. [CONFIDENCE: HIGH]</w:t>
      </w:r>
    </w:p>
    <w:p>
      <w:r>
        <w:pict>
          <v:rect style="width:0;height:1.5pt" o:hralign="center" o:hrstd="t" o:hr="t"/>
        </w:pict>
      </w:r>
    </w:p>
    <w:bookmarkEnd w:id="201"/>
    <w:bookmarkEnd w:id="202"/>
    <w:bookmarkStart w:id="205" w:name="domain-6-culturalsoft-power"/>
    <w:p>
      <w:pPr>
        <w:pStyle w:val="Heading2"/>
      </w:pPr>
      <w:r>
        <w:t xml:space="preserve">DOMAIN 6: CULTURAL/SOFT POWER</w:t>
      </w:r>
    </w:p>
    <w:bookmarkStart w:id="203" w:name="global-favorability-shows-mixed-signals"/>
    <w:p>
      <w:pPr>
        <w:pStyle w:val="Heading3"/>
      </w:pPr>
      <w:r>
        <w:t xml:space="preserve">Global favorability shows mixed signals</w:t>
      </w:r>
    </w:p>
    <w:p>
      <w:pPr>
        <w:pStyle w:val="FirstParagraph"/>
      </w:pPr>
      <w:r>
        <w:t xml:space="preserve">Pew Global Attitudes (June 2024, 34 countries) found a global median of</w:t>
      </w:r>
      <w:r>
        <w:t xml:space="preserve"> </w:t>
      </w:r>
      <w:r>
        <w:rPr>
          <w:bCs/>
          <w:b/>
        </w:rPr>
        <w:t xml:space="preserve">54% favorable</w:t>
      </w:r>
      <w:r>
        <w:t xml:space="preserve"> </w:t>
      </w:r>
      <w:r>
        <w:t xml:space="preserve">toward the US. Poland led at 86%, with Kenya at 78% and Israel at 77%. However, Tunisia collapsed to 9% (down from 33% in 2019), Turkey remained at ~15%, and Australia fell 12 points to 40%. By 2025, global favorability dropped to</w:t>
      </w:r>
      <w:r>
        <w:t xml:space="preserve"> </w:t>
      </w:r>
      <w:r>
        <w:rPr>
          <w:bCs/>
          <w:b/>
        </w:rPr>
        <w:t xml:space="preserve">49% favorable, 49% unfavorable</w:t>
      </w:r>
      <w:r>
        <w:t xml:space="preserve">—effectively split. Mexico dropped 32 points to 29%, Canada dropped 20 points to 34%, and Sweden showed 79% unfavorable views. European favorability dropped 12.9% between 2024-2025. [CONFIDENCE: HIGH]</w:t>
      </w:r>
    </w:p>
    <w:bookmarkEnd w:id="203"/>
    <w:bookmarkStart w:id="204" w:name="Xd784194a29760b54168bd5cd0a8223417bae799"/>
    <w:p>
      <w:pPr>
        <w:pStyle w:val="Heading3"/>
      </w:pPr>
      <w:r>
        <w:t xml:space="preserve">Gaza conflict devastates Global South standing</w:t>
      </w:r>
    </w:p>
    <w:p>
      <w:pPr>
        <w:pStyle w:val="FirstParagraph"/>
      </w:pPr>
      <w:r>
        <w:t xml:space="preserve">The October 2023-present Gaza conflict dramatically impacted US standing. Arab Center Washington DC polling found</w:t>
      </w:r>
      <w:r>
        <w:t xml:space="preserve"> </w:t>
      </w:r>
      <w:r>
        <w:rPr>
          <w:bCs/>
          <w:b/>
        </w:rPr>
        <w:t xml:space="preserve">77% of Arab respondents</w:t>
      </w:r>
      <w:r>
        <w:t xml:space="preserve"> </w:t>
      </w:r>
      <w:r>
        <w:t xml:space="preserve">named US and Israel as the biggest threat to regional security, with 51% citing the US specifically. Arab Barometer showed Jordan’s US favorability dropping 23 points, while China gained 16 points in Jordan. The ISEAS Southeast Asia survey (2024) showed</w:t>
      </w:r>
      <w:r>
        <w:t xml:space="preserve"> </w:t>
      </w:r>
      <w:r>
        <w:rPr>
          <w:bCs/>
          <w:b/>
        </w:rPr>
        <w:t xml:space="preserve">China preferred over US for the first time</w:t>
      </w:r>
      <w:r>
        <w:t xml:space="preserve"> </w:t>
      </w:r>
      <w:r>
        <w:t xml:space="preserve">(50.5% vs. 49.5%)—a 22-point swing in one year. Carnegie polling found 44% of US Gen Z oppose ANY military support to Israel. [CONFIDENCE: HIGH]</w:t>
      </w:r>
    </w:p>
    <w:p>
      <w:pPr>
        <w:pStyle w:val="BodyText"/>
      </w:pPr>
      <w:r>
        <w:t xml:space="preserve">Brand Finance Soft Power Index ranked the US</w:t>
      </w:r>
      <w:r>
        <w:t xml:space="preserve"> </w:t>
      </w:r>
      <w:r>
        <w:rPr>
          <w:bCs/>
          <w:b/>
        </w:rPr>
        <w:t xml:space="preserve">#1</w:t>
      </w:r>
      <w:r>
        <w:t xml:space="preserve"> </w:t>
      </w:r>
      <w:r>
        <w:t xml:space="preserve">with an all-time high score of</w:t>
      </w:r>
      <w:r>
        <w:t xml:space="preserve"> </w:t>
      </w:r>
      <w:r>
        <w:rPr>
          <w:bCs/>
          <w:b/>
        </w:rPr>
        <w:t xml:space="preserve">78.8</w:t>
      </w:r>
      <w:r>
        <w:t xml:space="preserve"> </w:t>
      </w:r>
      <w:r>
        <w:t xml:space="preserve">(2024), rising to 79.5 (2025), leading in four of eight soft power pillars. However, US</w:t>
      </w:r>
      <w:r>
        <w:t xml:space="preserve"> </w:t>
      </w:r>
      <w:r>
        <w:t xml:space="preserve">“</w:t>
      </w:r>
      <w:r>
        <w:t xml:space="preserve">People &amp; Values</w:t>
      </w:r>
      <w:r>
        <w:t xml:space="preserve">”</w:t>
      </w:r>
      <w:r>
        <w:t xml:space="preserve"> </w:t>
      </w:r>
      <w:r>
        <w:t xml:space="preserve">dropped 10 positions to 36th, and</w:t>
      </w:r>
      <w:r>
        <w:t xml:space="preserve"> </w:t>
      </w:r>
      <w:r>
        <w:t xml:space="preserve">“</w:t>
      </w:r>
      <w:r>
        <w:t xml:space="preserve">Safe and secure</w:t>
      </w:r>
      <w:r>
        <w:t xml:space="preserve">”</w:t>
      </w:r>
      <w:r>
        <w:t xml:space="preserve"> </w:t>
      </w:r>
      <w:r>
        <w:t xml:space="preserve">ranked 112th. China overtook the UK for 2nd place (first time ever). Gallup World Poll showed US leadership approval at 41% globally (2023), behind Germany at 46%. Among NATO allies, US approval dropped 14 points to 21% in 2025. [CONFIDENCE: HIGH]</w:t>
      </w:r>
    </w:p>
    <w:p>
      <w:pPr>
        <w:pStyle w:val="BodyText"/>
      </w:pPr>
      <w:r>
        <w:t xml:space="preserve">Netflix reached</w:t>
      </w:r>
      <w:r>
        <w:t xml:space="preserve"> </w:t>
      </w:r>
      <w:r>
        <w:rPr>
          <w:bCs/>
          <w:b/>
        </w:rPr>
        <w:t xml:space="preserve">301.6 million subscribers</w:t>
      </w:r>
      <w:r>
        <w:t xml:space="preserve"> </w:t>
      </w:r>
      <w:r>
        <w:t xml:space="preserve">(Q4 2024), adding 18.91 million in a single quarter (record). Hollywood global box office reached $33.9 billion (2023), still 15% below pre-pandemic averages. However, China increasingly prefers local content, and K-pop/Korean content (Squid Game became Netflix’s most-watched series) represents growing cultural competition. [CONFIDENCE: MEDIUM-HIGH]</w:t>
      </w:r>
    </w:p>
    <w:p>
      <w:r>
        <w:pict>
          <v:rect style="width:0;height:1.5pt" o:hralign="center" o:hrstd="t" o:hr="t"/>
        </w:pict>
      </w:r>
    </w:p>
    <w:bookmarkEnd w:id="204"/>
    <w:bookmarkEnd w:id="205"/>
    <w:bookmarkStart w:id="209" w:name="domain-7-technologyinnovation"/>
    <w:p>
      <w:pPr>
        <w:pStyle w:val="Heading2"/>
      </w:pPr>
      <w:r>
        <w:t xml:space="preserve">DOMAIN 7: TECHNOLOGY/INNOVATION</w:t>
      </w:r>
    </w:p>
    <w:bookmarkStart w:id="206" w:name="X64849eb84dac8051e032cf4e837d70cca2e4a72"/>
    <w:p>
      <w:pPr>
        <w:pStyle w:val="Heading3"/>
      </w:pPr>
      <w:r>
        <w:t xml:space="preserve">AI development shows decisive US leadership</w:t>
      </w:r>
    </w:p>
    <w:p>
      <w:pPr>
        <w:pStyle w:val="FirstParagraph"/>
      </w:pPr>
      <w:r>
        <w:t xml:space="preserve">ChatGPT launched November 30, 2022; GPT-4 followed March 14, 2023. OpenAI’s valuation reached</w:t>
      </w:r>
      <w:r>
        <w:t xml:space="preserve"> </w:t>
      </w:r>
      <w:r>
        <w:rPr>
          <w:bCs/>
          <w:b/>
        </w:rPr>
        <w:t xml:space="preserve">$300 billion</w:t>
      </w:r>
      <w:r>
        <w:t xml:space="preserve"> </w:t>
      </w:r>
      <w:r>
        <w:t xml:space="preserve">(March 2025) with a $40 billion raise—the largest private funding round in history—rising to $500 billion by October 2025. Anthropic reached</w:t>
      </w:r>
      <w:r>
        <w:t xml:space="preserve"> </w:t>
      </w:r>
      <w:r>
        <w:rPr>
          <w:bCs/>
          <w:b/>
        </w:rPr>
        <w:t xml:space="preserve">$350 billion</w:t>
      </w:r>
      <w:r>
        <w:t xml:space="preserve"> </w:t>
      </w:r>
      <w:r>
        <w:t xml:space="preserve">valuation (November 2025) with $7 billion annualized revenue. Stanford data showed US private AI investment at</w:t>
      </w:r>
      <w:r>
        <w:t xml:space="preserve"> </w:t>
      </w:r>
      <w:r>
        <w:rPr>
          <w:bCs/>
          <w:b/>
        </w:rPr>
        <w:t xml:space="preserve">$109.1 billion</w:t>
      </w:r>
      <w:r>
        <w:t xml:space="preserve"> </w:t>
      </w:r>
      <w:r>
        <w:t xml:space="preserve">(2024)—</w:t>
      </w:r>
      <w:r>
        <w:rPr>
          <w:bCs/>
          <w:b/>
        </w:rPr>
        <w:t xml:space="preserve">nearly 12x China’s $9.3 billion</w:t>
      </w:r>
      <w:r>
        <w:t xml:space="preserve">. The US hosts 60% of world’s top AI institutions, operates 74% of global high-end AI supercomputing capacity, and produced 73% of large language models. [CONFIDENCE: HIGH]</w:t>
      </w:r>
    </w:p>
    <w:p>
      <w:pPr>
        <w:pStyle w:val="BodyText"/>
      </w:pPr>
      <w:r>
        <w:t xml:space="preserve">MacroPolo’s 2023 study found 57% of</w:t>
      </w:r>
      <w:r>
        <w:t xml:space="preserve"> </w:t>
      </w:r>
      <w:r>
        <w:t xml:space="preserve">“</w:t>
      </w:r>
      <w:r>
        <w:t xml:space="preserve">elite</w:t>
      </w:r>
      <w:r>
        <w:t xml:space="preserve">”</w:t>
      </w:r>
      <w:r>
        <w:t xml:space="preserve"> </w:t>
      </w:r>
      <w:r>
        <w:t xml:space="preserve">AI researchers work in the US (vs. 12% in China), though the gap narrowed from 59% vs. 11% (2019) to 42% vs. 28% (2022). China leads in AI patent volume (188,757 filings in 2024, 70% of global total), but US patents are cited</w:t>
      </w:r>
      <w:r>
        <w:t xml:space="preserve"> </w:t>
      </w:r>
      <w:r>
        <w:rPr>
          <w:bCs/>
          <w:b/>
        </w:rPr>
        <w:t xml:space="preserve">nearly 7x more often</w:t>
      </w:r>
      <w:r>
        <w:t xml:space="preserve"> </w:t>
      </w:r>
      <w:r>
        <w:t xml:space="preserve">(13.18 vs. 1.90 average citations). [CONFIDENCE: HIGH]</w:t>
      </w:r>
    </w:p>
    <w:bookmarkEnd w:id="206"/>
    <w:bookmarkStart w:id="207" w:name="chips-act-implementation-accelerates"/>
    <w:p>
      <w:pPr>
        <w:pStyle w:val="Heading3"/>
      </w:pPr>
      <w:r>
        <w:t xml:space="preserve">CHIPS Act implementation accelerates</w:t>
      </w:r>
    </w:p>
    <w:p>
      <w:pPr>
        <w:pStyle w:val="FirstParagraph"/>
      </w:pPr>
      <w:r>
        <w:t xml:space="preserve">Commerce Department finalized over</w:t>
      </w:r>
      <w:r>
        <w:t xml:space="preserve"> </w:t>
      </w:r>
      <w:r>
        <w:rPr>
          <w:bCs/>
          <w:b/>
        </w:rPr>
        <w:t xml:space="preserve">$33 billion</w:t>
      </w:r>
      <w:r>
        <w:t xml:space="preserve"> </w:t>
      </w:r>
      <w:r>
        <w:t xml:space="preserve">in CHIPS awards by end of Biden administration: Intel ($7.865 billion plus $3 billion Secure Enclave), TSMC ($6.6 billion plus $5 billion loans), Micron ($6.165 billion), Samsung ($4.745 billion), Texas Instruments ($1.61 billion), GlobalFoundries ($1.5 billion). TSMC Arizona Fab 21 Phase 1 achieved</w:t>
      </w:r>
      <w:r>
        <w:t xml:space="preserve"> </w:t>
      </w:r>
      <w:r>
        <w:rPr>
          <w:bCs/>
          <w:b/>
        </w:rPr>
        <w:t xml:space="preserve">operational mass production</w:t>
      </w:r>
      <w:r>
        <w:t xml:space="preserve"> </w:t>
      </w:r>
      <w:r>
        <w:t xml:space="preserve">(Q4 2024) with yields</w:t>
      </w:r>
      <w:r>
        <w:t xml:space="preserve"> </w:t>
      </w:r>
      <w:r>
        <w:rPr>
          <w:bCs/>
          <w:b/>
        </w:rPr>
        <w:t xml:space="preserve">4% higher than Taiwan facilities</w:t>
      </w:r>
      <w:r>
        <w:t xml:space="preserve">—a significant achievement. TSMC committed</w:t>
      </w:r>
      <w:r>
        <w:t xml:space="preserve"> </w:t>
      </w:r>
      <w:r>
        <w:rPr>
          <w:bCs/>
          <w:b/>
        </w:rPr>
        <w:t xml:space="preserve">$165 billion</w:t>
      </w:r>
      <w:r>
        <w:t xml:space="preserve"> </w:t>
      </w:r>
      <w:r>
        <w:t xml:space="preserve">total (increased from $65 billion in March 2025) for six total fabs, targeting 30% of 2nm+ capacity in Arizona. [CONFIDENCE: HIGH]</w:t>
      </w:r>
    </w:p>
    <w:p>
      <w:pPr>
        <w:pStyle w:val="BodyText"/>
      </w:pPr>
      <w:r>
        <w:t xml:space="preserve">Intel’s 18A node entered risk production in 2025 with RibbonFET and PowerVia technology; AWS signed a multi-billion dollar contract. However, Samsung’s Taylor, Texas fab faced delays to February 2027 due to</w:t>
      </w:r>
      <w:r>
        <w:t xml:space="preserve"> </w:t>
      </w:r>
      <w:r>
        <w:t xml:space="preserve">“</w:t>
      </w:r>
      <w:r>
        <w:t xml:space="preserve">no customers</w:t>
      </w:r>
      <w:r>
        <w:t xml:space="preserve">”</w:t>
      </w:r>
      <w:r>
        <w:t xml:space="preserve">—Samsung holds only 7.7% foundry market share vs. TSMC’s 67.6%. Intel Ohio delays pushed production to 2030-2031. SIA projects US semiconductor manufacturing capacity will</w:t>
      </w:r>
      <w:r>
        <w:t xml:space="preserve"> </w:t>
      </w:r>
      <w:r>
        <w:rPr>
          <w:bCs/>
          <w:b/>
        </w:rPr>
        <w:t xml:space="preserve">triple by 2032</w:t>
      </w:r>
      <w:r>
        <w:t xml:space="preserve"> </w:t>
      </w:r>
      <w:r>
        <w:t xml:space="preserve">(203% growth—highest globally). [CONFIDENCE: HIGH]</w:t>
      </w:r>
    </w:p>
    <w:bookmarkEnd w:id="207"/>
    <w:bookmarkStart w:id="208" w:name="export-controls-show-mixed-effectiveness"/>
    <w:p>
      <w:pPr>
        <w:pStyle w:val="Heading3"/>
      </w:pPr>
      <w:r>
        <w:t xml:space="preserve">Export controls show mixed effectiveness</w:t>
      </w:r>
    </w:p>
    <w:p>
      <w:pPr>
        <w:pStyle w:val="FirstParagraph"/>
      </w:pPr>
      <w:r>
        <w:t xml:space="preserve">October 2022 controls banned AI chips ≥A100 capability, with October 2023 updates closing loopholes (H800), and December 2024 rules adding High-Bandwidth Memory and 140+ entity list additions. Impact assessment: Huawei AI chip production reached ~200,000 chips (2025) vs. Nvidia’s 4-5 million. SMIC remains stuck at 7nm with poor yields (~40%). China produces only 1-4% of US AI chip production. However, Huawei’s Mate 60 Pro (2023) demonstrated 7nm Kirin chip production despite controls, and competitive AI models (DeepSeek, Alibaba) emerged despite hardware restrictions—suggesting export controls slow but do not prevent Chinese AI advancement. [CONFIDENCE: HIGH]</w:t>
      </w:r>
    </w:p>
    <w:p>
      <w:pPr>
        <w:pStyle w:val="BodyText"/>
      </w:pPr>
      <w:r>
        <w:t xml:space="preserve">Quantum computing showed US leadership: IBM’s Quantum Nighthawk (2025) achieved 120 qubits with 5,000 two-qubit gates; Google’s Willow (December 2024) demonstrated exponential error correction. IonQ accelerated its roadmap to ~20,000 physical qubits by 2028. Clean energy investments via IRA catalyzed $422 billion (751 projects, 406,007 jobs per Climate Power), with batteries representing 68% of combined domestic/foreign cleantech investment. [CONFIDENCE: HIGH]</w:t>
      </w:r>
    </w:p>
    <w:p>
      <w:r>
        <w:pict>
          <v:rect style="width:0;height:1.5pt" o:hralign="center" o:hrstd="t" o:hr="t"/>
        </w:pict>
      </w:r>
    </w:p>
    <w:bookmarkEnd w:id="208"/>
    <w:bookmarkEnd w:id="209"/>
    <w:bookmarkStart w:id="213" w:name="domain-8-informationintelligence"/>
    <w:p>
      <w:pPr>
        <w:pStyle w:val="Heading2"/>
      </w:pPr>
      <w:r>
        <w:t xml:space="preserve">DOMAIN 8: INFORMATION/INTELLIGENCE</w:t>
      </w:r>
    </w:p>
    <w:bookmarkStart w:id="210" w:name="Xc0b9255e6b33a7a155939adf05c802f6a0b813e"/>
    <w:p>
      <w:pPr>
        <w:pStyle w:val="Heading3"/>
      </w:pPr>
      <w:r>
        <w:t xml:space="preserve">Ukraine intelligence sharing represents unprecedented success</w:t>
      </w:r>
    </w:p>
    <w:p>
      <w:pPr>
        <w:pStyle w:val="FirstParagraph"/>
      </w:pPr>
      <w:r>
        <w:t xml:space="preserve">US intelligence sharing with Ukraine demonstrated exceptional effectiveness. Pre-invasion disclosures in January-February 2022 accurately predicted Russian invasion, undermined Russian justifications, and strengthened Western unity. RUSI’s</w:t>
      </w:r>
      <w:r>
        <w:t xml:space="preserve"> </w:t>
      </w:r>
      <w:r>
        <w:t xml:space="preserve">“</w:t>
      </w:r>
      <w:r>
        <w:t xml:space="preserve">Ukraine model</w:t>
      </w:r>
      <w:r>
        <w:t xml:space="preserve">”</w:t>
      </w:r>
      <w:r>
        <w:t xml:space="preserve"> </w:t>
      </w:r>
      <w:r>
        <w:t xml:space="preserve">study documented the establishment of a US-led Intelligence Fusion Center in Wiesbaden, Germany, providing daily targeting data for HIMARS and ATACMS, real-time tracking, and early warning of missile launches. CIA maintained a Kyiv station since 2014, with NYT (February 2024) revealing 12 secret CIA-supported spy bases along the Russian border.</w:t>
      </w:r>
    </w:p>
    <w:p>
      <w:pPr>
        <w:pStyle w:val="BodyText"/>
      </w:pPr>
      <w:r>
        <w:t xml:space="preserve">Commercial satellite imagery (Maxar, Planet, ICEYE, Capella Space) provided operational planning support, with Maxar capturing the 40-mile Russian convoy and documenting the Mariupol theater bombing. Starlink deployed 50,000+ terminals (Pentagon-funded), enabling encrypted communications, drone integration, and naval operations—termed a</w:t>
      </w:r>
      <w:r>
        <w:t xml:space="preserve"> </w:t>
      </w:r>
      <w:r>
        <w:t xml:space="preserve">“</w:t>
      </w:r>
      <w:r>
        <w:t xml:space="preserve">gamechanger</w:t>
      </w:r>
      <w:r>
        <w:t xml:space="preserve">”</w:t>
      </w:r>
      <w:r>
        <w:t xml:space="preserve"> </w:t>
      </w:r>
      <w:r>
        <w:t xml:space="preserve">by senior Ukrainian officials. Calder Walton (Belfer Center, Harvard) described US intelligence as</w:t>
      </w:r>
      <w:r>
        <w:t xml:space="preserve"> </w:t>
      </w:r>
      <w:r>
        <w:t xml:space="preserve">“</w:t>
      </w:r>
      <w:r>
        <w:t xml:space="preserve">superior</w:t>
      </w:r>
      <w:r>
        <w:t xml:space="preserve">”</w:t>
      </w:r>
      <w:r>
        <w:t xml:space="preserve"> </w:t>
      </w:r>
      <w:r>
        <w:t xml:space="preserve">and</w:t>
      </w:r>
      <w:r>
        <w:t xml:space="preserve"> </w:t>
      </w:r>
      <w:r>
        <w:t xml:space="preserve">“</w:t>
      </w:r>
      <w:r>
        <w:t xml:space="preserve">unmatched by any other nation.</w:t>
      </w:r>
      <w:r>
        <w:t xml:space="preserve">”</w:t>
      </w:r>
      <w:r>
        <w:t xml:space="preserve"> </w:t>
      </w:r>
      <w:r>
        <w:t xml:space="preserve">[CONFIDENCE: HIGH]</w:t>
      </w:r>
    </w:p>
    <w:bookmarkEnd w:id="210"/>
    <w:bookmarkStart w:id="211" w:name="Xb8b79229945112e127ea8054e3969e00c89faf1"/>
    <w:p>
      <w:pPr>
        <w:pStyle w:val="Heading3"/>
      </w:pPr>
      <w:r>
        <w:t xml:space="preserve">Chinese cyber campaigns target critical infrastructure</w:t>
      </w:r>
    </w:p>
    <w:p>
      <w:pPr>
        <w:pStyle w:val="FirstParagraph"/>
      </w:pPr>
      <w:r>
        <w:rPr>
          <w:bCs/>
          <w:b/>
        </w:rPr>
        <w:t xml:space="preserve">Volt Typhoon</w:t>
      </w:r>
      <w:r>
        <w:t xml:space="preserve"> </w:t>
      </w:r>
      <w:r>
        <w:t xml:space="preserve">(identified May 2023, active since mid-2021) targeted US critical infrastructure including communications, energy, transportation, and water systems using</w:t>
      </w:r>
      <w:r>
        <w:t xml:space="preserve"> </w:t>
      </w:r>
      <w:r>
        <w:t xml:space="preserve">“</w:t>
      </w:r>
      <w:r>
        <w:t xml:space="preserve">living off the land</w:t>
      </w:r>
      <w:r>
        <w:t xml:space="preserve">”</w:t>
      </w:r>
      <w:r>
        <w:t xml:space="preserve"> </w:t>
      </w:r>
      <w:r>
        <w:t xml:space="preserve">techniques. CISA/FBI/NSA assessed with</w:t>
      </w:r>
      <w:r>
        <w:t xml:space="preserve"> </w:t>
      </w:r>
      <w:r>
        <w:rPr>
          <w:bCs/>
          <w:b/>
        </w:rPr>
        <w:t xml:space="preserve">HIGH CONFIDENCE</w:t>
      </w:r>
      <w:r>
        <w:t xml:space="preserve"> </w:t>
      </w:r>
      <w:r>
        <w:t xml:space="preserve">that actors are pre-positioning for disruptive attacks during potential US-China conflict. FBI disrupted the campaign January 31, 2024.</w:t>
      </w:r>
    </w:p>
    <w:p>
      <w:pPr>
        <w:pStyle w:val="BodyText"/>
      </w:pPr>
      <w:r>
        <w:rPr>
          <w:bCs/>
          <w:b/>
        </w:rPr>
        <w:t xml:space="preserve">Salt Typhoon</w:t>
      </w:r>
      <w:r>
        <w:t xml:space="preserve"> </w:t>
      </w:r>
      <w:r>
        <w:t xml:space="preserve">(October 2024) infiltrated 9 major telecommunications companies (Verizon, AT&amp;T, T-Mobile, others), compromising metadata from 1+ million users and accessing wiretap systems. Trump campaign phones were targeted.</w:t>
      </w:r>
      <w:r>
        <w:t xml:space="preserve"> </w:t>
      </w:r>
      <w:r>
        <w:rPr>
          <w:bCs/>
          <w:b/>
        </w:rPr>
        <w:t xml:space="preserve">190 million individuals</w:t>
      </w:r>
      <w:r>
        <w:t xml:space="preserve"> </w:t>
      </w:r>
      <w:r>
        <w:t xml:space="preserve">ultimately impacted. FBI Director Wray stated:</w:t>
      </w:r>
      <w:r>
        <w:t xml:space="preserve"> </w:t>
      </w:r>
      <w:r>
        <w:t xml:space="preserve">“</w:t>
      </w:r>
      <w:r>
        <w:t xml:space="preserve">The PRC has made it clear that it considers every sector that makes our society run as fair game.</w:t>
      </w:r>
      <w:r>
        <w:t xml:space="preserve">”</w:t>
      </w:r>
    </w:p>
    <w:p>
      <w:pPr>
        <w:pStyle w:val="BodyText"/>
      </w:pPr>
      <w:r>
        <w:t xml:space="preserve">The</w:t>
      </w:r>
      <w:r>
        <w:t xml:space="preserve"> </w:t>
      </w:r>
      <w:r>
        <w:rPr>
          <w:bCs/>
          <w:b/>
        </w:rPr>
        <w:t xml:space="preserve">Change Healthcare attack</w:t>
      </w:r>
      <w:r>
        <w:t xml:space="preserve"> </w:t>
      </w:r>
      <w:r>
        <w:t xml:space="preserve">(February 21, 2024, ALPHV/BlackCat ransomware) was termed</w:t>
      </w:r>
      <w:r>
        <w:t xml:space="preserve"> </w:t>
      </w:r>
      <w:r>
        <w:t xml:space="preserve">“</w:t>
      </w:r>
      <w:r>
        <w:t xml:space="preserve">the most significant and consequential cyberattack on US healthcare system in history</w:t>
      </w:r>
      <w:r>
        <w:t xml:space="preserve">”</w:t>
      </w:r>
      <w:r>
        <w:t xml:space="preserve"> </w:t>
      </w:r>
      <w:r>
        <w:t xml:space="preserve">(AHA), impacting 90%+ of 70,000 pharmacies, costing</w:t>
      </w:r>
      <w:r>
        <w:t xml:space="preserve"> </w:t>
      </w:r>
      <w:r>
        <w:rPr>
          <w:bCs/>
          <w:b/>
        </w:rPr>
        <w:t xml:space="preserve">$2.457 billion</w:t>
      </w:r>
      <w:r>
        <w:t xml:space="preserve">, and affecting</w:t>
      </w:r>
      <w:r>
        <w:t xml:space="preserve"> </w:t>
      </w:r>
      <w:r>
        <w:rPr>
          <w:bCs/>
          <w:b/>
        </w:rPr>
        <w:t xml:space="preserve">192.7 million individuals</w:t>
      </w:r>
      <w:r>
        <w:t xml:space="preserve">. [CONFIDENCE: HIGH]</w:t>
      </w:r>
    </w:p>
    <w:bookmarkEnd w:id="211"/>
    <w:bookmarkStart w:id="212" w:name="election-information-environment"/>
    <w:p>
      <w:pPr>
        <w:pStyle w:val="Heading3"/>
      </w:pPr>
      <w:r>
        <w:t xml:space="preserve">2024 election information environment</w:t>
      </w:r>
    </w:p>
    <w:p>
      <w:pPr>
        <w:pStyle w:val="FirstParagraph"/>
      </w:pPr>
      <w:r>
        <w:t xml:space="preserve">Foreign interference in 2024 included Russian RT operations funding Tenet Media ($9.7 million to American influencers including Tim Pool and Dave Rubin for 2,000 YouTube videos, 16 million+ views), Iranian hacks of Trump campaign (via Roger Stone), and Chinese Spamouflage operations targeting down-ballot Republican critics of China. Election Day bomb threats (67 known threats, 56 in Democratic-leaning areas)</w:t>
      </w:r>
      <w:r>
        <w:t xml:space="preserve"> </w:t>
      </w:r>
      <w:r>
        <w:t xml:space="preserve">“</w:t>
      </w:r>
      <w:r>
        <w:t xml:space="preserve">appear to originate from Russian email domains</w:t>
      </w:r>
      <w:r>
        <w:t xml:space="preserve">”</w:t>
      </w:r>
      <w:r>
        <w:t xml:space="preserve"> </w:t>
      </w:r>
      <w:r>
        <w:t xml:space="preserve">per FBI.</w:t>
      </w:r>
    </w:p>
    <w:p>
      <w:pPr>
        <w:pStyle w:val="BodyText"/>
      </w:pPr>
      <w:r>
        <w:t xml:space="preserve">The AI deepfake Biden robocall (January 21, 2024) reached 5,000-25,000 New Hampshire voters, created in under 30 minutes using ElevenLabs software. The FCC proposed</w:t>
      </w:r>
      <w:r>
        <w:t xml:space="preserve"> </w:t>
      </w:r>
      <w:r>
        <w:rPr>
          <w:bCs/>
          <w:b/>
        </w:rPr>
        <w:t xml:space="preserve">$6 million fine</w:t>
      </w:r>
      <w:r>
        <w:t xml:space="preserve"> </w:t>
      </w:r>
      <w:r>
        <w:t xml:space="preserve">and ruled AI-generated voices in robocalls illegal. The TikTok divest-or-ban law passed April 24, 2024, with the Supreme Court upholding it unanimously per curiam on January 17, 2025. [CONFIDENCE: HIGH]</w:t>
      </w:r>
    </w:p>
    <w:p>
      <w:r>
        <w:pict>
          <v:rect style="width:0;height:1.5pt" o:hralign="center" o:hrstd="t" o:hr="t"/>
        </w:pict>
      </w:r>
    </w:p>
    <w:bookmarkEnd w:id="212"/>
    <w:bookmarkEnd w:id="213"/>
    <w:bookmarkStart w:id="218" w:name="domain-9-economicfinancial"/>
    <w:p>
      <w:pPr>
        <w:pStyle w:val="Heading2"/>
      </w:pPr>
      <w:r>
        <w:t xml:space="preserve">DOMAIN 9: ECONOMIC/FINANCIAL</w:t>
      </w:r>
    </w:p>
    <w:bookmarkStart w:id="214" w:name="X69a9e7fb7c801d8cdbed2bd49e5ffc3d5123ea4"/>
    <w:p>
      <w:pPr>
        <w:pStyle w:val="Heading3"/>
      </w:pPr>
      <w:r>
        <w:t xml:space="preserve">Soft landing achieved despite aggressive tightening</w:t>
      </w:r>
    </w:p>
    <w:p>
      <w:pPr>
        <w:pStyle w:val="FirstParagraph"/>
      </w:pPr>
      <w:r>
        <w:t xml:space="preserve">Inflation peaked at</w:t>
      </w:r>
      <w:r>
        <w:t xml:space="preserve"> </w:t>
      </w:r>
      <w:r>
        <w:rPr>
          <w:bCs/>
          <w:b/>
        </w:rPr>
        <w:t xml:space="preserve">9.1%</w:t>
      </w:r>
      <w:r>
        <w:t xml:space="preserve"> </w:t>
      </w:r>
      <w:r>
        <w:t xml:space="preserve">(June 2022)—the highest since November 1981—then declined to</w:t>
      </w:r>
      <w:r>
        <w:t xml:space="preserve"> </w:t>
      </w:r>
      <w:r>
        <w:rPr>
          <w:bCs/>
          <w:b/>
        </w:rPr>
        <w:t xml:space="preserve">2.4%</w:t>
      </w:r>
      <w:r>
        <w:t xml:space="preserve"> </w:t>
      </w:r>
      <w:r>
        <w:t xml:space="preserve">(September 2024). The Fed executed</w:t>
      </w:r>
      <w:r>
        <w:t xml:space="preserve"> </w:t>
      </w:r>
      <w:r>
        <w:rPr>
          <w:bCs/>
          <w:b/>
        </w:rPr>
        <w:t xml:space="preserve">11 consecutive rate increases</w:t>
      </w:r>
      <w:r>
        <w:t xml:space="preserve"> </w:t>
      </w:r>
      <w:r>
        <w:t xml:space="preserve">from March 2022 to July 2023, raising rates from near-zero to</w:t>
      </w:r>
      <w:r>
        <w:t xml:space="preserve"> </w:t>
      </w:r>
      <w:r>
        <w:rPr>
          <w:bCs/>
          <w:b/>
        </w:rPr>
        <w:t xml:space="preserve">5.25-5.50%</w:t>
      </w:r>
      <w:r>
        <w:t xml:space="preserve"> </w:t>
      </w:r>
      <w:r>
        <w:t xml:space="preserve">(peak), with four 75-basis-point hikes. Rate cuts began September 2024 (-50 bps). The job vacancies-to-unemployment ratio fell from 2.0 (March 2022) to 1.1 (February 2025) along a downward Beveridge curve—inflation fell while unemployment never exceeded 4.2%. This represents the</w:t>
      </w:r>
      <w:r>
        <w:t xml:space="preserve"> </w:t>
      </w:r>
      <w:r>
        <w:t xml:space="preserve">“</w:t>
      </w:r>
      <w:r>
        <w:t xml:space="preserve">soft landing</w:t>
      </w:r>
      <w:r>
        <w:t xml:space="preserve">”</w:t>
      </w:r>
      <w:r>
        <w:t xml:space="preserve"> </w:t>
      </w:r>
      <w:r>
        <w:t xml:space="preserve">that most economists considered improbable. [CONFIDENCE: HIGH]</w:t>
      </w:r>
    </w:p>
    <w:bookmarkEnd w:id="214"/>
    <w:bookmarkStart w:id="215" w:name="dollar-hegemony-persists-despite-erosion"/>
    <w:p>
      <w:pPr>
        <w:pStyle w:val="Heading3"/>
      </w:pPr>
      <w:r>
        <w:t xml:space="preserve">Dollar hegemony persists despite erosion</w:t>
      </w:r>
    </w:p>
    <w:p>
      <w:pPr>
        <w:pStyle w:val="FirstParagraph"/>
      </w:pPr>
      <w:r>
        <w:t xml:space="preserve">IMF COFER data shows dollar share at</w:t>
      </w:r>
      <w:r>
        <w:t xml:space="preserve"> </w:t>
      </w:r>
      <w:r>
        <w:rPr>
          <w:bCs/>
          <w:b/>
        </w:rPr>
        <w:t xml:space="preserve">56.92%</w:t>
      </w:r>
      <w:r>
        <w:t xml:space="preserve"> </w:t>
      </w:r>
      <w:r>
        <w:t xml:space="preserve">(Q3 2025), down from 71% (2000). Critically, Arslanalp, Eichengreen, and Simpson-Bell (IMF WP 2022/058) found</w:t>
      </w:r>
      <w:r>
        <w:t xml:space="preserve"> </w:t>
      </w:r>
      <w:r>
        <w:rPr>
          <w:bCs/>
          <w:b/>
        </w:rPr>
        <w:t xml:space="preserve">three-quarters of dollar decline went to</w:t>
      </w:r>
      <w:r>
        <w:rPr>
          <w:bCs/>
          <w:b/>
        </w:rPr>
        <w:t xml:space="preserve"> </w:t>
      </w:r>
      <w:r>
        <w:rPr>
          <w:bCs/>
          <w:b/>
        </w:rPr>
        <w:t xml:space="preserve">“</w:t>
      </w:r>
      <w:r>
        <w:rPr>
          <w:bCs/>
          <w:b/>
        </w:rPr>
        <w:t xml:space="preserve">nontraditional reserve currencies</w:t>
      </w:r>
      <w:r>
        <w:rPr>
          <w:bCs/>
          <w:b/>
        </w:rPr>
        <w:t xml:space="preserve">”</w:t>
      </w:r>
      <w:r>
        <w:t xml:space="preserve"> </w:t>
      </w:r>
      <w:r>
        <w:t xml:space="preserve">(AUD, CAD, SEK, NOK, SGD, KRW), with only one-quarter to renminbi. The euro, yen, and pound have NOT gained share. Dollar remains in</w:t>
      </w:r>
      <w:r>
        <w:t xml:space="preserve"> </w:t>
      </w:r>
      <w:r>
        <w:rPr>
          <w:bCs/>
          <w:b/>
        </w:rPr>
        <w:t xml:space="preserve">~90% of FX transactions</w:t>
      </w:r>
      <w:r>
        <w:t xml:space="preserve"> </w:t>
      </w:r>
      <w:r>
        <w:t xml:space="preserve">(BIS) and</w:t>
      </w:r>
      <w:r>
        <w:t xml:space="preserve"> </w:t>
      </w:r>
      <w:r>
        <w:rPr>
          <w:bCs/>
          <w:b/>
        </w:rPr>
        <w:t xml:space="preserve">48% of SWIFT payments</w:t>
      </w:r>
      <w:r>
        <w:t xml:space="preserve"> </w:t>
      </w:r>
      <w:r>
        <w:t xml:space="preserve">(increased since 2014).</w:t>
      </w:r>
    </w:p>
    <w:p>
      <w:pPr>
        <w:pStyle w:val="BodyText"/>
      </w:pPr>
      <w:r>
        <w:t xml:space="preserve">De-dollarization narratives face reality: Putin stated (November 2024):</w:t>
      </w:r>
      <w:r>
        <w:t xml:space="preserve"> </w:t>
      </w:r>
      <w:r>
        <w:t xml:space="preserve">“</w:t>
      </w:r>
      <w:r>
        <w:t xml:space="preserve">We are not seeking to abandon the dollar.</w:t>
      </w:r>
      <w:r>
        <w:t xml:space="preserve">”</w:t>
      </w:r>
      <w:r>
        <w:t xml:space="preserve"> </w:t>
      </w:r>
      <w:r>
        <w:t xml:space="preserve">BRICS July 2025 summit made no mention of common currency. Brazil’s Lula dropped common currency from 2025 BRICS agenda after Trump tariff threats. Saudi Arabia announced $1 trillion US investment (November 2025). Zoltan Pozsar’s</w:t>
      </w:r>
      <w:r>
        <w:t xml:space="preserve"> </w:t>
      </w:r>
      <w:r>
        <w:t xml:space="preserve">“</w:t>
      </w:r>
      <w:r>
        <w:t xml:space="preserve">Bretton Woods III</w:t>
      </w:r>
      <w:r>
        <w:t xml:space="preserve">”</w:t>
      </w:r>
      <w:r>
        <w:t xml:space="preserve"> </w:t>
      </w:r>
      <w:r>
        <w:t xml:space="preserve">thesis (March 2022)—predicting shift to commodity-backed currencies—remains largely unrealized three years later. Adam Tooze characterizes such predictions as</w:t>
      </w:r>
      <w:r>
        <w:t xml:space="preserve"> </w:t>
      </w:r>
      <w:r>
        <w:t xml:space="preserve">“</w:t>
      </w:r>
      <w:r>
        <w:t xml:space="preserve">fin-fi</w:t>
      </w:r>
      <w:r>
        <w:t xml:space="preserve">”</w:t>
      </w:r>
      <w:r>
        <w:t xml:space="preserve"> </w:t>
      </w:r>
      <w:r>
        <w:t xml:space="preserve">(finance fiction). [CONFIDENCE: HIGH]</w:t>
      </w:r>
    </w:p>
    <w:bookmarkEnd w:id="215"/>
    <w:bookmarkStart w:id="216" w:name="X8bc567b35b5868a6dd729dfe68805e8a2a8d529"/>
    <w:p>
      <w:pPr>
        <w:pStyle w:val="Heading3"/>
      </w:pPr>
      <w:r>
        <w:t xml:space="preserve">Debt trajectory creates long-term vulnerability</w:t>
      </w:r>
    </w:p>
    <w:p>
      <w:pPr>
        <w:pStyle w:val="FirstParagraph"/>
      </w:pPr>
      <w:r>
        <w:t xml:space="preserve">Federal debt reached</w:t>
      </w:r>
      <w:r>
        <w:t xml:space="preserve"> </w:t>
      </w:r>
      <w:r>
        <w:rPr>
          <w:bCs/>
          <w:b/>
        </w:rPr>
        <w:t xml:space="preserve">$30.3 trillion</w:t>
      </w:r>
      <w:r>
        <w:t xml:space="preserve"> </w:t>
      </w:r>
      <w:r>
        <w:t xml:space="preserve">(100% of GDP) with FY2025 interest costs exceeding</w:t>
      </w:r>
      <w:r>
        <w:t xml:space="preserve"> </w:t>
      </w:r>
      <w:r>
        <w:rPr>
          <w:bCs/>
          <w:b/>
        </w:rPr>
        <w:t xml:space="preserve">$1 trillion for the first time</w:t>
      </w:r>
      <w:r>
        <w:t xml:space="preserve">—now the second-largest expenditure after Social Security. CBO projects debt-to-GDP reaching</w:t>
      </w:r>
      <w:r>
        <w:t xml:space="preserve"> </w:t>
      </w:r>
      <w:r>
        <w:rPr>
          <w:bCs/>
          <w:b/>
        </w:rPr>
        <w:t xml:space="preserve">107%</w:t>
      </w:r>
      <w:r>
        <w:t xml:space="preserve"> </w:t>
      </w:r>
      <w:r>
        <w:t xml:space="preserve">(2029, exceeding WWII peak),</w:t>
      </w:r>
      <w:r>
        <w:t xml:space="preserve"> </w:t>
      </w:r>
      <w:r>
        <w:rPr>
          <w:bCs/>
          <w:b/>
        </w:rPr>
        <w:t xml:space="preserve">119%</w:t>
      </w:r>
      <w:r>
        <w:t xml:space="preserve"> </w:t>
      </w:r>
      <w:r>
        <w:t xml:space="preserve">(2035), and</w:t>
      </w:r>
      <w:r>
        <w:t xml:space="preserve"> </w:t>
      </w:r>
      <w:r>
        <w:rPr>
          <w:bCs/>
          <w:b/>
        </w:rPr>
        <w:t xml:space="preserve">156%</w:t>
      </w:r>
      <w:r>
        <w:t xml:space="preserve"> </w:t>
      </w:r>
      <w:r>
        <w:t xml:space="preserve">(2055). Net interest payments projected at $13.8 trillion over 2026-2035—the fastest-growing budget category. [CONFIDENCE: HIGH]</w:t>
      </w:r>
    </w:p>
    <w:bookmarkEnd w:id="216"/>
    <w:bookmarkStart w:id="217" w:name="X5eb7d27c75a8395efa0508006ca21cc7e1c9cac"/>
    <w:p>
      <w:pPr>
        <w:pStyle w:val="Heading3"/>
      </w:pPr>
      <w:r>
        <w:t xml:space="preserve">2023 bank failures demonstrated Fed responsiveness</w:t>
      </w:r>
    </w:p>
    <w:p>
      <w:pPr>
        <w:pStyle w:val="FirstParagraph"/>
      </w:pPr>
      <w:r>
        <w:t xml:space="preserve">SVB (March 10, 2023, $209 billion assets), Signature Bank (March 12, $110 billion), and First Republic (May 1, $213 billion) represented combined assets</w:t>
      </w:r>
      <w:r>
        <w:t xml:space="preserve"> </w:t>
      </w:r>
      <w:r>
        <w:rPr>
          <w:bCs/>
          <w:b/>
        </w:rPr>
        <w:t xml:space="preserve">exceeding the 25 banks that failed in 2008</w:t>
      </w:r>
      <w:r>
        <w:t xml:space="preserve">. SVB failed after a $42 billion single-day withdrawal. Federal response included systemic risk exception (guaranteeing all depositors), Bank Term Funding Program (BTFP) emergency lending at par value, and discount window borrowing surging from $4.6 billion to $152.9 billion in one week. Unlike 2008, failures stemmed from interest rate risk rather than credit risk, and no broader systemic crisis materialized. [CONFIDENCE: HIGH]</w:t>
      </w:r>
    </w:p>
    <w:p>
      <w:pPr>
        <w:pStyle w:val="BodyText"/>
      </w:pPr>
      <w:r>
        <w:t xml:space="preserve">Stock market performance remained exceptional: S&amp;P 500 returned +24% (2023), +24-25% (2024), +16% (2025)—only the sixth time in history with three consecutive double-digit years. The</w:t>
      </w:r>
      <w:r>
        <w:t xml:space="preserve"> </w:t>
      </w:r>
      <w:r>
        <w:t xml:space="preserve">“</w:t>
      </w:r>
      <w:r>
        <w:t xml:space="preserve">Magnificent Seven</w:t>
      </w:r>
      <w:r>
        <w:t xml:space="preserve">”</w:t>
      </w:r>
      <w:r>
        <w:t xml:space="preserve"> </w:t>
      </w:r>
      <w:r>
        <w:t xml:space="preserve">tech stocks accounted for &gt;50% of 2024 returns, with Nvidia alone contributing &gt;20% (+171%). Unemployment reached</w:t>
      </w:r>
      <w:r>
        <w:t xml:space="preserve"> </w:t>
      </w:r>
      <w:r>
        <w:rPr>
          <w:bCs/>
          <w:b/>
        </w:rPr>
        <w:t xml:space="preserve">3.4%</w:t>
      </w:r>
      <w:r>
        <w:t xml:space="preserve"> </w:t>
      </w:r>
      <w:r>
        <w:t xml:space="preserve">(April 2023)—lowest since 1969—before normalizing to 4.4%. GDP growth achieved 6.06% (2021), 2.51% (2022), 2.5% (2023), significantly outperforming peers. [CONFIDENCE: HIGH]</w:t>
      </w:r>
    </w:p>
    <w:p>
      <w:r>
        <w:pict>
          <v:rect style="width:0;height:1.5pt" o:hralign="center" o:hrstd="t" o:hr="t"/>
        </w:pict>
      </w:r>
    </w:p>
    <w:bookmarkEnd w:id="217"/>
    <w:bookmarkEnd w:id="218"/>
    <w:bookmarkStart w:id="223" w:name="X28f81a1050ff3a6cd38a804ed43dd64d862a38c"/>
    <w:p>
      <w:pPr>
        <w:pStyle w:val="Heading2"/>
      </w:pPr>
      <w:r>
        <w:t xml:space="preserve">COUNTER-EVIDENCE: HEGEMONIC RESILIENCE SCHOLARSHIP</w:t>
      </w:r>
    </w:p>
    <w:bookmarkStart w:id="219" w:name="beckleys-net-resources-methodology"/>
    <w:p>
      <w:pPr>
        <w:pStyle w:val="Heading3"/>
      </w:pPr>
      <w:r>
        <w:t xml:space="preserve">Beckley’s net resources methodology</w:t>
      </w:r>
    </w:p>
    <w:p>
      <w:pPr>
        <w:pStyle w:val="FirstParagraph"/>
      </w:pPr>
      <w:r>
        <w:t xml:space="preserve">Michael Beckley (Tufts, AEI) argues in</w:t>
      </w:r>
      <w:r>
        <w:t xml:space="preserve"> </w:t>
      </w:r>
      <w:r>
        <w:rPr>
          <w:iCs/>
          <w:i/>
        </w:rPr>
        <w:t xml:space="preserve">Unrivaled</w:t>
      </w:r>
      <w:r>
        <w:t xml:space="preserve"> </w:t>
      </w:r>
      <w:r>
        <w:t xml:space="preserve">(Cornell, 2018) that standard measures systematically overestimate poor, populous countries. His</w:t>
      </w:r>
      <w:r>
        <w:t xml:space="preserve"> </w:t>
      </w:r>
      <w:r>
        <w:rPr>
          <w:bCs/>
          <w:b/>
        </w:rPr>
        <w:t xml:space="preserve">net resources formula</w:t>
      </w:r>
      <w:r>
        <w:t xml:space="preserve"> </w:t>
      </w:r>
      <w:r>
        <w:t xml:space="preserve">(GDP × GDP per capita) deducts production costs, welfare costs, and security costs, creating a</w:t>
      </w:r>
      <w:r>
        <w:t xml:space="preserve"> </w:t>
      </w:r>
      <w:r>
        <w:t xml:space="preserve">“</w:t>
      </w:r>
      <w:r>
        <w:t xml:space="preserve">balance sheet</w:t>
      </w:r>
      <w:r>
        <w:t xml:space="preserve">”</w:t>
      </w:r>
      <w:r>
        <w:t xml:space="preserve"> </w:t>
      </w:r>
      <w:r>
        <w:t xml:space="preserve">approach. Empirically, net resources predict war outcomes over 200 years more accurately than gross indicators—winning 70% of disputes and 80% of wars. Beckley argues China uses</w:t>
      </w:r>
      <w:r>
        <w:t xml:space="preserve"> </w:t>
      </w:r>
      <w:r>
        <w:t xml:space="preserve">“</w:t>
      </w:r>
      <w:r>
        <w:t xml:space="preserve">seven times the input to generate a given level of economic output as the US</w:t>
      </w:r>
      <w:r>
        <w:t xml:space="preserve">”</w:t>
      </w:r>
      <w:r>
        <w:t xml:space="preserve"> </w:t>
      </w:r>
      <w:r>
        <w:t xml:space="preserve">and leads the world in</w:t>
      </w:r>
      <w:r>
        <w:t xml:space="preserve"> </w:t>
      </w:r>
      <w:r>
        <w:t xml:space="preserve">“</w:t>
      </w:r>
      <w:r>
        <w:t xml:space="preserve">debt, resource consumption, pollution, useless infrastructure, wasted industrial capacity, scientific fraud, internal security spending, border disputes.</w:t>
      </w:r>
      <w:r>
        <w:t xml:space="preserve">”</w:t>
      </w:r>
      <w:r>
        <w:t xml:space="preserve"> </w:t>
      </w:r>
      <w:r>
        <w:t xml:space="preserve">[CONFIDENCE: HIGH]</w:t>
      </w:r>
    </w:p>
    <w:p>
      <w:pPr>
        <w:pStyle w:val="BodyText"/>
      </w:pPr>
      <w:r>
        <w:rPr>
          <w:iCs/>
          <w:i/>
        </w:rPr>
        <w:t xml:space="preserve">Danger Zone</w:t>
      </w:r>
      <w:r>
        <w:t xml:space="preserve"> </w:t>
      </w:r>
      <w:r>
        <w:t xml:space="preserve">(W.W. Norton, 2022, with Hal Brands) advances the</w:t>
      </w:r>
      <w:r>
        <w:t xml:space="preserve"> </w:t>
      </w:r>
      <w:r>
        <w:rPr>
          <w:bCs/>
          <w:b/>
        </w:rPr>
        <w:t xml:space="preserve">“</w:t>
      </w:r>
      <w:r>
        <w:rPr>
          <w:bCs/>
          <w:b/>
        </w:rPr>
        <w:t xml:space="preserve">Peak China</w:t>
      </w:r>
      <w:r>
        <w:rPr>
          <w:bCs/>
          <w:b/>
        </w:rPr>
        <w:t xml:space="preserve">”</w:t>
      </w:r>
      <w:r>
        <w:rPr>
          <w:bCs/>
          <w:b/>
        </w:rPr>
        <w:t xml:space="preserve"> </w:t>
      </w:r>
      <w:r>
        <w:rPr>
          <w:bCs/>
          <w:b/>
        </w:rPr>
        <w:t xml:space="preserve">thesis</w:t>
      </w:r>
      <w:r>
        <w:t xml:space="preserve">: China is a</w:t>
      </w:r>
      <w:r>
        <w:t xml:space="preserve"> </w:t>
      </w:r>
      <w:r>
        <w:t xml:space="preserve">“</w:t>
      </w:r>
      <w:r>
        <w:t xml:space="preserve">peaking power</w:t>
      </w:r>
      <w:r>
        <w:t xml:space="preserve">”</w:t>
      </w:r>
      <w:r>
        <w:t xml:space="preserve"> </w:t>
      </w:r>
      <w:r>
        <w:t xml:space="preserve">whose relative power peaked around 2020-2021, with the 2020s representing a</w:t>
      </w:r>
      <w:r>
        <w:t xml:space="preserve"> </w:t>
      </w:r>
      <w:r>
        <w:t xml:space="preserve">“</w:t>
      </w:r>
      <w:r>
        <w:t xml:space="preserve">danger zone</w:t>
      </w:r>
      <w:r>
        <w:t xml:space="preserve">”</w:t>
      </w:r>
      <w:r>
        <w:t xml:space="preserve"> </w:t>
      </w:r>
      <w:r>
        <w:t xml:space="preserve">of potential aggression before decline accelerates. Demographic arguments note working-age population decline since 2014, total population decline since 2022, and the reality that</w:t>
      </w:r>
      <w:r>
        <w:t xml:space="preserve"> </w:t>
      </w:r>
      <w:r>
        <w:t xml:space="preserve">“</w:t>
      </w:r>
      <w:r>
        <w:t xml:space="preserve">China will grow old before it grows rich.</w:t>
      </w:r>
      <w:r>
        <w:t xml:space="preserve">”</w:t>
      </w:r>
      <w:r>
        <w:t xml:space="preserve"> </w:t>
      </w:r>
      <w:r>
        <w:t xml:space="preserve">Critics (Konstantinos Farsalinos,</w:t>
      </w:r>
      <w:r>
        <w:t xml:space="preserve"> </w:t>
      </w:r>
      <w:r>
        <w:rPr>
          <w:iCs/>
          <w:i/>
        </w:rPr>
        <w:t xml:space="preserve">Pacific Affairs</w:t>
      </w:r>
      <w:r>
        <w:t xml:space="preserve">) argue demography is</w:t>
      </w:r>
      <w:r>
        <w:t xml:space="preserve"> </w:t>
      </w:r>
      <w:r>
        <w:t xml:space="preserve">“</w:t>
      </w:r>
      <w:r>
        <w:t xml:space="preserve">least important</w:t>
      </w:r>
      <w:r>
        <w:t xml:space="preserve">”</w:t>
      </w:r>
      <w:r>
        <w:t xml:space="preserve"> </w:t>
      </w:r>
      <w:r>
        <w:t xml:space="preserve">and Chinese automotive innovation contradicts the thesis. [CONFIDENCE: HIGH]</w:t>
      </w:r>
    </w:p>
    <w:bookmarkEnd w:id="219"/>
    <w:bookmarkStart w:id="220" w:name="X87e2f815df7d49683f534da3d4f6500bba1ed93"/>
    <w:p>
      <w:pPr>
        <w:pStyle w:val="Heading3"/>
      </w:pPr>
      <w:r>
        <w:t xml:space="preserve">Brooks and Wohlforth’s non-balancing prediction</w:t>
      </w:r>
    </w:p>
    <w:p>
      <w:pPr>
        <w:pStyle w:val="FirstParagraph"/>
      </w:pPr>
      <w:r>
        <w:t xml:space="preserve">Stephen Brooks and William Wohlforth (Dartmouth) argued in</w:t>
      </w:r>
      <w:r>
        <w:t xml:space="preserve"> </w:t>
      </w:r>
      <w:r>
        <w:rPr>
          <w:iCs/>
          <w:i/>
        </w:rPr>
        <w:t xml:space="preserve">World Out of Balance</w:t>
      </w:r>
      <w:r>
        <w:t xml:space="preserve"> </w:t>
      </w:r>
      <w:r>
        <w:t xml:space="preserve">(Princeton, 2008) that the</w:t>
      </w:r>
      <w:r>
        <w:t xml:space="preserve"> </w:t>
      </w:r>
      <w:r>
        <w:t xml:space="preserve">“</w:t>
      </w:r>
      <w:r>
        <w:t xml:space="preserve">most extreme level of power concentration in the last three centuries</w:t>
      </w:r>
      <w:r>
        <w:t xml:space="preserve">”</w:t>
      </w:r>
      <w:r>
        <w:t xml:space="preserve"> </w:t>
      </w:r>
      <w:r>
        <w:t xml:space="preserve">rendered balancing behavior inapplicable. Their prediction—absence of hard balancing coalitions—has held for 17 years despite Russia’s Crimea annexation, BRICS institution-building, and Chinese island construction.</w:t>
      </w:r>
      <w:r>
        <w:t xml:space="preserve"> </w:t>
      </w:r>
      <w:r>
        <w:rPr>
          <w:iCs/>
          <w:i/>
        </w:rPr>
        <w:t xml:space="preserve">America Abroad</w:t>
      </w:r>
      <w:r>
        <w:t xml:space="preserve"> </w:t>
      </w:r>
      <w:r>
        <w:t xml:space="preserve">(Oxford, 2016) advocated</w:t>
      </w:r>
      <w:r>
        <w:t xml:space="preserve"> </w:t>
      </w:r>
      <w:r>
        <w:t xml:space="preserve">“</w:t>
      </w:r>
      <w:r>
        <w:t xml:space="preserve">deep engagement</w:t>
      </w:r>
      <w:r>
        <w:t xml:space="preserve">”</w:t>
      </w:r>
      <w:r>
        <w:t xml:space="preserve"> </w:t>
      </w:r>
      <w:r>
        <w:t xml:space="preserve">rather than retrenchment, arguing alliances serve as</w:t>
      </w:r>
      <w:r>
        <w:t xml:space="preserve"> </w:t>
      </w:r>
      <w:r>
        <w:t xml:space="preserve">“</w:t>
      </w:r>
      <w:r>
        <w:t xml:space="preserve">capability-aggregating mechanisms</w:t>
      </w:r>
      <w:r>
        <w:t xml:space="preserve">”</w:t>
      </w:r>
      <w:r>
        <w:t xml:space="preserve"> </w:t>
      </w:r>
      <w:r>
        <w:t xml:space="preserve">and</w:t>
      </w:r>
      <w:r>
        <w:t xml:space="preserve"> </w:t>
      </w:r>
      <w:r>
        <w:t xml:space="preserve">“</w:t>
      </w:r>
      <w:r>
        <w:t xml:space="preserve">tools for controlling risks and exerting influence.</w:t>
      </w:r>
      <w:r>
        <w:t xml:space="preserve">”</w:t>
      </w:r>
      <w:r>
        <w:t xml:space="preserve"> </w:t>
      </w:r>
      <w:r>
        <w:t xml:space="preserve">Ukraine has substantially validated their thesis: NATO cohesion strengthened, Finland and Sweden joined, and no major ally defected. [CONFIDENCE: HIGH]</w:t>
      </w:r>
    </w:p>
    <w:bookmarkEnd w:id="220"/>
    <w:bookmarkStart w:id="221" w:name="ikenberrys-order-vs-hegemon-distinction"/>
    <w:p>
      <w:pPr>
        <w:pStyle w:val="Heading3"/>
      </w:pPr>
      <w:r>
        <w:t xml:space="preserve">Ikenberry’s order-vs-hegemon distinction</w:t>
      </w:r>
    </w:p>
    <w:p>
      <w:pPr>
        <w:pStyle w:val="FirstParagraph"/>
      </w:pPr>
      <w:r>
        <w:t xml:space="preserve">G. John Ikenberry (Princeton) draws a critical distinction in</w:t>
      </w:r>
      <w:r>
        <w:t xml:space="preserve"> </w:t>
      </w:r>
      <w:r>
        <w:t xml:space="preserve">“</w:t>
      </w:r>
      <w:r>
        <w:t xml:space="preserve">The End of Liberal International Order?</w:t>
      </w:r>
      <w:r>
        <w:t xml:space="preserve">”</w:t>
      </w:r>
      <w:r>
        <w:t xml:space="preserve"> </w:t>
      </w:r>
      <w:r>
        <w:t xml:space="preserve">(</w:t>
      </w:r>
      <w:r>
        <w:rPr>
          <w:iCs/>
          <w:i/>
        </w:rPr>
        <w:t xml:space="preserve">International Affairs</w:t>
      </w:r>
      <w:r>
        <w:t xml:space="preserve">, 2018):</w:t>
      </w:r>
      <w:r>
        <w:t xml:space="preserve"> </w:t>
      </w:r>
      <w:r>
        <w:t xml:space="preserve">“</w:t>
      </w:r>
      <w:r>
        <w:t xml:space="preserve">It is a crisis of the American governance of liberal order and not of liberal order itself.</w:t>
      </w:r>
      <w:r>
        <w:t xml:space="preserve">”</w:t>
      </w:r>
      <w:r>
        <w:t xml:space="preserve"> </w:t>
      </w:r>
      <w:r>
        <w:rPr>
          <w:iCs/>
          <w:i/>
        </w:rPr>
        <w:t xml:space="preserve">A World Safe for Democracy</w:t>
      </w:r>
      <w:r>
        <w:t xml:space="preserve"> </w:t>
      </w:r>
      <w:r>
        <w:t xml:space="preserve">(Yale, 2020) argues liberal internationalism is a 200-year project with characteristics (openness, rules, multilateralism) that are</w:t>
      </w:r>
      <w:r>
        <w:t xml:space="preserve"> </w:t>
      </w:r>
      <w:r>
        <w:t xml:space="preserve">“</w:t>
      </w:r>
      <w:r>
        <w:t xml:space="preserve">deeply rooted and likely to persist.</w:t>
      </w:r>
      <w:r>
        <w:t xml:space="preserve">”</w:t>
      </w:r>
      <w:r>
        <w:t xml:space="preserve"> </w:t>
      </w:r>
      <w:r>
        <w:t xml:space="preserve">Institutional</w:t>
      </w:r>
      <w:r>
        <w:t xml:space="preserve"> </w:t>
      </w:r>
      <w:r>
        <w:t xml:space="preserve">“</w:t>
      </w:r>
      <w:r>
        <w:t xml:space="preserve">lock-in</w:t>
      </w:r>
      <w:r>
        <w:t xml:space="preserve">”</w:t>
      </w:r>
      <w:r>
        <w:t xml:space="preserve"> </w:t>
      </w:r>
      <w:r>
        <w:t xml:space="preserve">makes defection costly. This directly supports the signal crisis interpretation: the underlying order demonstrates resilience even as American hegemonic authority faces challenges. [CONFIDENCE: HIGH]</w:t>
      </w:r>
    </w:p>
    <w:bookmarkEnd w:id="221"/>
    <w:bookmarkStart w:id="222" w:name="toozes-dollar-system-analysis"/>
    <w:p>
      <w:pPr>
        <w:pStyle w:val="Heading3"/>
      </w:pPr>
      <w:r>
        <w:t xml:space="preserve">Tooze’s dollar system analysis</w:t>
      </w:r>
    </w:p>
    <w:p>
      <w:pPr>
        <w:pStyle w:val="FirstParagraph"/>
      </w:pPr>
      <w:r>
        <w:t xml:space="preserve">Adam Tooze (Columbia) argues in</w:t>
      </w:r>
      <w:r>
        <w:t xml:space="preserve"> </w:t>
      </w:r>
      <w:r>
        <w:rPr>
          <w:iCs/>
          <w:i/>
        </w:rPr>
        <w:t xml:space="preserve">Crashed</w:t>
      </w:r>
      <w:r>
        <w:t xml:space="preserve"> </w:t>
      </w:r>
      <w:r>
        <w:t xml:space="preserve">(Viking, 2018) that the 2008 crisis was a</w:t>
      </w:r>
      <w:r>
        <w:t xml:space="preserve"> </w:t>
      </w:r>
      <w:r>
        <w:rPr>
          <w:bCs/>
          <w:b/>
        </w:rPr>
        <w:t xml:space="preserve">dollar funding crisis</w:t>
      </w:r>
      <w:r>
        <w:t xml:space="preserve"> </w:t>
      </w:r>
      <w:r>
        <w:t xml:space="preserve">(everyone wanting dollars), not a dollar crisis (everyone selling dollars). Fed swap lines—totaling &gt;$580 billion at peak, constituting &gt;25% of Fed assets—were</w:t>
      </w:r>
      <w:r>
        <w:t xml:space="preserve"> </w:t>
      </w:r>
      <w:r>
        <w:t xml:space="preserve">“</w:t>
      </w:r>
      <w:r>
        <w:t xml:space="preserve">perhaps the decisive innovation.</w:t>
      </w:r>
      <w:r>
        <w:t xml:space="preserve">”</w:t>
      </w:r>
      <w:r>
        <w:t xml:space="preserve"> </w:t>
      </w:r>
      <w:r>
        <w:rPr>
          <w:iCs/>
          <w:i/>
        </w:rPr>
        <w:t xml:space="preserve">Shutdown</w:t>
      </w:r>
      <w:r>
        <w:t xml:space="preserve"> </w:t>
      </w:r>
      <w:r>
        <w:t xml:space="preserve">(Viking, 2021) showed even more deliberate Fed action in 2020. Tooze characterizes de-dollarization predictions as</w:t>
      </w:r>
      <w:r>
        <w:t xml:space="preserve"> </w:t>
      </w:r>
      <w:r>
        <w:t xml:space="preserve">“</w:t>
      </w:r>
      <w:r>
        <w:t xml:space="preserve">fin-fi</w:t>
      </w:r>
      <w:r>
        <w:t xml:space="preserve">”</w:t>
      </w:r>
      <w:r>
        <w:t xml:space="preserve"> </w:t>
      </w:r>
      <w:r>
        <w:t xml:space="preserve">(finance fiction):</w:t>
      </w:r>
      <w:r>
        <w:t xml:space="preserve"> </w:t>
      </w:r>
      <w:r>
        <w:t xml:space="preserve">“</w:t>
      </w:r>
      <w:r>
        <w:t xml:space="preserve">At least since the 1970s this has been inspiring talk of an imminent end of American financial hegemony. Half a century of speculation… has given rise to a species of historico-economic futurism.</w:t>
      </w:r>
      <w:r>
        <w:t xml:space="preserve">”</w:t>
      </w:r>
      <w:r>
        <w:t xml:space="preserve"> </w:t>
      </w:r>
      <w:r>
        <w:t xml:space="preserve">Network effects create</w:t>
      </w:r>
      <w:r>
        <w:t xml:space="preserve"> </w:t>
      </w:r>
      <w:r>
        <w:t xml:space="preserve">“</w:t>
      </w:r>
      <w:r>
        <w:t xml:space="preserve">stubborn</w:t>
      </w:r>
      <w:r>
        <w:t xml:space="preserve">”</w:t>
      </w:r>
      <w:r>
        <w:t xml:space="preserve"> </w:t>
      </w:r>
      <w:r>
        <w:t xml:space="preserve">dollar dominance:</w:t>
      </w:r>
      <w:r>
        <w:t xml:space="preserve"> </w:t>
      </w:r>
      <w:r>
        <w:t xml:space="preserve">“</w:t>
      </w:r>
      <w:r>
        <w:t xml:space="preserve">Neither the Euro nor the RMB have the dollar’s widespread acceptance, or the openness, depth and sophistication of US financial markets.</w:t>
      </w:r>
      <w:r>
        <w:t xml:space="preserve">”</w:t>
      </w:r>
      <w:r>
        <w:t xml:space="preserve"> </w:t>
      </w:r>
      <w:r>
        <w:t xml:space="preserve">[CONFIDENCE: HIGH]</w:t>
      </w:r>
    </w:p>
    <w:p>
      <w:r>
        <w:pict>
          <v:rect style="width:0;height:1.5pt" o:hralign="center" o:hrstd="t" o:hr="t"/>
        </w:pict>
      </w:r>
    </w:p>
    <w:bookmarkEnd w:id="222"/>
    <w:bookmarkEnd w:id="223"/>
    <w:bookmarkStart w:id="224" w:name="synthesis-signal-crisis-confirmation"/>
    <w:p>
      <w:pPr>
        <w:pStyle w:val="Heading2"/>
      </w:pPr>
      <w:r>
        <w:t xml:space="preserve">SYNTHESIS: SIGNAL CRISIS CONFIRMATION</w:t>
      </w:r>
    </w:p>
    <w:p>
      <w:pPr>
        <w:pStyle w:val="FirstParagraph"/>
      </w:pPr>
      <w:r>
        <w:t xml:space="preserve">The 2021-Present sub-period confirms signal crisis dynamics rather than terminal decline:</w:t>
      </w:r>
    </w:p>
    <w:p>
      <w:pPr>
        <w:pStyle w:val="BodyText"/>
      </w:pPr>
      <w:r>
        <w:rPr>
          <w:bCs/>
          <w:b/>
        </w:rPr>
        <w:t xml:space="preserve">Cascade pattern observed</w:t>
      </w:r>
      <w:r>
        <w:t xml:space="preserve">: Finance stress (2023 bank failures) → Social deterioration (homelessness record, trust nadir, fertility collapse) → Manufacturing concerns (CHIPS reshoring response) → Soft power erosion (Gaza impact, Southeast Asia swing). This mirrors Arrighi’s predicted sequence while remaining below terminal thresholds (British 35%, Dutch 42%, Spanish 48% composite decline vs. US ~13%).</w:t>
      </w:r>
    </w:p>
    <w:p>
      <w:pPr>
        <w:pStyle w:val="BodyText"/>
      </w:pPr>
      <w:r>
        <w:rPr>
          <w:bCs/>
          <w:b/>
        </w:rPr>
        <w:t xml:space="preserve">Adaptive capacity demonstrated</w:t>
      </w:r>
      <w:r>
        <w:t xml:space="preserve">: Fed swap lines and BTFP prevented 2023 banking contagion. CHIPS Act triggered $450 billion private investment. Biden legislative trifecta channeled $2.4 trillion into strategic investments. NATO expanded rather than fragmented. Ukraine support mobilized $67 billion in military aid.</w:t>
      </w:r>
    </w:p>
    <w:p>
      <w:pPr>
        <w:pStyle w:val="BodyText"/>
      </w:pPr>
      <w:r>
        <w:rPr>
          <w:bCs/>
          <w:b/>
        </w:rPr>
        <w:t xml:space="preserve">Structural advantages persist</w:t>
      </w:r>
      <w:r>
        <w:t xml:space="preserve">: Dollar maintains 57% reserve share and 90% of FX transactions. US AI investment (12x China) demonstrates innovation leadership. Military spending (37% of global) exceeds next nine countries combined. Alliance network expanded rather than contracted.</w:t>
      </w:r>
    </w:p>
    <w:p>
      <w:pPr>
        <w:pStyle w:val="BodyText"/>
      </w:pPr>
      <w:r>
        <w:rPr>
          <w:bCs/>
          <w:b/>
        </w:rPr>
        <w:t xml:space="preserve">Institutional stress genuine but manageable</w:t>
      </w:r>
      <w:r>
        <w:t xml:space="preserve">: Democracy indices declining but above authoritarian thresholds. Supreme Court restructuring creates uncertainty but within constitutional bounds. Social indicators at historic extremes but within system capacity. Debt trajectory concerning but not yet constraining.</w:t>
      </w:r>
    </w:p>
    <w:p>
      <w:pPr>
        <w:pStyle w:val="BodyText"/>
      </w:pPr>
      <w:r>
        <w:rPr>
          <w:bCs/>
          <w:b/>
        </w:rPr>
        <w:t xml:space="preserve">Corporate parallel</w:t>
      </w:r>
      <w:r>
        <w:t xml:space="preserve">: IBM’s 1990s crisis—mainframe dominance eroding, stock declining 75%—appeared terminal but proved to be signal crisis. IBM pivoted to services and consulting, maintaining relevance through transformation. The US currently faces analogous strategic inflection requiring adaptation rather than presaging collapse.</w:t>
      </w:r>
    </w:p>
    <w:p>
      <w:pPr>
        <w:pStyle w:val="BodyText"/>
      </w:pPr>
      <w:r>
        <w:rPr>
          <w:bCs/>
          <w:b/>
        </w:rPr>
        <w:t xml:space="preserve">Framework connections</w:t>
      </w:r>
      <w:r>
        <w:t xml:space="preserve">:</w:t>
      </w:r>
      <w:r>
        <w:t xml:space="preserve"> </w:t>
      </w:r>
      <w:r>
        <w:t xml:space="preserve">-</w:t>
      </w:r>
      <w:r>
        <w:t xml:space="preserve"> </w:t>
      </w:r>
      <w:r>
        <w:rPr>
          <w:bCs/>
          <w:b/>
        </w:rPr>
        <w:t xml:space="preserve">Arrighi</w:t>
      </w:r>
      <w:r>
        <w:t xml:space="preserve">: Signal crisis phase of systemic cycle, not terminal decline</w:t>
      </w:r>
      <w:r>
        <w:t xml:space="preserve"> </w:t>
      </w:r>
      <w:r>
        <w:t xml:space="preserve">-</w:t>
      </w:r>
      <w:r>
        <w:t xml:space="preserve"> </w:t>
      </w:r>
      <w:r>
        <w:rPr>
          <w:bCs/>
          <w:b/>
        </w:rPr>
        <w:t xml:space="preserve">Tainter</w:t>
      </w:r>
      <w:r>
        <w:t xml:space="preserve">: Complexity costs increasing but marginal returns not yet negative</w:t>
      </w:r>
      <w:r>
        <w:t xml:space="preserve"> </w:t>
      </w:r>
      <w:r>
        <w:t xml:space="preserve">-</w:t>
      </w:r>
      <w:r>
        <w:t xml:space="preserve"> </w:t>
      </w:r>
      <w:r>
        <w:rPr>
          <w:bCs/>
          <w:b/>
        </w:rPr>
        <w:t xml:space="preserve">North/Weingast</w:t>
      </w:r>
      <w:r>
        <w:t xml:space="preserve">: Institutional credible commitment under stress but not failed</w:t>
      </w:r>
      <w:r>
        <w:t xml:space="preserve"> </w:t>
      </w:r>
      <w:r>
        <w:t xml:space="preserve">-</w:t>
      </w:r>
      <w:r>
        <w:t xml:space="preserve"> </w:t>
      </w:r>
      <w:r>
        <w:rPr>
          <w:bCs/>
          <w:b/>
        </w:rPr>
        <w:t xml:space="preserve">Acemoglu/Robinson</w:t>
      </w:r>
      <w:r>
        <w:t xml:space="preserve">: Inclusive institutions challenged but extractive transition not completed</w:t>
      </w:r>
    </w:p>
    <w:p>
      <w:pPr>
        <w:pStyle w:val="BodyText"/>
      </w:pPr>
      <w:r>
        <w:t xml:space="preserve">The evidence supports characterizing 2021-Present as</w:t>
      </w:r>
      <w:r>
        <w:t xml:space="preserve"> </w:t>
      </w:r>
      <w:r>
        <w:rPr>
          <w:bCs/>
          <w:b/>
        </w:rPr>
        <w:t xml:space="preserve">intensified signal crisis with enhanced adaptive response</w:t>
      </w:r>
      <w:r>
        <w:t xml:space="preserve">—the most acute phase of American hegemonic stress since the 1970s, yet demonstrating resilience mechanisms that terminal decline cases lacked.</w:t>
      </w:r>
    </w:p>
    <w:p>
      <w:r>
        <w:pict>
          <v:rect style="width:0;height:1.5pt" o:hralign="center" o:hrstd="t" o:hr="t"/>
        </w:pict>
      </w:r>
    </w:p>
    <w:bookmarkEnd w:id="224"/>
    <w:bookmarkStart w:id="225" w:name="quantitative-summary-table"/>
    <w:p>
      <w:pPr>
        <w:pStyle w:val="Heading2"/>
      </w:pPr>
      <w:r>
        <w:t xml:space="preserve">QUANTITATIVE SUMMARY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Key Metric</w:t>
            </w:r>
          </w:p>
        </w:tc>
        <w:tc>
          <w:tcPr/>
          <w:p>
            <w:pPr>
              <w:pStyle w:val="Compact"/>
              <w:jc w:val="left"/>
            </w:pPr>
            <w:r>
              <w:t xml:space="preserve">Value</w:t>
            </w:r>
          </w:p>
        </w:tc>
        <w:tc>
          <w:tcPr/>
          <w:p>
            <w:pPr>
              <w:pStyle w:val="Compact"/>
              <w:jc w:val="left"/>
            </w:pPr>
            <w:r>
              <w:t xml:space="preserve">Trend</w:t>
            </w:r>
          </w:p>
        </w:tc>
        <w:tc>
          <w:tcPr/>
          <w:p>
            <w:pPr>
              <w:pStyle w:val="Compact"/>
              <w:jc w:val="left"/>
            </w:pPr>
            <w:r>
              <w:t xml:space="preserve">Confidence</w:t>
            </w:r>
          </w:p>
        </w:tc>
      </w:tr>
      <w:tr>
        <w:tc>
          <w:tcPr/>
          <w:p>
            <w:pPr>
              <w:pStyle w:val="Compact"/>
              <w:jc w:val="left"/>
            </w:pPr>
            <w:r>
              <w:t xml:space="preserve">Governance</w:t>
            </w:r>
          </w:p>
        </w:tc>
        <w:tc>
          <w:tcPr/>
          <w:p>
            <w:pPr>
              <w:pStyle w:val="Compact"/>
              <w:jc w:val="left"/>
            </w:pPr>
            <w:r>
              <w:t xml:space="preserve">V-Dem Liberal Democracy</w:t>
            </w:r>
          </w:p>
        </w:tc>
        <w:tc>
          <w:tcPr/>
          <w:p>
            <w:pPr>
              <w:pStyle w:val="Compact"/>
              <w:jc w:val="left"/>
            </w:pPr>
            <w:r>
              <w:t xml:space="preserve">0.75/1.00</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Governance</w:t>
            </w:r>
          </w:p>
        </w:tc>
        <w:tc>
          <w:tcPr/>
          <w:p>
            <w:pPr>
              <w:pStyle w:val="Compact"/>
              <w:jc w:val="left"/>
            </w:pPr>
            <w:r>
              <w:t xml:space="preserve">Bright Line Watch Expert</w:t>
            </w:r>
          </w:p>
        </w:tc>
        <w:tc>
          <w:tcPr/>
          <w:p>
            <w:pPr>
              <w:pStyle w:val="Compact"/>
              <w:jc w:val="left"/>
            </w:pPr>
            <w:r>
              <w:t xml:space="preserve">55/100</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Legal</w:t>
            </w:r>
          </w:p>
        </w:tc>
        <w:tc>
          <w:tcPr/>
          <w:p>
            <w:pPr>
              <w:pStyle w:val="Compact"/>
              <w:jc w:val="left"/>
            </w:pPr>
            <w:r>
              <w:t xml:space="preserve">SCOTUS 6-3 Decisions</w:t>
            </w:r>
          </w:p>
        </w:tc>
        <w:tc>
          <w:tcPr/>
          <w:p>
            <w:pPr>
              <w:pStyle w:val="Compact"/>
              <w:jc w:val="left"/>
            </w:pPr>
            <w:r>
              <w:t xml:space="preserve">4 major</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Military</w:t>
            </w:r>
          </w:p>
        </w:tc>
        <w:tc>
          <w:tcPr/>
          <w:p>
            <w:pPr>
              <w:pStyle w:val="Compact"/>
              <w:jc w:val="left"/>
            </w:pPr>
            <w:r>
              <w:t xml:space="preserve">SIPRI Spending Share</w:t>
            </w:r>
          </w:p>
        </w:tc>
        <w:tc>
          <w:tcPr/>
          <w:p>
            <w:pPr>
              <w:pStyle w:val="Compact"/>
              <w:jc w:val="left"/>
            </w:pPr>
            <w:r>
              <w:t xml:space="preserve">37% global</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Military</w:t>
            </w:r>
          </w:p>
        </w:tc>
        <w:tc>
          <w:tcPr/>
          <w:p>
            <w:pPr>
              <w:pStyle w:val="Compact"/>
              <w:jc w:val="left"/>
            </w:pPr>
            <w:r>
              <w:t xml:space="preserve">Ukraine Aid</w:t>
            </w:r>
          </w:p>
        </w:tc>
        <w:tc>
          <w:tcPr/>
          <w:p>
            <w:pPr>
              <w:pStyle w:val="Compact"/>
              <w:jc w:val="left"/>
            </w:pPr>
            <w:r>
              <w:t xml:space="preserve">$66.9B</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Social</w:t>
            </w:r>
          </w:p>
        </w:tc>
        <w:tc>
          <w:tcPr/>
          <w:p>
            <w:pPr>
              <w:pStyle w:val="Compact"/>
              <w:jc w:val="left"/>
            </w:pPr>
            <w:r>
              <w:t xml:space="preserve">Life Expectancy Gap</w:t>
            </w:r>
          </w:p>
        </w:tc>
        <w:tc>
          <w:tcPr/>
          <w:p>
            <w:pPr>
              <w:pStyle w:val="Compact"/>
              <w:jc w:val="left"/>
            </w:pPr>
            <w:r>
              <w:t xml:space="preserve">4.1 years</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Social</w:t>
            </w:r>
          </w:p>
        </w:tc>
        <w:tc>
          <w:tcPr/>
          <w:p>
            <w:pPr>
              <w:pStyle w:val="Compact"/>
              <w:jc w:val="left"/>
            </w:pPr>
            <w:r>
              <w:t xml:space="preserve">Homelessness</w:t>
            </w:r>
          </w:p>
        </w:tc>
        <w:tc>
          <w:tcPr/>
          <w:p>
            <w:pPr>
              <w:pStyle w:val="Compact"/>
              <w:jc w:val="left"/>
            </w:pPr>
            <w:r>
              <w:t xml:space="preserve">771,480</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Social</w:t>
            </w:r>
          </w:p>
        </w:tc>
        <w:tc>
          <w:tcPr/>
          <w:p>
            <w:pPr>
              <w:pStyle w:val="Compact"/>
              <w:jc w:val="left"/>
            </w:pPr>
            <w:r>
              <w:t xml:space="preserve">Fertility Rate</w:t>
            </w:r>
          </w:p>
        </w:tc>
        <w:tc>
          <w:tcPr/>
          <w:p>
            <w:pPr>
              <w:pStyle w:val="Compact"/>
              <w:jc w:val="left"/>
            </w:pPr>
            <w:r>
              <w:t xml:space="preserve">1.599</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Education</w:t>
            </w:r>
          </w:p>
        </w:tc>
        <w:tc>
          <w:tcPr/>
          <w:p>
            <w:pPr>
              <w:pStyle w:val="Compact"/>
              <w:jc w:val="left"/>
            </w:pPr>
            <w:r>
              <w:t xml:space="preserve">NAEP 8th Math Decline</w:t>
            </w:r>
          </w:p>
        </w:tc>
        <w:tc>
          <w:tcPr/>
          <w:p>
            <w:pPr>
              <w:pStyle w:val="Compact"/>
              <w:jc w:val="left"/>
            </w:pPr>
            <w:r>
              <w:t xml:space="preserve">8 points</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Education</w:t>
            </w:r>
          </w:p>
        </w:tc>
        <w:tc>
          <w:tcPr/>
          <w:p>
            <w:pPr>
              <w:pStyle w:val="Compact"/>
              <w:jc w:val="left"/>
            </w:pPr>
            <w:r>
              <w:t xml:space="preserve">STEM PhD Gap (China:US)</w:t>
            </w:r>
          </w:p>
        </w:tc>
        <w:tc>
          <w:tcPr/>
          <w:p>
            <w:pPr>
              <w:pStyle w:val="Compact"/>
              <w:jc w:val="left"/>
            </w:pPr>
            <w:r>
              <w:t xml:space="preserve">1.5:1</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Cultural</w:t>
            </w:r>
          </w:p>
        </w:tc>
        <w:tc>
          <w:tcPr/>
          <w:p>
            <w:pPr>
              <w:pStyle w:val="Compact"/>
              <w:jc w:val="left"/>
            </w:pPr>
            <w:r>
              <w:t xml:space="preserve">Pew Global Favorable</w:t>
            </w:r>
          </w:p>
        </w:tc>
        <w:tc>
          <w:tcPr/>
          <w:p>
            <w:pPr>
              <w:pStyle w:val="Compact"/>
              <w:jc w:val="left"/>
            </w:pPr>
            <w:r>
              <w:t xml:space="preserve">54% → 49%</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Cultural</w:t>
            </w:r>
          </w:p>
        </w:tc>
        <w:tc>
          <w:tcPr/>
          <w:p>
            <w:pPr>
              <w:pStyle w:val="Compact"/>
              <w:jc w:val="left"/>
            </w:pPr>
            <w:r>
              <w:t xml:space="preserve">Brand Finance Rank</w:t>
            </w:r>
          </w:p>
        </w:tc>
        <w:tc>
          <w:tcPr/>
          <w:p>
            <w:pPr>
              <w:pStyle w:val="Compact"/>
              <w:jc w:val="left"/>
            </w:pPr>
            <w:r>
              <w:t xml:space="preserve">#1 (78.8)</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Technology</w:t>
            </w:r>
          </w:p>
        </w:tc>
        <w:tc>
          <w:tcPr/>
          <w:p>
            <w:pPr>
              <w:pStyle w:val="Compact"/>
              <w:jc w:val="left"/>
            </w:pPr>
            <w:r>
              <w:t xml:space="preserve">AI Investment</w:t>
            </w:r>
          </w:p>
        </w:tc>
        <w:tc>
          <w:tcPr/>
          <w:p>
            <w:pPr>
              <w:pStyle w:val="Compact"/>
              <w:jc w:val="left"/>
            </w:pPr>
            <w:r>
              <w:t xml:space="preserve">$109B (12x China)</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Technology</w:t>
            </w:r>
          </w:p>
        </w:tc>
        <w:tc>
          <w:tcPr/>
          <w:p>
            <w:pPr>
              <w:pStyle w:val="Compact"/>
              <w:jc w:val="left"/>
            </w:pPr>
            <w:r>
              <w:t xml:space="preserve">CHIPS Awards</w:t>
            </w:r>
          </w:p>
        </w:tc>
        <w:tc>
          <w:tcPr/>
          <w:p>
            <w:pPr>
              <w:pStyle w:val="Compact"/>
              <w:jc w:val="left"/>
            </w:pPr>
            <w:r>
              <w:t xml:space="preserve">$33B+</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Intelligence</w:t>
            </w:r>
          </w:p>
        </w:tc>
        <w:tc>
          <w:tcPr/>
          <w:p>
            <w:pPr>
              <w:pStyle w:val="Compact"/>
              <w:jc w:val="left"/>
            </w:pPr>
            <w:r>
              <w:t xml:space="preserve">Ukraine ISR Success</w:t>
            </w:r>
          </w:p>
        </w:tc>
        <w:tc>
          <w:tcPr/>
          <w:p>
            <w:pPr>
              <w:pStyle w:val="Compact"/>
              <w:jc w:val="left"/>
            </w:pPr>
            <w:r>
              <w:t xml:space="preserve">Unprecedented</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Intelligence</w:t>
            </w:r>
          </w:p>
        </w:tc>
        <w:tc>
          <w:tcPr/>
          <w:p>
            <w:pPr>
              <w:pStyle w:val="Compact"/>
              <w:jc w:val="left"/>
            </w:pPr>
            <w:r>
              <w:t xml:space="preserve">Salt Typhoon Impact</w:t>
            </w:r>
          </w:p>
        </w:tc>
        <w:tc>
          <w:tcPr/>
          <w:p>
            <w:pPr>
              <w:pStyle w:val="Compact"/>
              <w:jc w:val="left"/>
            </w:pPr>
            <w:r>
              <w:t xml:space="preserve">190M individuals</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Economic</w:t>
            </w:r>
          </w:p>
        </w:tc>
        <w:tc>
          <w:tcPr/>
          <w:p>
            <w:pPr>
              <w:pStyle w:val="Compact"/>
              <w:jc w:val="left"/>
            </w:pPr>
            <w:r>
              <w:t xml:space="preserve">Inflation (Peak → Current)</w:t>
            </w:r>
          </w:p>
        </w:tc>
        <w:tc>
          <w:tcPr/>
          <w:p>
            <w:pPr>
              <w:pStyle w:val="Compact"/>
              <w:jc w:val="left"/>
            </w:pPr>
            <w:r>
              <w:t xml:space="preserve">9.1% → 2.4%</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Economic</w:t>
            </w:r>
          </w:p>
        </w:tc>
        <w:tc>
          <w:tcPr/>
          <w:p>
            <w:pPr>
              <w:pStyle w:val="Compact"/>
              <w:jc w:val="left"/>
            </w:pPr>
            <w:r>
              <w:t xml:space="preserve">Dollar COFER Share</w:t>
            </w:r>
          </w:p>
        </w:tc>
        <w:tc>
          <w:tcPr/>
          <w:p>
            <w:pPr>
              <w:pStyle w:val="Compact"/>
              <w:jc w:val="left"/>
            </w:pPr>
            <w:r>
              <w:t xml:space="preserve">56.9%</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Economic</w:t>
            </w:r>
          </w:p>
        </w:tc>
        <w:tc>
          <w:tcPr/>
          <w:p>
            <w:pPr>
              <w:pStyle w:val="Compact"/>
              <w:jc w:val="left"/>
            </w:pPr>
            <w:r>
              <w:t xml:space="preserve">Debt-to-GDP</w:t>
            </w:r>
          </w:p>
        </w:tc>
        <w:tc>
          <w:tcPr/>
          <w:p>
            <w:pPr>
              <w:pStyle w:val="Compact"/>
              <w:jc w:val="left"/>
            </w:pPr>
            <w:r>
              <w:t xml:space="preserve">100%</w:t>
            </w:r>
          </w:p>
        </w:tc>
        <w:tc>
          <w:tcPr/>
          <w:p>
            <w:pPr>
              <w:pStyle w:val="Compact"/>
              <w:jc w:val="left"/>
            </w:pPr>
            <w:r>
              <w:t xml:space="preserve">↑</w:t>
            </w:r>
          </w:p>
        </w:tc>
        <w:tc>
          <w:tcPr/>
          <w:p>
            <w:pPr>
              <w:pStyle w:val="Compact"/>
              <w:jc w:val="left"/>
            </w:pPr>
            <w:r>
              <w:t xml:space="preserve">HIGH</w:t>
            </w:r>
          </w:p>
        </w:tc>
      </w:tr>
    </w:tbl>
    <w:p>
      <w:pPr>
        <w:pStyle w:val="BodyText"/>
      </w:pPr>
      <w:r>
        <w:rPr>
          <w:bCs/>
          <w:b/>
        </w:rPr>
        <w:t xml:space="preserve">Named Scholars Cited</w:t>
      </w:r>
      <w:r>
        <w:t xml:space="preserve">: Michael Beckley (Tufts/AEI), Hal Brands (Johns Hopkins SAIS), Stephen Brooks and William Wohlforth (Dartmouth), G. John Ikenberry (Princeton), Adam Tooze (Columbia), Staffan Lindberg (V-Dem/Gothenburg), Brendan Nyhan and John Carey (Dartmouth/Bright Line Watch), Arslanalp, Eichengreen, and Simpson-Bell (IMF), Calder Walton (Harvard Belfer Center), Christopher Wray (FBI), Nan Tian (SIPRI), Keith Poole and Howard Rosenthal (DW-NOMINATE), Zoltan Pozsar (former Credit Suisse).</w:t>
      </w:r>
    </w:p>
    <w:p>
      <w:r>
        <w:pict>
          <v:rect style="width:0;height:1.5pt" o:hralign="center" o:hrstd="t" o:hr="t"/>
        </w:pict>
      </w:r>
    </w:p>
    <w:bookmarkEnd w:id="225"/>
    <w:bookmarkStart w:id="226" w:name="X006e53d4b5bf5e6c64248649dce12be77f0c13d"/>
    <w:p>
      <w:pPr>
        <w:pStyle w:val="Heading2"/>
      </w:pPr>
      <w:r>
        <w:rPr>
          <w:iCs/>
          <w:i/>
        </w:rPr>
        <w:t xml:space="preserve">Research compiled January 17, 2026. Data derived from: IMF COFER, SIPRI, CDC/NCHS, BLS, Federal Reserve, CBO, NCES/NAEP, Pew Research Center, Gallup, V-Dem, Freedom House, EIU, Bright Line Watch, HUD, Census Bureau, CBP, IIE Open Doors, SIA, Kiel Institute, CISA/FBI/NSA, Stanford AI Index, Brand Finance, Arab Barometer, ISEAS, Congressional Research Service, official government sources, and peer-reviewed academic scholarship.</w:t>
      </w:r>
    </w:p>
    <w:bookmarkEnd w:id="226"/>
    <w:bookmarkEnd w:id="227"/>
    <w:bookmarkStart w:id="228" w:name="comprehensive-expansion-research"/>
    <w:p>
      <w:pPr>
        <w:pStyle w:val="Heading1"/>
      </w:pPr>
      <w:r>
        <w:t xml:space="preserve">COMPREHENSIVE EXPANSION RESEARCH</w:t>
      </w:r>
    </w:p>
    <w:p>
      <w:pPr>
        <w:pStyle w:val="FirstParagraph"/>
      </w:pPr>
      <w:r>
        <w:t xml:space="preserve">The following section provides additional PhD-level expansion material for all sub-periods, corporate case studies, theoretical framework deep dives, and cross-empire comparative analysis.</w:t>
      </w:r>
    </w:p>
    <w:bookmarkEnd w:id="228"/>
    <w:bookmarkStart w:id="265" w:name="X54b9f88e8c21bb29727bb1be773a3e788a5832a"/>
    <w:p>
      <w:pPr>
        <w:pStyle w:val="Heading1"/>
      </w:pPr>
      <w:r>
        <w:t xml:space="preserve">Comprehensive Expansion Research for American Hegemony Session 4</w:t>
      </w:r>
    </w:p>
    <w:p>
      <w:pPr>
        <w:pStyle w:val="FirstParagraph"/>
      </w:pPr>
      <w:r>
        <w:t xml:space="preserve">This supplemental research compendium provides PhD-level depth across all domains and periods requested, with exact quantitative data, named scholars, confidence levels, and cross-referenced sources to enable expansion of Session 4 from ~26K to 35K+ words.</w:t>
      </w:r>
    </w:p>
    <w:p>
      <w:r>
        <w:pict>
          <v:rect style="width:0;height:1.5pt" o:hralign="center" o:hrstd="t" o:hr="t"/>
        </w:pict>
      </w:r>
    </w:p>
    <w:bookmarkStart w:id="232" w:name="X97026edad1111f12277fb9d90f8ac4a58f8ea93"/>
    <w:p>
      <w:pPr>
        <w:pStyle w:val="Heading2"/>
      </w:pPr>
      <w:r>
        <w:t xml:space="preserve">Section 1: Sub-Period I (2008-2016) Expansion</w:t>
      </w:r>
    </w:p>
    <w:bookmarkStart w:id="229" w:name="governance-domain"/>
    <w:p>
      <w:pPr>
        <w:pStyle w:val="Heading3"/>
      </w:pPr>
      <w:r>
        <w:t xml:space="preserve">Governance Domain</w:t>
      </w:r>
    </w:p>
    <w:p>
      <w:pPr>
        <w:pStyle w:val="FirstParagraph"/>
      </w:pPr>
      <w:r>
        <w:rPr>
          <w:bCs/>
          <w:b/>
        </w:rPr>
        <w:t xml:space="preserve">Obama Executive Orders 2009-2016</w:t>
      </w:r>
    </w:p>
    <w:p>
      <w:pPr>
        <w:pStyle w:val="BodyText"/>
      </w:pPr>
      <w:r>
        <w:t xml:space="preserve">President Obama issued</w:t>
      </w:r>
      <w:r>
        <w:t xml:space="preserve"> </w:t>
      </w:r>
      <w:r>
        <w:rPr>
          <w:bCs/>
          <w:b/>
        </w:rPr>
        <w:t xml:space="preserve">276-277 executive orders</w:t>
      </w:r>
      <w:r>
        <w:t xml:space="preserve"> </w:t>
      </w:r>
      <w:r>
        <w:t xml:space="preserve">across his two terms—the lowest average since Grover Cleveland at</w:t>
      </w:r>
      <w:r>
        <w:t xml:space="preserve"> </w:t>
      </w:r>
      <w:r>
        <w:rPr>
          <w:bCs/>
          <w:b/>
        </w:rPr>
        <w:t xml:space="preserve">35 per year</w:t>
      </w:r>
      <w:r>
        <w:t xml:space="preserve">. The yearly breakdown shows variation: 40 (2009), 35 (2010), 34 (2011), 38 (2012), 20 (2013), 31 (2014), 29 (2015), and 42 (2016). This compares to George W. Bush’s 291 EOs (36/year), Clinton’s 364 (45.5/year), and Reagan’s 381 (48/year). Major policy actions like DACA (June 15, 2012) were technically DHS memoranda rather than formal executive orders, benefiting approximately</w:t>
      </w:r>
      <w:r>
        <w:t xml:space="preserve"> </w:t>
      </w:r>
      <w:r>
        <w:rPr>
          <w:bCs/>
          <w:b/>
        </w:rPr>
        <w:t xml:space="preserve">700,000-800,000</w:t>
      </w:r>
      <w:r>
        <w:t xml:space="preserve"> </w:t>
      </w:r>
      <w:r>
        <w:t xml:space="preserve">recipients. The expanded DAPA program (November 20, 2014), which would have covered</w:t>
      </w:r>
      <w:r>
        <w:t xml:space="preserve"> </w:t>
      </w:r>
      <w:r>
        <w:rPr>
          <w:bCs/>
          <w:b/>
        </w:rPr>
        <w:t xml:space="preserve">4.3 million</w:t>
      </w:r>
      <w:r>
        <w:t xml:space="preserve"> </w:t>
      </w:r>
      <w:r>
        <w:t xml:space="preserve">parents of U.S. citizens, was blocked by courts in</w:t>
      </w:r>
      <w:r>
        <w:t xml:space="preserve"> </w:t>
      </w:r>
      <w:r>
        <w:rPr>
          <w:iCs/>
          <w:i/>
        </w:rPr>
        <w:t xml:space="preserve">Texas v. United States</w:t>
      </w:r>
      <w:r>
        <w:t xml:space="preserve">, with the Supreme Court affirming 4-4 on June 23, 2016 due to the Scalia vacancy.</w:t>
      </w:r>
    </w:p>
    <w:p>
      <w:pPr>
        <w:pStyle w:val="BodyText"/>
      </w:pPr>
      <w:r>
        <w:rPr>
          <w:bCs/>
          <w:b/>
        </w:rPr>
        <w:t xml:space="preserve">Congressional Polarization: DW-NOMINATE Scores</w:t>
      </w:r>
    </w:p>
    <w:p>
      <w:pPr>
        <w:pStyle w:val="BodyText"/>
      </w:pPr>
      <w:r>
        <w:t xml:space="preserve">The 111th through 114th Congresses witnessed polarization reaching post-Reconstruction highs. By 2014-2016, DW-NOMINATE analysis revealed</w:t>
      </w:r>
      <w:r>
        <w:t xml:space="preserve"> </w:t>
      </w:r>
      <w:r>
        <w:rPr>
          <w:bCs/>
          <w:b/>
        </w:rPr>
        <w:t xml:space="preserve">zero overlap</w:t>
      </w:r>
      <w:r>
        <w:t xml:space="preserve"> </w:t>
      </w:r>
      <w:r>
        <w:t xml:space="preserve">between parties—the most liberal Republican was more conservative than the most conservative Democrat. The 113th House (2013-2014) became the</w:t>
      </w:r>
      <w:r>
        <w:t xml:space="preserve"> </w:t>
      </w:r>
      <w:r>
        <w:rPr>
          <w:bCs/>
          <w:b/>
        </w:rPr>
        <w:t xml:space="preserve">most polarized chamber since Reconstruction</w:t>
      </w:r>
      <w:r>
        <w:t xml:space="preserve">, with single-dimension voting explaining</w:t>
      </w:r>
      <w:r>
        <w:t xml:space="preserve"> </w:t>
      </w:r>
      <w:r>
        <w:rPr>
          <w:bCs/>
          <w:b/>
        </w:rPr>
        <w:t xml:space="preserve">93%</w:t>
      </w:r>
      <w:r>
        <w:t xml:space="preserve"> </w:t>
      </w:r>
      <w:r>
        <w:t xml:space="preserve">of roll call votes. Democratic Party median (113th House):</w:t>
      </w:r>
      <w:r>
        <w:t xml:space="preserve"> </w:t>
      </w:r>
      <w:r>
        <w:rPr>
          <w:bCs/>
          <w:b/>
        </w:rPr>
        <w:t xml:space="preserve">-1.317</w:t>
      </w:r>
      <w:r>
        <w:t xml:space="preserve">; Republican Party median:</w:t>
      </w:r>
      <w:r>
        <w:t xml:space="preserve"> </w:t>
      </w:r>
      <w:r>
        <w:rPr>
          <w:bCs/>
          <w:b/>
        </w:rPr>
        <w:t xml:space="preserve">0.993</w:t>
      </w:r>
      <w:r>
        <w:t xml:space="preserve">. Key scholars</w:t>
      </w:r>
      <w:r>
        <w:t xml:space="preserve"> </w:t>
      </w:r>
      <w:r>
        <w:rPr>
          <w:bCs/>
          <w:b/>
        </w:rPr>
        <w:t xml:space="preserve">Keith T. Poole</w:t>
      </w:r>
      <w:r>
        <w:t xml:space="preserve"> </w:t>
      </w:r>
      <w:r>
        <w:t xml:space="preserve">(University of Georgia),</w:t>
      </w:r>
      <w:r>
        <w:t xml:space="preserve"> </w:t>
      </w:r>
      <w:r>
        <w:rPr>
          <w:bCs/>
          <w:b/>
        </w:rPr>
        <w:t xml:space="preserve">Howard Rosenthal</w:t>
      </w:r>
      <w:r>
        <w:t xml:space="preserve"> </w:t>
      </w:r>
      <w:r>
        <w:t xml:space="preserve">(NYU), and</w:t>
      </w:r>
      <w:r>
        <w:t xml:space="preserve"> </w:t>
      </w:r>
      <w:r>
        <w:rPr>
          <w:bCs/>
          <w:b/>
        </w:rPr>
        <w:t xml:space="preserve">Nolan McCarty</w:t>
      </w:r>
      <w:r>
        <w:t xml:space="preserve"> </w:t>
      </w:r>
      <w:r>
        <w:t xml:space="preserve">(Princeton) documented that polarization has been</w:t>
      </w:r>
      <w:r>
        <w:t xml:space="preserve"> </w:t>
      </w:r>
      <w:r>
        <w:rPr>
          <w:bCs/>
          <w:b/>
        </w:rPr>
        <w:t xml:space="preserve">asymmetric</w:t>
      </w:r>
      <w:r>
        <w:t xml:space="preserve">—Republicans moved further right than Democrats moved left (Hare et al., 2012). Their seminal work</w:t>
      </w:r>
      <w:r>
        <w:t xml:space="preserve"> </w:t>
      </w:r>
      <w:r>
        <w:rPr>
          <w:iCs/>
          <w:i/>
        </w:rPr>
        <w:t xml:space="preserve">Polarized America: The Dance of Ideology and Unequal Riches</w:t>
      </w:r>
      <w:r>
        <w:t xml:space="preserve"> </w:t>
      </w:r>
      <w:r>
        <w:t xml:space="preserve">(MIT Press, 2006; updated 2016) remains the definitive analysis.</w:t>
      </w:r>
    </w:p>
    <w:p>
      <w:pPr>
        <w:pStyle w:val="BodyText"/>
      </w:pPr>
      <w:r>
        <w:rPr>
          <w:bCs/>
          <w:b/>
        </w:rPr>
        <w:t xml:space="preserve">Merrick Garland Nomination Blockade</w:t>
      </w:r>
    </w:p>
    <w:p>
      <w:pPr>
        <w:pStyle w:val="BodyText"/>
      </w:pPr>
      <w:r>
        <w:t xml:space="preserve">Justice Antonin Scalia died</w:t>
      </w:r>
      <w:r>
        <w:t xml:space="preserve"> </w:t>
      </w:r>
      <w:r>
        <w:rPr>
          <w:bCs/>
          <w:b/>
        </w:rPr>
        <w:t xml:space="preserve">February 13, 2016</w:t>
      </w:r>
      <w:r>
        <w:t xml:space="preserve">. Within hours, McConnell announced opposition to any Obama nominee. The 11 Republican Judiciary Committee members signed a letter refusing hearings on February 23, 2016. Obama nominated Merrick Garland on</w:t>
      </w:r>
      <w:r>
        <w:t xml:space="preserve"> </w:t>
      </w:r>
      <w:r>
        <w:rPr>
          <w:bCs/>
          <w:b/>
        </w:rPr>
        <w:t xml:space="preserve">March 16, 2016</w:t>
      </w:r>
      <w:r>
        <w:t xml:space="preserve">. The vacancy lasted</w:t>
      </w:r>
      <w:r>
        <w:t xml:space="preserve"> </w:t>
      </w:r>
      <w:r>
        <w:rPr>
          <w:bCs/>
          <w:b/>
        </w:rPr>
        <w:t xml:space="preserve">293 days</w:t>
      </w:r>
      <w:r>
        <w:t xml:space="preserve"> </w:t>
      </w:r>
      <w:r>
        <w:t xml:space="preserve">without hearing, committee vote, or floor vote—breaking a 100-year record on July 20, 2016 (125 days). Constitutional scholars</w:t>
      </w:r>
      <w:r>
        <w:t xml:space="preserve"> </w:t>
      </w:r>
      <w:r>
        <w:rPr>
          <w:bCs/>
          <w:b/>
        </w:rPr>
        <w:t xml:space="preserve">Robin Kar and Jason Mazzone</w:t>
      </w:r>
      <w:r>
        <w:t xml:space="preserve"> </w:t>
      </w:r>
      <w:r>
        <w:t xml:space="preserve">(2016, NYU Law Review Online) found</w:t>
      </w:r>
      <w:r>
        <w:t xml:space="preserve"> </w:t>
      </w:r>
      <w:r>
        <w:rPr>
          <w:bCs/>
          <w:b/>
        </w:rPr>
        <w:t xml:space="preserve">103 prior cases</w:t>
      </w:r>
      <w:r>
        <w:t xml:space="preserve"> </w:t>
      </w:r>
      <w:r>
        <w:t xml:space="preserve">where elected presidents faced vacancies and began appointments before successor elections—all 103 resulted in confirmed justices. Only 6 prior cases of deliberate transfer involved</w:t>
      </w:r>
      <w:r>
        <w:t xml:space="preserve"> </w:t>
      </w:r>
      <w:r>
        <w:t xml:space="preserve">“</w:t>
      </w:r>
      <w:r>
        <w:t xml:space="preserve">contemporaneous questions about status of nominating President.</w:t>
      </w:r>
      <w:r>
        <w:t xml:space="preserve">”</w:t>
      </w:r>
      <w:r>
        <w:t xml:space="preserve"> </w:t>
      </w:r>
      <w:r>
        <w:rPr>
          <w:bCs/>
          <w:b/>
        </w:rPr>
        <w:t xml:space="preserve">Russell Wheeler</w:t>
      </w:r>
      <w:r>
        <w:t xml:space="preserve"> </w:t>
      </w:r>
      <w:r>
        <w:t xml:space="preserve">(Brookings, 2020) documented McConnell’s</w:t>
      </w:r>
      <w:r>
        <w:t xml:space="preserve"> </w:t>
      </w:r>
      <w:r>
        <w:t xml:space="preserve">“</w:t>
      </w:r>
      <w:r>
        <w:t xml:space="preserve">fabricated history</w:t>
      </w:r>
      <w:r>
        <w:t xml:space="preserve">”</w:t>
      </w:r>
      <w:r>
        <w:t xml:space="preserve">—nine post-Civil War election-year vacancies were all filled in the election year.</w:t>
      </w:r>
    </w:p>
    <w:p>
      <w:pPr>
        <w:pStyle w:val="BodyText"/>
      </w:pPr>
      <w:r>
        <w:rPr>
          <w:bCs/>
          <w:b/>
        </w:rPr>
        <w:t xml:space="preserve">State-Level Partisan Sorting</w:t>
      </w:r>
    </w:p>
    <w:p>
      <w:pPr>
        <w:pStyle w:val="BodyText"/>
      </w:pPr>
      <w:r>
        <w:t xml:space="preserve">The Republican State Leadership Committee’s</w:t>
      </w:r>
      <w:r>
        <w:t xml:space="preserve"> </w:t>
      </w:r>
      <w:r>
        <w:rPr>
          <w:bCs/>
          <w:b/>
        </w:rPr>
        <w:t xml:space="preserve">REDMAP</w:t>
      </w:r>
      <w:r>
        <w:t xml:space="preserve"> </w:t>
      </w:r>
      <w:r>
        <w:t xml:space="preserve">(Redistricting Majority Project) invested approximately</w:t>
      </w:r>
      <w:r>
        <w:t xml:space="preserve"> </w:t>
      </w:r>
      <w:r>
        <w:rPr>
          <w:bCs/>
          <w:b/>
        </w:rPr>
        <w:t xml:space="preserve">$30 million</w:t>
      </w:r>
      <w:r>
        <w:t xml:space="preserve"> </w:t>
      </w:r>
      <w:r>
        <w:t xml:space="preserve">targeting 107 races in 16 states. Results: Republicans gained</w:t>
      </w:r>
      <w:r>
        <w:t xml:space="preserve"> </w:t>
      </w:r>
      <w:r>
        <w:rPr>
          <w:bCs/>
          <w:b/>
        </w:rPr>
        <w:t xml:space="preserve">675 legislative seats</w:t>
      </w:r>
      <w:r>
        <w:t xml:space="preserve"> </w:t>
      </w:r>
      <w:r>
        <w:t xml:space="preserve">nationwide in 2010, flipping</w:t>
      </w:r>
      <w:r>
        <w:t xml:space="preserve"> </w:t>
      </w:r>
      <w:r>
        <w:rPr>
          <w:bCs/>
          <w:b/>
        </w:rPr>
        <w:t xml:space="preserve">20 state legislative chambers</w:t>
      </w:r>
      <w:r>
        <w:t xml:space="preserve">. Pre-2010: GOP controlled 36 state legislative bodies. Post-2010: GOP controlled</w:t>
      </w:r>
      <w:r>
        <w:t xml:space="preserve"> </w:t>
      </w:r>
      <w:r>
        <w:rPr>
          <w:bCs/>
          <w:b/>
        </w:rPr>
        <w:t xml:space="preserve">56</w:t>
      </w:r>
      <w:r>
        <w:t xml:space="preserve">. By 2016, Republicans controlled</w:t>
      </w:r>
      <w:r>
        <w:t xml:space="preserve"> </w:t>
      </w:r>
      <w:r>
        <w:rPr>
          <w:bCs/>
          <w:b/>
        </w:rPr>
        <w:t xml:space="preserve">32 state legislatures</w:t>
      </w:r>
      <w:r>
        <w:t xml:space="preserve"> </w:t>
      </w:r>
      <w:r>
        <w:t xml:space="preserve">(unified) versus Democrats’ 14. The 2012 results demonstrated REDMAP’s effectiveness: Pennsylvania Democrats won</w:t>
      </w:r>
      <w:r>
        <w:t xml:space="preserve"> </w:t>
      </w:r>
      <w:r>
        <w:rPr>
          <w:bCs/>
          <w:b/>
        </w:rPr>
        <w:t xml:space="preserve">51% of statewide vote</w:t>
      </w:r>
      <w:r>
        <w:t xml:space="preserve"> </w:t>
      </w:r>
      <w:r>
        <w:t xml:space="preserve">but only</w:t>
      </w:r>
      <w:r>
        <w:t xml:space="preserve"> </w:t>
      </w:r>
      <w:r>
        <w:rPr>
          <w:bCs/>
          <w:b/>
        </w:rPr>
        <w:t xml:space="preserve">28% of seats</w:t>
      </w:r>
      <w:r>
        <w:t xml:space="preserve">; nationally, Democrats won</w:t>
      </w:r>
      <w:r>
        <w:t xml:space="preserve"> </w:t>
      </w:r>
      <w:r>
        <w:rPr>
          <w:bCs/>
          <w:b/>
        </w:rPr>
        <w:t xml:space="preserve">1.4 million more votes</w:t>
      </w:r>
      <w:r>
        <w:t xml:space="preserve"> </w:t>
      </w:r>
      <w:r>
        <w:t xml:space="preserve">but Republicans won a</w:t>
      </w:r>
      <w:r>
        <w:t xml:space="preserve"> </w:t>
      </w:r>
      <w:r>
        <w:rPr>
          <w:bCs/>
          <w:b/>
        </w:rPr>
        <w:t xml:space="preserve">33-seat majority</w:t>
      </w:r>
      <w:r>
        <w:t xml:space="preserve">. David Daley’s *Ratf**ked* (2016) provides the definitive account.</w:t>
      </w:r>
    </w:p>
    <w:p>
      <w:pPr>
        <w:pStyle w:val="BodyText"/>
      </w:pPr>
      <w:r>
        <w:rPr>
          <w:bCs/>
          <w:b/>
        </w:rPr>
        <w:t xml:space="preserve">Major Supreme Court Decisions</w:t>
      </w:r>
    </w:p>
    <w:p>
      <w:pPr>
        <w:pStyle w:val="BodyText"/>
      </w:pPr>
      <w:r>
        <w:rPr>
          <w:iCs/>
          <w:i/>
        </w:rPr>
        <w:t xml:space="preserve">Citizens United v. FEC</w:t>
      </w:r>
      <w:r>
        <w:t xml:space="preserve"> </w:t>
      </w:r>
      <w:r>
        <w:t xml:space="preserve">(January 21, 2010): 5-4 decision (Kennedy, Roberts, Scalia, Thomas, Alito majority) holding corporations have First Amendment speech rights and striking down BCRA §441b’s ban on corporate independent expenditures. Subsequent Super PAC formation via</w:t>
      </w:r>
      <w:r>
        <w:t xml:space="preserve"> </w:t>
      </w:r>
      <w:r>
        <w:rPr>
          <w:iCs/>
          <w:i/>
        </w:rPr>
        <w:t xml:space="preserve">SpeechNow.org v. FEC</w:t>
      </w:r>
      <w:r>
        <w:t xml:space="preserve"> </w:t>
      </w:r>
      <w:r>
        <w:t xml:space="preserve">(March 2010) drove outside spending from</w:t>
      </w:r>
      <w:r>
        <w:t xml:space="preserve"> </w:t>
      </w:r>
      <w:r>
        <w:rPr>
          <w:bCs/>
          <w:b/>
        </w:rPr>
        <w:t xml:space="preserve">$574 million</w:t>
      </w:r>
      <w:r>
        <w:t xml:space="preserve"> </w:t>
      </w:r>
      <w:r>
        <w:t xml:space="preserve">(2008) to</w:t>
      </w:r>
      <w:r>
        <w:t xml:space="preserve"> </w:t>
      </w:r>
      <w:r>
        <w:rPr>
          <w:bCs/>
          <w:b/>
        </w:rPr>
        <w:t xml:space="preserve">$1.3 billion</w:t>
      </w:r>
      <w:r>
        <w:t xml:space="preserve"> </w:t>
      </w:r>
      <w:r>
        <w:t xml:space="preserve">(2012) to</w:t>
      </w:r>
      <w:r>
        <w:t xml:space="preserve"> </w:t>
      </w:r>
      <w:r>
        <w:rPr>
          <w:bCs/>
          <w:b/>
        </w:rPr>
        <w:t xml:space="preserve">$3.3 billion</w:t>
      </w:r>
      <w:r>
        <w:t xml:space="preserve"> </w:t>
      </w:r>
      <w:r>
        <w:t xml:space="preserve">(2020).</w:t>
      </w:r>
    </w:p>
    <w:p>
      <w:pPr>
        <w:pStyle w:val="BodyText"/>
      </w:pPr>
      <w:r>
        <w:rPr>
          <w:iCs/>
          <w:i/>
        </w:rPr>
        <w:t xml:space="preserve">Shelby County v. Holder</w:t>
      </w:r>
      <w:r>
        <w:t xml:space="preserve"> </w:t>
      </w:r>
      <w:r>
        <w:t xml:space="preserve">(June 25, 2013): 5-4 decision (Roberts majority) striking Section 4(b) coverage formula as unconstitutional, rendering Section 5 preclearance inoperable. Same-day aftermath: Texas announced voter ID law implementation; North Carolina legislature announced omnibus voting restrictions June 26. By 2019, 19 states had implemented restrictive measures. Ginsburg’s dissent: ending preclearance was</w:t>
      </w:r>
      <w:r>
        <w:t xml:space="preserve"> </w:t>
      </w:r>
      <w:r>
        <w:t xml:space="preserve">“</w:t>
      </w:r>
      <w:r>
        <w:t xml:space="preserve">like throwing away your umbrella in a rainstorm because you are not getting wet.</w:t>
      </w:r>
      <w:r>
        <w:t xml:space="preserve">”</w:t>
      </w:r>
    </w:p>
    <w:p>
      <w:pPr>
        <w:pStyle w:val="BodyText"/>
      </w:pPr>
      <w:r>
        <w:rPr>
          <w:iCs/>
          <w:i/>
        </w:rPr>
        <w:t xml:space="preserve">Obergefell v. Hodges</w:t>
      </w:r>
      <w:r>
        <w:t xml:space="preserve"> </w:t>
      </w:r>
      <w:r>
        <w:t xml:space="preserve">(June 26, 2015): 5-4 decision (Kennedy majority) establishing constitutional right to same-sex marriage under Due Process and Equal Protection clauses.</w:t>
      </w:r>
    </w:p>
    <w:p>
      <w:pPr>
        <w:pStyle w:val="BodyText"/>
      </w:pPr>
      <w:r>
        <w:rPr>
          <w:iCs/>
          <w:i/>
        </w:rPr>
        <w:t xml:space="preserve">NFIB v. Sebelius</w:t>
      </w:r>
      <w:r>
        <w:t xml:space="preserve"> </w:t>
      </w:r>
      <w:r>
        <w:t xml:space="preserve">(June 28, 2012): Complex split—individual mandate upheld 5-4 under Taxing Power (Roberts joining liberals) while Medicaid expansion enforcement mechanism ruled unconstitutionally coercive 7-2 (Roberts, Scalia, Kennedy, Thomas, Breyer, Alito, Kagan). Result: Medicaid expansion became effectively</w:t>
      </w:r>
      <w:r>
        <w:t xml:space="preserve"> </w:t>
      </w:r>
      <w:r>
        <w:rPr>
          <w:bCs/>
          <w:b/>
        </w:rPr>
        <w:t xml:space="preserve">optional</w:t>
      </w:r>
      <w:r>
        <w:t xml:space="preserve"> </w:t>
      </w:r>
      <w:r>
        <w:t xml:space="preserve">for states.</w:t>
      </w:r>
    </w:p>
    <w:p>
      <w:pPr>
        <w:pStyle w:val="BodyText"/>
      </w:pPr>
      <w:r>
        <w:rPr>
          <w:iCs/>
          <w:i/>
        </w:rPr>
        <w:t xml:space="preserve">King v. Burwell</w:t>
      </w:r>
      <w:r>
        <w:t xml:space="preserve"> </w:t>
      </w:r>
      <w:r>
        <w:t xml:space="preserve">(June 25, 2015): 6-3 decision (Roberts majority) preserving ACA subsidies for approximately</w:t>
      </w:r>
      <w:r>
        <w:t xml:space="preserve"> </w:t>
      </w:r>
      <w:r>
        <w:rPr>
          <w:bCs/>
          <w:b/>
        </w:rPr>
        <w:t xml:space="preserve">6.4 million</w:t>
      </w:r>
      <w:r>
        <w:t xml:space="preserve"> </w:t>
      </w:r>
      <w:r>
        <w:t xml:space="preserve">people in 34 states using the federal exchange.</w:t>
      </w:r>
    </w:p>
    <w:p>
      <w:pPr>
        <w:pStyle w:val="BodyText"/>
      </w:pPr>
      <w:r>
        <w:rPr>
          <w:bCs/>
          <w:b/>
        </w:rPr>
        <w:t xml:space="preserve">Confidence level: HIGH</w:t>
      </w:r>
      <w:r>
        <w:t xml:space="preserve"> </w:t>
      </w:r>
      <w:r>
        <w:t xml:space="preserve">for all governance data—official court records, Federal Register, Voteview academic databases.</w:t>
      </w:r>
    </w:p>
    <w:p>
      <w:r>
        <w:pict>
          <v:rect style="width:0;height:1.5pt" o:hralign="center" o:hrstd="t" o:hr="t"/>
        </w:pict>
      </w:r>
    </w:p>
    <w:bookmarkEnd w:id="229"/>
    <w:bookmarkStart w:id="230" w:name="financial-domain"/>
    <w:p>
      <w:pPr>
        <w:pStyle w:val="Heading3"/>
      </w:pPr>
      <w:r>
        <w:t xml:space="preserve">Financial Domain</w:t>
      </w:r>
    </w:p>
    <w:p>
      <w:pPr>
        <w:pStyle w:val="FirstParagraph"/>
      </w:pPr>
      <w:r>
        <w:rPr>
          <w:bCs/>
          <w:b/>
        </w:rPr>
        <w:t xml:space="preserve">Fed Balance Sheet: QE Programs</w:t>
      </w:r>
    </w:p>
    <w:p>
      <w:pPr>
        <w:pStyle w:val="BodyText"/>
      </w:pPr>
      <w:r>
        <w:t xml:space="preserve">Pre-crisis balance sheet:</w:t>
      </w:r>
      <w:r>
        <w:t xml:space="preserve"> </w:t>
      </w:r>
      <w:r>
        <w:rPr>
          <w:bCs/>
          <w:b/>
        </w:rPr>
        <w:t xml:space="preserve">~$882-900 billion</w:t>
      </w:r>
      <w:r>
        <w:t xml:space="preserve"> </w:t>
      </w:r>
      <w:r>
        <w:t xml:space="preserve">(August 2008).</w:t>
      </w:r>
    </w:p>
    <w:p>
      <w:pPr>
        <w:pStyle w:val="BodyText"/>
      </w:pPr>
      <w:r>
        <w:rPr>
          <w:bCs/>
          <w:b/>
        </w:rPr>
        <w:t xml:space="preserve">QE1</w:t>
      </w:r>
      <w:r>
        <w:t xml:space="preserve"> </w:t>
      </w:r>
      <w:r>
        <w:t xml:space="preserve">(December 2008 - March 2010):</w:t>
      </w:r>
      <w:r>
        <w:t xml:space="preserve"> </w:t>
      </w:r>
      <w:r>
        <w:rPr>
          <w:bCs/>
          <w:b/>
        </w:rPr>
        <w:t xml:space="preserve">~$1.75 trillion</w:t>
      </w:r>
      <w:r>
        <w:t xml:space="preserve"> </w:t>
      </w:r>
      <w:r>
        <w:t xml:space="preserve">total asset purchases comprising $1.25 trillion MBS, $175-200 billion agency debt, and $300 billion long-term Treasuries. Balance sheet reached</w:t>
      </w:r>
      <w:r>
        <w:t xml:space="preserve"> </w:t>
      </w:r>
      <w:r>
        <w:rPr>
          <w:bCs/>
          <w:b/>
        </w:rPr>
        <w:t xml:space="preserve">$2.1 trillion</w:t>
      </w:r>
      <w:r>
        <w:t xml:space="preserve"> </w:t>
      </w:r>
      <w:r>
        <w:t xml:space="preserve">by June 2010.</w:t>
      </w:r>
    </w:p>
    <w:p>
      <w:pPr>
        <w:pStyle w:val="BodyText"/>
      </w:pPr>
      <w:r>
        <w:rPr>
          <w:bCs/>
          <w:b/>
        </w:rPr>
        <w:t xml:space="preserve">QE2</w:t>
      </w:r>
      <w:r>
        <w:t xml:space="preserve"> </w:t>
      </w:r>
      <w:r>
        <w:t xml:space="preserve">(November 3, 2010 - June 2011):</w:t>
      </w:r>
      <w:r>
        <w:t xml:space="preserve"> </w:t>
      </w:r>
      <w:r>
        <w:rPr>
          <w:bCs/>
          <w:b/>
        </w:rPr>
        <w:t xml:space="preserve">$600 billion</w:t>
      </w:r>
      <w:r>
        <w:t xml:space="preserve"> </w:t>
      </w:r>
      <w:r>
        <w:t xml:space="preserve">in long-term Treasuries at $75 billion monthly.</w:t>
      </w:r>
    </w:p>
    <w:p>
      <w:pPr>
        <w:pStyle w:val="BodyText"/>
      </w:pPr>
      <w:r>
        <w:rPr>
          <w:bCs/>
          <w:b/>
        </w:rPr>
        <w:t xml:space="preserve">Operation Twist</w:t>
      </w:r>
      <w:r>
        <w:t xml:space="preserve"> </w:t>
      </w:r>
      <w:r>
        <w:t xml:space="preserve">(September 2011 - December 2012): Budget-neutral swap of</w:t>
      </w:r>
      <w:r>
        <w:t xml:space="preserve"> </w:t>
      </w:r>
      <w:r>
        <w:rPr>
          <w:bCs/>
          <w:b/>
        </w:rPr>
        <w:t xml:space="preserve">&gt;$600 billion</w:t>
      </w:r>
      <w:r>
        <w:t xml:space="preserve">—purchases of 6-30 year Treasuries financed by sales of ≤3 year securities.</w:t>
      </w:r>
    </w:p>
    <w:p>
      <w:pPr>
        <w:pStyle w:val="BodyText"/>
      </w:pPr>
      <w:r>
        <w:rPr>
          <w:bCs/>
          <w:b/>
        </w:rPr>
        <w:t xml:space="preserve">QE3</w:t>
      </w:r>
      <w:r>
        <w:t xml:space="preserve"> </w:t>
      </w:r>
      <w:r>
        <w:t xml:space="preserve">(September 13, 2012 - October 2014): Open-ended program beginning at</w:t>
      </w:r>
      <w:r>
        <w:t xml:space="preserve"> </w:t>
      </w:r>
      <w:r>
        <w:rPr>
          <w:bCs/>
          <w:b/>
        </w:rPr>
        <w:t xml:space="preserve">$85 billion monthly</w:t>
      </w:r>
      <w:r>
        <w:t xml:space="preserve"> </w:t>
      </w:r>
      <w:r>
        <w:t xml:space="preserve">($40B MBS + $45B Treasuries). Taper announced December 2013, reducing to $75 billion monthly, with gradual reduction through October 2014.</w:t>
      </w:r>
    </w:p>
    <w:p>
      <w:pPr>
        <w:pStyle w:val="BodyText"/>
      </w:pPr>
      <w:r>
        <w:t xml:space="preserve">Balance sheet peak:</w:t>
      </w:r>
      <w:r>
        <w:t xml:space="preserve"> </w:t>
      </w:r>
      <w:r>
        <w:rPr>
          <w:bCs/>
          <w:b/>
        </w:rPr>
        <w:t xml:space="preserve">$4.473-4.5 trillion</w:t>
      </w:r>
      <w:r>
        <w:t xml:space="preserve"> </w:t>
      </w:r>
      <w:r>
        <w:t xml:space="preserve">(October 2014)—approximately</w:t>
      </w:r>
      <w:r>
        <w:t xml:space="preserve"> </w:t>
      </w:r>
      <w:r>
        <w:rPr>
          <w:bCs/>
          <w:b/>
        </w:rPr>
        <w:t xml:space="preserve">5x pre-crisis level</w:t>
      </w:r>
      <w:r>
        <w:t xml:space="preserve">.</w:t>
      </w:r>
    </w:p>
    <w:p>
      <w:pPr>
        <w:pStyle w:val="BodyText"/>
      </w:pPr>
      <w:r>
        <w:rPr>
          <w:bCs/>
          <w:b/>
        </w:rPr>
        <w:t xml:space="preserve">Dodd-Frank Provisions</w:t>
      </w:r>
    </w:p>
    <w:p>
      <w:pPr>
        <w:pStyle w:val="BodyText"/>
      </w:pPr>
      <w:r>
        <w:t xml:space="preserve">Enacted July 21, 2010.</w:t>
      </w:r>
      <w:r>
        <w:t xml:space="preserve"> </w:t>
      </w:r>
      <w:r>
        <w:rPr>
          <w:bCs/>
          <w:b/>
        </w:rPr>
        <w:t xml:space="preserve">Volcker Rule</w:t>
      </w:r>
      <w:r>
        <w:t xml:space="preserve"> </w:t>
      </w:r>
      <w:r>
        <w:t xml:space="preserve">(Section 619) implementation: final rule approved December 2013 by five agencies; banks required to stop proprietary trading by December 2014.</w:t>
      </w:r>
      <w:r>
        <w:t xml:space="preserve"> </w:t>
      </w:r>
      <w:r>
        <w:rPr>
          <w:bCs/>
          <w:b/>
        </w:rPr>
        <w:t xml:space="preserve">CFPB</w:t>
      </w:r>
      <w:r>
        <w:t xml:space="preserve"> </w:t>
      </w:r>
      <w:r>
        <w:t xml:space="preserve">established July 2011; first director Richard Cordray appointed via recess appointment January 4, 2012, Senate-confirmed July 16, 2013. Enforcement record (2011-2017): returned</w:t>
      </w:r>
      <w:r>
        <w:t xml:space="preserve"> </w:t>
      </w:r>
      <w:r>
        <w:rPr>
          <w:bCs/>
          <w:b/>
        </w:rPr>
        <w:t xml:space="preserve">~$12 billion</w:t>
      </w:r>
      <w:r>
        <w:t xml:space="preserve"> </w:t>
      </w:r>
      <w:r>
        <w:t xml:space="preserve">to 29 million consumers and imposed</w:t>
      </w:r>
      <w:r>
        <w:t xml:space="preserve"> </w:t>
      </w:r>
      <w:r>
        <w:rPr>
          <w:bCs/>
          <w:b/>
        </w:rPr>
        <w:t xml:space="preserve">~$600 million</w:t>
      </w:r>
      <w:r>
        <w:t xml:space="preserve"> </w:t>
      </w:r>
      <w:r>
        <w:t xml:space="preserve">in civil penalties.</w:t>
      </w:r>
      <w:r>
        <w:t xml:space="preserve"> </w:t>
      </w:r>
      <w:r>
        <w:rPr>
          <w:bCs/>
          <w:b/>
        </w:rPr>
        <w:t xml:space="preserve">CCAR stress testing</w:t>
      </w:r>
      <w:r>
        <w:t xml:space="preserve"> </w:t>
      </w:r>
      <w:r>
        <w:t xml:space="preserve">established 2011, requiring annual tests for banks with &gt;$50 billion assets.</w:t>
      </w:r>
    </w:p>
    <w:p>
      <w:pPr>
        <w:pStyle w:val="BodyText"/>
      </w:pPr>
      <w:r>
        <w:rPr>
          <w:bCs/>
          <w:b/>
        </w:rPr>
        <w:t xml:space="preserve">Bank Capital Ratios</w:t>
      </w:r>
    </w:p>
    <w:p>
      <w:pPr>
        <w:pStyle w:val="BodyText"/>
      </w:pPr>
      <w:r>
        <w:t xml:space="preserve">Pre-2008 Basel II minimum Tier 1 ratio:</w:t>
      </w:r>
      <w:r>
        <w:t xml:space="preserve"> </w:t>
      </w:r>
      <w:r>
        <w:rPr>
          <w:bCs/>
          <w:b/>
        </w:rPr>
        <w:t xml:space="preserve">4%</w:t>
      </w:r>
      <w:r>
        <w:t xml:space="preserve">. Basel III requirements (phased in 2013-2019): minimum Tier 1 ratio</w:t>
      </w:r>
      <w:r>
        <w:t xml:space="preserve"> </w:t>
      </w:r>
      <w:r>
        <w:rPr>
          <w:bCs/>
          <w:b/>
        </w:rPr>
        <w:t xml:space="preserve">6%</w:t>
      </w:r>
      <w:r>
        <w:t xml:space="preserve">, Common Equity Tier 1</w:t>
      </w:r>
      <w:r>
        <w:t xml:space="preserve"> </w:t>
      </w:r>
      <w:r>
        <w:rPr>
          <w:bCs/>
          <w:b/>
        </w:rPr>
        <w:t xml:space="preserve">4.5%</w:t>
      </w:r>
      <w:r>
        <w:t xml:space="preserve">, Capital Conservation Buffer</w:t>
      </w:r>
      <w:r>
        <w:t xml:space="preserve"> </w:t>
      </w:r>
      <w:r>
        <w:rPr>
          <w:bCs/>
          <w:b/>
        </w:rPr>
        <w:t xml:space="preserve">2.5%</w:t>
      </w:r>
      <w:r>
        <w:t xml:space="preserve">, effective minimum with buffer</w:t>
      </w:r>
      <w:r>
        <w:t xml:space="preserve"> </w:t>
      </w:r>
      <w:r>
        <w:rPr>
          <w:bCs/>
          <w:b/>
        </w:rPr>
        <w:t xml:space="preserve">8.5%</w:t>
      </w:r>
      <w:r>
        <w:t xml:space="preserve">, G-SIB surcharge</w:t>
      </w:r>
      <w:r>
        <w:t xml:space="preserve"> </w:t>
      </w:r>
      <w:r>
        <w:rPr>
          <w:bCs/>
          <w:b/>
        </w:rPr>
        <w:t xml:space="preserve">1-4.5%</w:t>
      </w:r>
      <w:r>
        <w:t xml:space="preserve"> </w:t>
      </w:r>
      <w:r>
        <w:t xml:space="preserve">additional. Average Tier 1 ratios increased by up to</w:t>
      </w:r>
      <w:r>
        <w:t xml:space="preserve"> </w:t>
      </w:r>
      <w:r>
        <w:rPr>
          <w:bCs/>
          <w:b/>
        </w:rPr>
        <w:t xml:space="preserve">6 percentage points</w:t>
      </w:r>
      <w:r>
        <w:t xml:space="preserve"> </w:t>
      </w:r>
      <w:r>
        <w:t xml:space="preserve">post-crisis. By 2015, U.S. banks achieved</w:t>
      </w:r>
      <w:r>
        <w:t xml:space="preserve"> </w:t>
      </w:r>
      <w:r>
        <w:rPr>
          <w:bCs/>
          <w:b/>
        </w:rPr>
        <w:t xml:space="preserve">~14.1%</w:t>
      </w:r>
      <w:r>
        <w:t xml:space="preserve"> </w:t>
      </w:r>
      <w:r>
        <w:t xml:space="preserve">Tier 1 capital ratio.</w:t>
      </w:r>
    </w:p>
    <w:p>
      <w:pPr>
        <w:pStyle w:val="BodyText"/>
      </w:pPr>
      <w:r>
        <w:rPr>
          <w:bCs/>
          <w:b/>
        </w:rPr>
        <w:t xml:space="preserve">TARP Repayment</w:t>
      </w:r>
    </w:p>
    <w:p>
      <w:pPr>
        <w:pStyle w:val="BodyText"/>
      </w:pPr>
      <w:r>
        <w:t xml:space="preserve">Original authorization:</w:t>
      </w:r>
      <w:r>
        <w:t xml:space="preserve"> </w:t>
      </w:r>
      <w:r>
        <w:rPr>
          <w:bCs/>
          <w:b/>
        </w:rPr>
        <w:t xml:space="preserve">$700 billion</w:t>
      </w:r>
      <w:r>
        <w:t xml:space="preserve"> </w:t>
      </w:r>
      <w:r>
        <w:t xml:space="preserve">(October 2008). Reduced to $475 billion by Dodd-Frank. Actual disbursement:</w:t>
      </w:r>
      <w:r>
        <w:t xml:space="preserve"> </w:t>
      </w:r>
      <w:r>
        <w:rPr>
          <w:bCs/>
          <w:b/>
        </w:rPr>
        <w:t xml:space="preserve">$444 billion</w:t>
      </w:r>
      <w:r>
        <w:t xml:space="preserve">. Results by category: Banks (CPP) net</w:t>
      </w:r>
      <w:r>
        <w:t xml:space="preserve"> </w:t>
      </w:r>
      <w:r>
        <w:rPr>
          <w:bCs/>
          <w:b/>
        </w:rPr>
        <w:t xml:space="preserve">gain of $16.3 billion</w:t>
      </w:r>
      <w:r>
        <w:t xml:space="preserve">; AIG net cost</w:t>
      </w:r>
      <w:r>
        <w:t xml:space="preserve"> </w:t>
      </w:r>
      <w:r>
        <w:rPr>
          <w:bCs/>
          <w:b/>
        </w:rPr>
        <w:t xml:space="preserve">$15.2 billion</w:t>
      </w:r>
      <w:r>
        <w:t xml:space="preserve">; Auto (GM, Chrysler, Ally) net cost</w:t>
      </w:r>
      <w:r>
        <w:t xml:space="preserve"> </w:t>
      </w:r>
      <w:r>
        <w:rPr>
          <w:bCs/>
          <w:b/>
        </w:rPr>
        <w:t xml:space="preserve">$12.1 billion</w:t>
      </w:r>
      <w:r>
        <w:t xml:space="preserve">. CBO 2024 final estimate: total subsidy cost</w:t>
      </w:r>
      <w:r>
        <w:t xml:space="preserve"> </w:t>
      </w:r>
      <w:r>
        <w:rPr>
          <w:bCs/>
          <w:b/>
        </w:rPr>
        <w:t xml:space="preserve">$31 billion</w:t>
      </w:r>
      <w:r>
        <w:t xml:space="preserve">. ProPublica alternative calculation including Fannie/Freddie:</w:t>
      </w:r>
      <w:r>
        <w:t xml:space="preserve"> </w:t>
      </w:r>
      <w:r>
        <w:rPr>
          <w:bCs/>
          <w:b/>
        </w:rPr>
        <w:t xml:space="preserve">$109 billion profit</w:t>
      </w:r>
      <w:r>
        <w:t xml:space="preserve">.</w:t>
      </w:r>
    </w:p>
    <w:p>
      <w:pPr>
        <w:pStyle w:val="BodyText"/>
      </w:pPr>
      <w:r>
        <w:rPr>
          <w:bCs/>
          <w:b/>
        </w:rPr>
        <w:t xml:space="preserve">Debt Accumulation</w:t>
      </w:r>
    </w:p>
    <w:p>
      <w:pPr>
        <w:pStyle w:val="BodyText"/>
      </w:pPr>
      <w:r>
        <w:t xml:space="preserve">Student loan debt:</w:t>
      </w:r>
      <w:r>
        <w:t xml:space="preserve"> </w:t>
      </w:r>
      <w:r>
        <w:rPr>
          <w:bCs/>
          <w:b/>
        </w:rPr>
        <w:t xml:space="preserve">~$640 billion</w:t>
      </w:r>
      <w:r>
        <w:t xml:space="preserve"> </w:t>
      </w:r>
      <w:r>
        <w:t xml:space="preserve">(2008) →</w:t>
      </w:r>
      <w:r>
        <w:t xml:space="preserve"> </w:t>
      </w:r>
      <w:r>
        <w:rPr>
          <w:bCs/>
          <w:b/>
        </w:rPr>
        <w:t xml:space="preserve">~$1.3-1.4 trillion</w:t>
      </w:r>
      <w:r>
        <w:t xml:space="preserve"> </w:t>
      </w:r>
      <w:r>
        <w:t xml:space="preserve">(2016), representing</w:t>
      </w:r>
      <w:r>
        <w:t xml:space="preserve"> </w:t>
      </w:r>
      <w:r>
        <w:rPr>
          <w:bCs/>
          <w:b/>
        </w:rPr>
        <w:t xml:space="preserve">217.6%</w:t>
      </w:r>
      <w:r>
        <w:t xml:space="preserve"> </w:t>
      </w:r>
      <w:r>
        <w:t xml:space="preserve">increase from 2007-2023 at 7.03% annual growth. Student Aid and Fiscal Responsibility Act (2010) ended FFEL Program.</w:t>
      </w:r>
    </w:p>
    <w:p>
      <w:pPr>
        <w:pStyle w:val="BodyText"/>
      </w:pPr>
      <w:r>
        <w:t xml:space="preserve">Federal debt: Debt held by public</w:t>
      </w:r>
      <w:r>
        <w:t xml:space="preserve"> </w:t>
      </w:r>
      <w:r>
        <w:rPr>
          <w:bCs/>
          <w:b/>
        </w:rPr>
        <w:t xml:space="preserve">$5.8-6.3 trillion</w:t>
      </w:r>
      <w:r>
        <w:t xml:space="preserve"> </w:t>
      </w:r>
      <w:r>
        <w:t xml:space="preserve">(40% GDP, FY2008) →</w:t>
      </w:r>
      <w:r>
        <w:t xml:space="preserve"> </w:t>
      </w:r>
      <w:r>
        <w:rPr>
          <w:bCs/>
          <w:b/>
        </w:rPr>
        <w:t xml:space="preserve">~$14 trillion</w:t>
      </w:r>
      <w:r>
        <w:t xml:space="preserve"> </w:t>
      </w:r>
      <w:r>
        <w:t xml:space="preserve">(75.4% GDP, FY2016). Gross national debt:</w:t>
      </w:r>
      <w:r>
        <w:t xml:space="preserve"> </w:t>
      </w:r>
      <w:r>
        <w:rPr>
          <w:bCs/>
          <w:b/>
        </w:rPr>
        <w:t xml:space="preserve">$10.3-10.6 trillion</w:t>
      </w:r>
      <w:r>
        <w:t xml:space="preserve"> </w:t>
      </w:r>
      <w:r>
        <w:t xml:space="preserve">(FY2008) →</w:t>
      </w:r>
      <w:r>
        <w:t xml:space="preserve"> </w:t>
      </w:r>
      <w:r>
        <w:rPr>
          <w:bCs/>
          <w:b/>
        </w:rPr>
        <w:t xml:space="preserve">~$19.4-19.9 trillion</w:t>
      </w:r>
      <w:r>
        <w:t xml:space="preserve"> </w:t>
      </w:r>
      <w:r>
        <w:t xml:space="preserve">(FY2016)—more than doubled.</w:t>
      </w:r>
    </w:p>
    <w:p>
      <w:r>
        <w:pict>
          <v:rect style="width:0;height:1.5pt" o:hralign="center" o:hrstd="t" o:hr="t"/>
        </w:pict>
      </w:r>
    </w:p>
    <w:bookmarkEnd w:id="230"/>
    <w:bookmarkStart w:id="231" w:name="military-domain"/>
    <w:p>
      <w:pPr>
        <w:pStyle w:val="Heading3"/>
      </w:pPr>
      <w:r>
        <w:t xml:space="preserve">Military Domain</w:t>
      </w:r>
    </w:p>
    <w:p>
      <w:pPr>
        <w:pStyle w:val="FirstParagraph"/>
      </w:pPr>
      <w:r>
        <w:rPr>
          <w:bCs/>
          <w:b/>
        </w:rPr>
        <w:t xml:space="preserve">Sequestration Impact 2013-2016</w:t>
      </w:r>
    </w:p>
    <w:p>
      <w:pPr>
        <w:pStyle w:val="BodyText"/>
      </w:pPr>
      <w:r>
        <w:t xml:space="preserve">Budget Control Act passed August 2, 2011. Sequestration implemented March 1, 2013 (delayed from January 2, 2013). FY2013 defense cuts:</w:t>
      </w:r>
      <w:r>
        <w:t xml:space="preserve"> </w:t>
      </w:r>
      <w:r>
        <w:rPr>
          <w:bCs/>
          <w:b/>
        </w:rPr>
        <w:t xml:space="preserve">$54.7 billion</w:t>
      </w:r>
      <w:r>
        <w:t xml:space="preserve"> </w:t>
      </w:r>
      <w:r>
        <w:t xml:space="preserve">in budget authority (7.8% reduction in non-exempt defense discretionary); actual cash disbursement reduction</w:t>
      </w:r>
      <w:r>
        <w:t xml:space="preserve"> </w:t>
      </w:r>
      <w:r>
        <w:rPr>
          <w:bCs/>
          <w:b/>
        </w:rPr>
        <w:t xml:space="preserve">~$43 billion</w:t>
      </w:r>
      <w:r>
        <w:t xml:space="preserve">. DoD civilians faced</w:t>
      </w:r>
      <w:r>
        <w:t xml:space="preserve"> </w:t>
      </w:r>
      <w:r>
        <w:t xml:space="preserve">“</w:t>
      </w:r>
      <w:r>
        <w:t xml:space="preserve">furlough Fridays</w:t>
      </w:r>
      <w:r>
        <w:t xml:space="preserve">”</w:t>
      </w:r>
      <w:r>
        <w:t xml:space="preserve"> </w:t>
      </w:r>
      <w:r>
        <w:t xml:space="preserve">with 4-day work weeks. General Amos (Marine Corps Commandant):</w:t>
      </w:r>
      <w:r>
        <w:t xml:space="preserve"> </w:t>
      </w:r>
      <w:r>
        <w:t xml:space="preserve">“</w:t>
      </w:r>
      <w:r>
        <w:t xml:space="preserve">There’s really no more fat on our bones.</w:t>
      </w:r>
      <w:r>
        <w:t xml:space="preserve">”</w:t>
      </w:r>
      <w:r>
        <w:t xml:space="preserve"> </w:t>
      </w:r>
      <w:r>
        <w:t xml:space="preserve">Bipartisan Budget Act of 2013 reduced FY2014 sequester by $44.8 billion and FY2015 by $18.5 billion.</w:t>
      </w:r>
    </w:p>
    <w:p>
      <w:pPr>
        <w:pStyle w:val="BodyText"/>
      </w:pPr>
      <w:r>
        <w:rPr>
          <w:bCs/>
          <w:b/>
        </w:rPr>
        <w:t xml:space="preserve">Pivot to Asia</w:t>
      </w:r>
    </w:p>
    <w:p>
      <w:pPr>
        <w:pStyle w:val="BodyText"/>
      </w:pPr>
      <w:r>
        <w:t xml:space="preserve">Hillary Clinton’s</w:t>
      </w:r>
      <w:r>
        <w:t xml:space="preserve"> </w:t>
      </w:r>
      <w:r>
        <w:t xml:space="preserve">“</w:t>
      </w:r>
      <w:r>
        <w:t xml:space="preserve">America’s Pacific Century</w:t>
      </w:r>
      <w:r>
        <w:t xml:space="preserve">”</w:t>
      </w:r>
      <w:r>
        <w:t xml:space="preserve"> </w:t>
      </w:r>
      <w:r>
        <w:t xml:space="preserve">published</w:t>
      </w:r>
      <w:r>
        <w:t xml:space="preserve"> </w:t>
      </w:r>
      <w:r>
        <w:rPr>
          <w:iCs/>
          <w:i/>
        </w:rPr>
        <w:t xml:space="preserve">Foreign Policy</w:t>
      </w:r>
      <w:r>
        <w:t xml:space="preserve">, October 11, 2011. Obama’s Canberra speech November 17, 2011 announced rotational deployments of</w:t>
      </w:r>
      <w:r>
        <w:t xml:space="preserve"> </w:t>
      </w:r>
      <w:r>
        <w:rPr>
          <w:bCs/>
          <w:b/>
        </w:rPr>
        <w:t xml:space="preserve">2,500 Marines</w:t>
      </w:r>
      <w:r>
        <w:t xml:space="preserve"> </w:t>
      </w:r>
      <w:r>
        <w:t xml:space="preserve">in Darwin. Enhanced Defense Cooperation Agreement with Philippines signed</w:t>
      </w:r>
      <w:r>
        <w:t xml:space="preserve"> </w:t>
      </w:r>
      <w:r>
        <w:rPr>
          <w:bCs/>
          <w:b/>
        </w:rPr>
        <w:t xml:space="preserve">April 28, 2014</w:t>
      </w:r>
      <w:r>
        <w:t xml:space="preserve">. Singapore hosted Littoral Combat Ship rotational deployments.</w:t>
      </w:r>
      <w:r>
        <w:t xml:space="preserve"> </w:t>
      </w:r>
      <w:r>
        <w:rPr>
          <w:bCs/>
          <w:b/>
        </w:rPr>
        <w:t xml:space="preserve">60%</w:t>
      </w:r>
      <w:r>
        <w:t xml:space="preserve"> </w:t>
      </w:r>
      <w:r>
        <w:t xml:space="preserve">of U.S. submarines deployed to Asia. Trans-Pacific Partnership designed as economic pillar, withdrawn January 2017.</w:t>
      </w:r>
    </w:p>
    <w:p>
      <w:pPr>
        <w:pStyle w:val="BodyText"/>
      </w:pPr>
      <w:r>
        <w:rPr>
          <w:bCs/>
          <w:b/>
        </w:rPr>
        <w:t xml:space="preserve">Libya Intervention 2011</w:t>
      </w:r>
    </w:p>
    <w:p>
      <w:pPr>
        <w:pStyle w:val="BodyText"/>
      </w:pPr>
      <w:r>
        <w:t xml:space="preserve">Operation Odyssey Dawn:</w:t>
      </w:r>
      <w:r>
        <w:t xml:space="preserve"> </w:t>
      </w:r>
      <w:r>
        <w:rPr>
          <w:bCs/>
          <w:b/>
        </w:rPr>
        <w:t xml:space="preserve">March 19, 2011</w:t>
      </w:r>
      <w:r>
        <w:t xml:space="preserve">; transferred to NATO March 31, 2011 (Operation Unified Protector through October 31, 2011). Day 1:</w:t>
      </w:r>
      <w:r>
        <w:t xml:space="preserve"> </w:t>
      </w:r>
      <w:r>
        <w:rPr>
          <w:bCs/>
          <w:b/>
        </w:rPr>
        <w:t xml:space="preserve">110 Tomahawk cruise missiles</w:t>
      </w:r>
      <w:r>
        <w:t xml:space="preserve"> </w:t>
      </w:r>
      <w:r>
        <w:t xml:space="preserve">launched. Coalition expanded to 19 states. Aftermath: Libya devolved into failed state, civil war resumed 2014, ISIS established Sirte presence. Obama’s 2016 statement:</w:t>
      </w:r>
      <w:r>
        <w:t xml:space="preserve"> </w:t>
      </w:r>
      <w:r>
        <w:t xml:space="preserve">“</w:t>
      </w:r>
      <w:r>
        <w:t xml:space="preserve">Probably failing to plan for the day after what I think was the right thing to do in intervening in Libya</w:t>
      </w:r>
      <w:r>
        <w:t xml:space="preserve">”</w:t>
      </w:r>
      <w:r>
        <w:t xml:space="preserve"> </w:t>
      </w:r>
      <w:r>
        <w:t xml:space="preserve">was his</w:t>
      </w:r>
      <w:r>
        <w:t xml:space="preserve"> </w:t>
      </w:r>
      <w:r>
        <w:t xml:space="preserve">“</w:t>
      </w:r>
      <w:r>
        <w:t xml:space="preserve">worst mistake.</w:t>
      </w:r>
      <w:r>
        <w:t xml:space="preserve">”</w:t>
      </w:r>
    </w:p>
    <w:p>
      <w:pPr>
        <w:pStyle w:val="BodyText"/>
      </w:pPr>
      <w:r>
        <w:rPr>
          <w:bCs/>
          <w:b/>
        </w:rPr>
        <w:t xml:space="preserve">Syria Red Line (September 2013)</w:t>
      </w:r>
    </w:p>
    <w:p>
      <w:pPr>
        <w:pStyle w:val="BodyText"/>
      </w:pPr>
      <w:r>
        <w:t xml:space="preserve">Obama’s red line statement:</w:t>
      </w:r>
      <w:r>
        <w:t xml:space="preserve"> </w:t>
      </w:r>
      <w:r>
        <w:rPr>
          <w:bCs/>
          <w:b/>
        </w:rPr>
        <w:t xml:space="preserve">August 20, 2012</w:t>
      </w:r>
      <w:r>
        <w:t xml:space="preserve">. Ghouta chemical attack:</w:t>
      </w:r>
      <w:r>
        <w:t xml:space="preserve"> </w:t>
      </w:r>
      <w:r>
        <w:rPr>
          <w:bCs/>
          <w:b/>
        </w:rPr>
        <w:t xml:space="preserve">August 21, 2013</w:t>
      </w:r>
      <w:r>
        <w:t xml:space="preserve"> </w:t>
      </w:r>
      <w:r>
        <w:t xml:space="preserve">(Sarin nerve gas, estimates 281-1,729 killed; U.S. claimed ~1,400). Obama sought Congressional authorization August 31, 2013; S.J.Res. 21 never received floor vote. Russia chemical weapons deal: September 14, 2013 Framework Agreement. Syria acceded to Chemical Weapons Convention October 14, 2013. By August 2014, 581 tons of sarin and 19.8 tons of mustard gas destroyed. General Dempsey:</w:t>
      </w:r>
      <w:r>
        <w:t xml:space="preserve"> </w:t>
      </w:r>
      <w:r>
        <w:t xml:space="preserve">“</w:t>
      </w:r>
      <w:r>
        <w:t xml:space="preserve">Our finger was on the trigger.</w:t>
      </w:r>
      <w:r>
        <w:t xml:space="preserve">”</w:t>
      </w:r>
    </w:p>
    <w:p>
      <w:pPr>
        <w:pStyle w:val="BodyText"/>
      </w:pPr>
      <w:r>
        <w:rPr>
          <w:bCs/>
          <w:b/>
        </w:rPr>
        <w:t xml:space="preserve">ISIS Rise and Response 2014-2016</w:t>
      </w:r>
    </w:p>
    <w:p>
      <w:pPr>
        <w:pStyle w:val="BodyText"/>
      </w:pPr>
      <w:r>
        <w:t xml:space="preserve">Mosul fell</w:t>
      </w:r>
      <w:r>
        <w:t xml:space="preserve"> </w:t>
      </w:r>
      <w:r>
        <w:rPr>
          <w:bCs/>
          <w:b/>
        </w:rPr>
        <w:t xml:space="preserve">June 10, 2014</w:t>
      </w:r>
      <w:r>
        <w:t xml:space="preserve">; caliphate declared June 29, 2014 from Grand al-Nuri Mosque. Peak territorial control:</w:t>
      </w:r>
      <w:r>
        <w:t xml:space="preserve"> </w:t>
      </w:r>
      <w:r>
        <w:rPr>
          <w:bCs/>
          <w:b/>
        </w:rPr>
        <w:t xml:space="preserve">~40% of Iraq, ~1/3 of Syria</w:t>
      </w:r>
      <w:r>
        <w:t xml:space="preserve"> </w:t>
      </w:r>
      <w:r>
        <w:t xml:space="preserve">(200,000+ sq km). Operation Inherent Resolve announced October 15, 2014; first airstrikes in Iraq August 7, 2014, expanded to Syria September 23, 2014. Coalition:</w:t>
      </w:r>
      <w:r>
        <w:t xml:space="preserve"> </w:t>
      </w:r>
      <w:r>
        <w:rPr>
          <w:bCs/>
          <w:b/>
        </w:rPr>
        <w:t xml:space="preserve">80+ nations</w:t>
      </w:r>
      <w:r>
        <w:t xml:space="preserve">; U.S. conducted</w:t>
      </w:r>
      <w:r>
        <w:t xml:space="preserve"> </w:t>
      </w:r>
      <w:r>
        <w:rPr>
          <w:bCs/>
          <w:b/>
        </w:rPr>
        <w:t xml:space="preserve">~80%</w:t>
      </w:r>
      <w:r>
        <w:t xml:space="preserve"> </w:t>
      </w:r>
      <w:r>
        <w:t xml:space="preserve">of airstrikes by March 2016. By December 2017, ISIS lost</w:t>
      </w:r>
      <w:r>
        <w:t xml:space="preserve"> </w:t>
      </w:r>
      <w:r>
        <w:rPr>
          <w:bCs/>
          <w:b/>
        </w:rPr>
        <w:t xml:space="preserve">95%</w:t>
      </w:r>
      <w:r>
        <w:t xml:space="preserve"> </w:t>
      </w:r>
      <w:r>
        <w:t xml:space="preserve">of territory.</w:t>
      </w:r>
    </w:p>
    <w:p>
      <w:pPr>
        <w:pStyle w:val="BodyText"/>
      </w:pPr>
      <w:r>
        <w:rPr>
          <w:bCs/>
          <w:b/>
        </w:rPr>
        <w:t xml:space="preserve">Nuclear Modernization</w:t>
      </w:r>
    </w:p>
    <w:p>
      <w:pPr>
        <w:pStyle w:val="BodyText"/>
      </w:pPr>
      <w:r>
        <w:t xml:space="preserve">CBO 2017 estimate:</w:t>
      </w:r>
      <w:r>
        <w:t xml:space="preserve"> </w:t>
      </w:r>
      <w:r>
        <w:rPr>
          <w:bCs/>
          <w:b/>
        </w:rPr>
        <w:t xml:space="preserve">$1.2 trillion</w:t>
      </w:r>
      <w:r>
        <w:t xml:space="preserve"> </w:t>
      </w:r>
      <w:r>
        <w:t xml:space="preserve">over 2017-2046 (~$800B operation/sustainment, ~$400B modernization). Peak annual costs:</w:t>
      </w:r>
      <w:r>
        <w:t xml:space="preserve"> </w:t>
      </w:r>
      <w:r>
        <w:rPr>
          <w:bCs/>
          <w:b/>
        </w:rPr>
        <w:t xml:space="preserve">~$50 billion</w:t>
      </w:r>
      <w:r>
        <w:t xml:space="preserve"> </w:t>
      </w:r>
      <w:r>
        <w:t xml:space="preserve">(early 2030s). Components: Ground-Based Strategic Deterrent (Sentinel) replacing 400 Minuteman III; Columbia-class submarines (12 planned) replacing 14 Ohio-class; B-21 Raider bombers (100+ planned) at $550M per aircraft (2010 dollars).</w:t>
      </w:r>
    </w:p>
    <w:p>
      <w:r>
        <w:pict>
          <v:rect style="width:0;height:1.5pt" o:hralign="center" o:hrstd="t" o:hr="t"/>
        </w:pict>
      </w:r>
    </w:p>
    <w:bookmarkEnd w:id="231"/>
    <w:bookmarkEnd w:id="232"/>
    <w:bookmarkStart w:id="237" w:name="Xf6d1db1e2caa81952bf80798e8c2c9aad162e6d"/>
    <w:p>
      <w:pPr>
        <w:pStyle w:val="Heading2"/>
      </w:pPr>
      <w:r>
        <w:t xml:space="preserve">Section 2: Sub-Period II (2016-2021) Expansion</w:t>
      </w:r>
    </w:p>
    <w:bookmarkStart w:id="233" w:name="governance-domain-1"/>
    <w:p>
      <w:pPr>
        <w:pStyle w:val="Heading3"/>
      </w:pPr>
      <w:r>
        <w:t xml:space="preserve">Governance Domain</w:t>
      </w:r>
    </w:p>
    <w:p>
      <w:pPr>
        <w:pStyle w:val="FirstParagraph"/>
      </w:pPr>
      <w:r>
        <w:rPr>
          <w:bCs/>
          <w:b/>
        </w:rPr>
        <w:t xml:space="preserve">Mueller Investigation</w:t>
      </w:r>
    </w:p>
    <w:p>
      <w:pPr>
        <w:pStyle w:val="BodyText"/>
      </w:pPr>
      <w:r>
        <w:t xml:space="preserve">Appointment:</w:t>
      </w:r>
      <w:r>
        <w:t xml:space="preserve"> </w:t>
      </w:r>
      <w:r>
        <w:rPr>
          <w:bCs/>
          <w:b/>
        </w:rPr>
        <w:t xml:space="preserve">May 17, 2017</w:t>
      </w:r>
      <w:r>
        <w:t xml:space="preserve"> </w:t>
      </w:r>
      <w:r>
        <w:t xml:space="preserve">(Deputy AG Rod Rosenstein). Report submission:</w:t>
      </w:r>
      <w:r>
        <w:t xml:space="preserve"> </w:t>
      </w:r>
      <w:r>
        <w:rPr>
          <w:bCs/>
          <w:b/>
        </w:rPr>
        <w:t xml:space="preserve">March 22, 2019</w:t>
      </w:r>
      <w:r>
        <w:t xml:space="preserve">. Duration: nearly 22 months. Resources:</w:t>
      </w:r>
      <w:r>
        <w:t xml:space="preserve"> </w:t>
      </w:r>
      <w:r>
        <w:rPr>
          <w:bCs/>
          <w:b/>
        </w:rPr>
        <w:t xml:space="preserve">~2,800 subpoenas</w:t>
      </w:r>
      <w:r>
        <w:t xml:space="preserve">,</w:t>
      </w:r>
      <w:r>
        <w:t xml:space="preserve"> </w:t>
      </w:r>
      <w:r>
        <w:rPr>
          <w:bCs/>
          <w:b/>
        </w:rPr>
        <w:t xml:space="preserve">~500 search warrants</w:t>
      </w:r>
      <w:r>
        <w:t xml:space="preserve">,</w:t>
      </w:r>
      <w:r>
        <w:t xml:space="preserve"> </w:t>
      </w:r>
      <w:r>
        <w:rPr>
          <w:bCs/>
          <w:b/>
        </w:rPr>
        <w:t xml:space="preserve">~500 witnesses</w:t>
      </w:r>
      <w:r>
        <w:t xml:space="preserve">. Report:</w:t>
      </w:r>
      <w:r>
        <w:t xml:space="preserve"> </w:t>
      </w:r>
      <w:r>
        <w:rPr>
          <w:bCs/>
          <w:b/>
        </w:rPr>
        <w:t xml:space="preserve">448 pages</w:t>
      </w:r>
      <w:r>
        <w:t xml:space="preserve"> </w:t>
      </w:r>
      <w:r>
        <w:t xml:space="preserve">in two volumes.</w:t>
      </w:r>
    </w:p>
    <w:p>
      <w:pPr>
        <w:pStyle w:val="BodyText"/>
      </w:pPr>
      <w:r>
        <w:rPr>
          <w:bCs/>
          <w:b/>
        </w:rPr>
        <w:t xml:space="preserve">Volume I</w:t>
      </w:r>
      <w:r>
        <w:t xml:space="preserve"> </w:t>
      </w:r>
      <w:r>
        <w:t xml:space="preserve">(Russian Interference): Found Russian government</w:t>
      </w:r>
      <w:r>
        <w:t xml:space="preserve"> </w:t>
      </w:r>
      <w:r>
        <w:t xml:space="preserve">“</w:t>
      </w:r>
      <w:r>
        <w:t xml:space="preserve">interfered in the 2016 presidential election in sweeping and systematic fashion</w:t>
      </w:r>
      <w:r>
        <w:t xml:space="preserve">”</w:t>
      </w:r>
      <w:r>
        <w:t xml:space="preserve"> </w:t>
      </w:r>
      <w:r>
        <w:t xml:space="preserve">but</w:t>
      </w:r>
      <w:r>
        <w:t xml:space="preserve"> </w:t>
      </w:r>
      <w:r>
        <w:t xml:space="preserve">“</w:t>
      </w:r>
      <w:r>
        <w:t xml:space="preserve">did not establish that members of the Trump campaign conspired or coordinated.</w:t>
      </w:r>
      <w:r>
        <w:t xml:space="preserve">”</w:t>
      </w:r>
    </w:p>
    <w:p>
      <w:pPr>
        <w:pStyle w:val="BodyText"/>
      </w:pPr>
      <w:r>
        <w:rPr>
          <w:bCs/>
          <w:b/>
        </w:rPr>
        <w:t xml:space="preserve">Volume II</w:t>
      </w:r>
      <w:r>
        <w:t xml:space="preserve"> </w:t>
      </w:r>
      <w:r>
        <w:t xml:space="preserve">(Obstruction): Analyzed</w:t>
      </w:r>
      <w:r>
        <w:t xml:space="preserve"> </w:t>
      </w:r>
      <w:r>
        <w:rPr>
          <w:bCs/>
          <w:b/>
        </w:rPr>
        <w:t xml:space="preserve">10 instances</w:t>
      </w:r>
      <w:r>
        <w:t xml:space="preserve"> </w:t>
      </w:r>
      <w:r>
        <w:t xml:space="preserve">of potential obstruction; explicitly stated report</w:t>
      </w:r>
      <w:r>
        <w:t xml:space="preserve"> </w:t>
      </w:r>
      <w:r>
        <w:t xml:space="preserve">“</w:t>
      </w:r>
      <w:r>
        <w:t xml:space="preserve">does not exonerate</w:t>
      </w:r>
      <w:r>
        <w:t xml:space="preserve">”</w:t>
      </w:r>
      <w:r>
        <w:t xml:space="preserve"> </w:t>
      </w:r>
      <w:r>
        <w:t xml:space="preserve">the President. Mueller cited OLC opinion precluding indictment of sitting president. Found</w:t>
      </w:r>
      <w:r>
        <w:t xml:space="preserve"> </w:t>
      </w:r>
      <w:r>
        <w:t xml:space="preserve">“</w:t>
      </w:r>
      <w:r>
        <w:t xml:space="preserve">substantial evidence</w:t>
      </w:r>
      <w:r>
        <w:t xml:space="preserve">”</w:t>
      </w:r>
      <w:r>
        <w:t xml:space="preserve"> </w:t>
      </w:r>
      <w:r>
        <w:t xml:space="preserve">of obstruction attempts, particularly regarding attempts to fire Mueller and limit investigation scope.</w:t>
      </w:r>
    </w:p>
    <w:p>
      <w:pPr>
        <w:pStyle w:val="BodyText"/>
      </w:pPr>
      <w:r>
        <w:t xml:space="preserve">Criminal results:</w:t>
      </w:r>
      <w:r>
        <w:t xml:space="preserve"> </w:t>
      </w:r>
      <w:r>
        <w:rPr>
          <w:bCs/>
          <w:b/>
        </w:rPr>
        <w:t xml:space="preserve">34 individuals</w:t>
      </w:r>
      <w:r>
        <w:t xml:space="preserve"> </w:t>
      </w:r>
      <w:r>
        <w:t xml:space="preserve">+ 3 Russian companies indicted;</w:t>
      </w:r>
      <w:r>
        <w:t xml:space="preserve"> </w:t>
      </w:r>
      <w:r>
        <w:rPr>
          <w:bCs/>
          <w:b/>
        </w:rPr>
        <w:t xml:space="preserve">7-8 guilty pleas/convictions</w:t>
      </w:r>
      <w:r>
        <w:t xml:space="preserve"> </w:t>
      </w:r>
      <w:r>
        <w:t xml:space="preserve">(Manafort, Flynn, Cohen, Stone, Gates, Papadopoulos);</w:t>
      </w:r>
      <w:r>
        <w:t xml:space="preserve"> </w:t>
      </w:r>
      <w:r>
        <w:rPr>
          <w:bCs/>
          <w:b/>
        </w:rPr>
        <w:t xml:space="preserve">14 criminal investigations</w:t>
      </w:r>
      <w:r>
        <w:t xml:space="preserve"> </w:t>
      </w:r>
      <w:r>
        <w:t xml:space="preserve">referred to other offices.</w:t>
      </w:r>
    </w:p>
    <w:p>
      <w:pPr>
        <w:pStyle w:val="BodyText"/>
      </w:pPr>
      <w:r>
        <w:rPr>
          <w:bCs/>
          <w:b/>
        </w:rPr>
        <w:t xml:space="preserve">First Impeachment (Ukraine)</w:t>
      </w:r>
    </w:p>
    <w:p>
      <w:pPr>
        <w:pStyle w:val="BodyText"/>
      </w:pPr>
      <w:r>
        <w:t xml:space="preserve">Trump-Zelensky call:</w:t>
      </w:r>
      <w:r>
        <w:t xml:space="preserve"> </w:t>
      </w:r>
      <w:r>
        <w:rPr>
          <w:bCs/>
          <w:b/>
        </w:rPr>
        <w:t xml:space="preserve">July 25, 2019</w:t>
      </w:r>
      <w:r>
        <w:t xml:space="preserve">. Whistleblower complaint: August 12, 2019. Impeachment inquiry: September 24, 2019. House Intelligence Committee report: December 3, 2019 (300 pages, 13-9 party-line).</w:t>
      </w:r>
    </w:p>
    <w:p>
      <w:pPr>
        <w:pStyle w:val="BodyText"/>
      </w:pPr>
      <w:r>
        <w:t xml:space="preserve">House impeachment vote</w:t>
      </w:r>
      <w:r>
        <w:t xml:space="preserve"> </w:t>
      </w:r>
      <w:r>
        <w:rPr>
          <w:bCs/>
          <w:b/>
        </w:rPr>
        <w:t xml:space="preserve">December 18, 2019</w:t>
      </w:r>
      <w:r>
        <w:t xml:space="preserve">: Article I (Abuse of Power)</w:t>
      </w:r>
      <w:r>
        <w:t xml:space="preserve"> </w:t>
      </w:r>
      <w:r>
        <w:rPr>
          <w:bCs/>
          <w:b/>
        </w:rPr>
        <w:t xml:space="preserve">230-197</w:t>
      </w:r>
      <w:r>
        <w:t xml:space="preserve">; Article II (Obstruction of Congress)</w:t>
      </w:r>
      <w:r>
        <w:t xml:space="preserve"> </w:t>
      </w:r>
      <w:r>
        <w:rPr>
          <w:bCs/>
          <w:b/>
        </w:rPr>
        <w:t xml:space="preserve">229-198</w:t>
      </w:r>
      <w:r>
        <w:t xml:space="preserve">. No Republicans voted to impeach.</w:t>
      </w:r>
    </w:p>
    <w:p>
      <w:pPr>
        <w:pStyle w:val="BodyText"/>
      </w:pPr>
      <w:r>
        <w:t xml:space="preserve">Senate trial: January 21-31, 2020. Witness vote: January 31, 2020—rejected</w:t>
      </w:r>
      <w:r>
        <w:t xml:space="preserve"> </w:t>
      </w:r>
      <w:r>
        <w:rPr>
          <w:bCs/>
          <w:b/>
        </w:rPr>
        <w:t xml:space="preserve">51-49</w:t>
      </w:r>
      <w:r>
        <w:t xml:space="preserve">. Senate acquittal</w:t>
      </w:r>
      <w:r>
        <w:t xml:space="preserve"> </w:t>
      </w:r>
      <w:r>
        <w:rPr>
          <w:bCs/>
          <w:b/>
        </w:rPr>
        <w:t xml:space="preserve">February 5, 2020</w:t>
      </w:r>
      <w:r>
        <w:t xml:space="preserve">: Article I</w:t>
      </w:r>
      <w:r>
        <w:t xml:space="preserve"> </w:t>
      </w:r>
      <w:r>
        <w:rPr>
          <w:bCs/>
          <w:b/>
        </w:rPr>
        <w:t xml:space="preserve">48-52</w:t>
      </w:r>
      <w:r>
        <w:t xml:space="preserve">; Article II</w:t>
      </w:r>
      <w:r>
        <w:t xml:space="preserve"> </w:t>
      </w:r>
      <w:r>
        <w:rPr>
          <w:bCs/>
          <w:b/>
        </w:rPr>
        <w:t xml:space="preserve">47-53</w:t>
      </w:r>
      <w:r>
        <w:t xml:space="preserve">. Sen. Mitt Romney became first senator in U.S. history to vote to convict president of own party.</w:t>
      </w:r>
    </w:p>
    <w:p>
      <w:pPr>
        <w:pStyle w:val="BodyText"/>
      </w:pPr>
      <w:r>
        <w:t xml:space="preserve">Key witnesses: Lt. Col.</w:t>
      </w:r>
      <w:r>
        <w:t xml:space="preserve"> </w:t>
      </w:r>
      <w:r>
        <w:rPr>
          <w:bCs/>
          <w:b/>
        </w:rPr>
        <w:t xml:space="preserve">Alexander Vindman</w:t>
      </w:r>
      <w:r>
        <w:t xml:space="preserve"> </w:t>
      </w:r>
      <w:r>
        <w:t xml:space="preserve">testified demand was</w:t>
      </w:r>
      <w:r>
        <w:t xml:space="preserve"> </w:t>
      </w:r>
      <w:r>
        <w:t xml:space="preserve">“</w:t>
      </w:r>
      <w:r>
        <w:t xml:space="preserve">improper</w:t>
      </w:r>
      <w:r>
        <w:t xml:space="preserve">”</w:t>
      </w:r>
      <w:r>
        <w:t xml:space="preserve"> </w:t>
      </w:r>
      <w:r>
        <w:t xml:space="preserve">with</w:t>
      </w:r>
      <w:r>
        <w:t xml:space="preserve"> </w:t>
      </w:r>
      <w:r>
        <w:t xml:space="preserve">“</w:t>
      </w:r>
      <w:r>
        <w:t xml:space="preserve">no ambiguity.</w:t>
      </w:r>
      <w:r>
        <w:t xml:space="preserve">”</w:t>
      </w:r>
      <w:r>
        <w:t xml:space="preserve"> </w:t>
      </w:r>
      <w:r>
        <w:t xml:space="preserve">Dr. </w:t>
      </w:r>
      <w:r>
        <w:rPr>
          <w:bCs/>
          <w:b/>
        </w:rPr>
        <w:t xml:space="preserve">Fiona Hill</w:t>
      </w:r>
      <w:r>
        <w:t xml:space="preserve"> </w:t>
      </w:r>
      <w:r>
        <w:t xml:space="preserve">testified Bolton said he was</w:t>
      </w:r>
      <w:r>
        <w:t xml:space="preserve"> </w:t>
      </w:r>
      <w:r>
        <w:t xml:space="preserve">“</w:t>
      </w:r>
      <w:r>
        <w:t xml:space="preserve">not part of whatever drug deal Sondland and Mulvaney are cooking up.</w:t>
      </w:r>
      <w:r>
        <w:t xml:space="preserve">”</w:t>
      </w:r>
      <w:r>
        <w:t xml:space="preserve"> </w:t>
      </w:r>
      <w:r>
        <w:t xml:space="preserve">Ambassador</w:t>
      </w:r>
      <w:r>
        <w:t xml:space="preserve"> </w:t>
      </w:r>
      <w:r>
        <w:rPr>
          <w:bCs/>
          <w:b/>
        </w:rPr>
        <w:t xml:space="preserve">Gordon Sondland</w:t>
      </w:r>
      <w:r>
        <w:t xml:space="preserve"> </w:t>
      </w:r>
      <w:r>
        <w:t xml:space="preserve">acknowledged quid pro quo. All three fired February 7, 2020.</w:t>
      </w:r>
    </w:p>
    <w:p>
      <w:pPr>
        <w:pStyle w:val="BodyText"/>
      </w:pPr>
      <w:r>
        <w:rPr>
          <w:bCs/>
          <w:b/>
        </w:rPr>
        <w:t xml:space="preserve">Second Impeachment (January 6)</w:t>
      </w:r>
    </w:p>
    <w:p>
      <w:pPr>
        <w:pStyle w:val="BodyText"/>
      </w:pPr>
      <w:r>
        <w:t xml:space="preserve">Capitol attack:</w:t>
      </w:r>
      <w:r>
        <w:t xml:space="preserve"> </w:t>
      </w:r>
      <w:r>
        <w:rPr>
          <w:bCs/>
          <w:b/>
        </w:rPr>
        <w:t xml:space="preserve">January 6, 2021</w:t>
      </w:r>
      <w:r>
        <w:t xml:space="preserve">. Breach began ~1:00 PM; building breached ~2:00 PM; evacuation ~2:15 PM; National Guard deployment authorized 5:08 PM. Deaths: 5 during/immediately after attack; Capitol Police Officer Brian Sicknick died of stroke January 7; 2 officers later died by suicide. Injuries:</w:t>
      </w:r>
      <w:r>
        <w:t xml:space="preserve"> </w:t>
      </w:r>
      <w:r>
        <w:rPr>
          <w:bCs/>
          <w:b/>
        </w:rPr>
        <w:t xml:space="preserve">~140 officers</w:t>
      </w:r>
      <w:r>
        <w:t xml:space="preserve"> </w:t>
      </w:r>
      <w:r>
        <w:t xml:space="preserve">assaulted. Damage:</w:t>
      </w:r>
      <w:r>
        <w:t xml:space="preserve"> </w:t>
      </w:r>
      <w:r>
        <w:rPr>
          <w:bCs/>
          <w:b/>
        </w:rPr>
        <w:t xml:space="preserve">~$1.5 million</w:t>
      </w:r>
      <w:r>
        <w:t xml:space="preserve">. Prosecutions: nearly</w:t>
      </w:r>
      <w:r>
        <w:t xml:space="preserve"> </w:t>
      </w:r>
      <w:r>
        <w:rPr>
          <w:bCs/>
          <w:b/>
        </w:rPr>
        <w:t xml:space="preserve">1,600 persons</w:t>
      </w:r>
      <w:r>
        <w:t xml:space="preserve"> </w:t>
      </w:r>
      <w:r>
        <w:t xml:space="preserve">charged by January 2025.</w:t>
      </w:r>
    </w:p>
    <w:p>
      <w:pPr>
        <w:pStyle w:val="BodyText"/>
      </w:pPr>
      <w:r>
        <w:t xml:space="preserve">House impeachment vote</w:t>
      </w:r>
      <w:r>
        <w:t xml:space="preserve"> </w:t>
      </w:r>
      <w:r>
        <w:rPr>
          <w:bCs/>
          <w:b/>
        </w:rPr>
        <w:t xml:space="preserve">January 13, 2021</w:t>
      </w:r>
      <w:r>
        <w:t xml:space="preserve">:</w:t>
      </w:r>
      <w:r>
        <w:t xml:space="preserve"> </w:t>
      </w:r>
      <w:r>
        <w:rPr>
          <w:bCs/>
          <w:b/>
        </w:rPr>
        <w:t xml:space="preserve">232-197</w:t>
      </w:r>
      <w:r>
        <w:t xml:space="preserve"> </w:t>
      </w:r>
      <w:r>
        <w:t xml:space="preserve">(single article:</w:t>
      </w:r>
      <w:r>
        <w:t xml:space="preserve"> </w:t>
      </w:r>
      <w:r>
        <w:t xml:space="preserve">“</w:t>
      </w:r>
      <w:r>
        <w:t xml:space="preserve">Incitement of Insurrection</w:t>
      </w:r>
      <w:r>
        <w:t xml:space="preserve">”</w:t>
      </w:r>
      <w:r>
        <w:t xml:space="preserve">).</w:t>
      </w:r>
      <w:r>
        <w:t xml:space="preserve"> </w:t>
      </w:r>
      <w:r>
        <w:rPr>
          <w:bCs/>
          <w:b/>
        </w:rPr>
        <w:t xml:space="preserve">10 Republicans</w:t>
      </w:r>
      <w:r>
        <w:t xml:space="preserve"> </w:t>
      </w:r>
      <w:r>
        <w:t xml:space="preserve">voted to impeach—most bipartisan presidential impeachment in history (Cheney, Rice, Newhouse, Kinzinger, Gonzalez, Upton, Herrera Beutler, Meijer, Katko, Valadao).</w:t>
      </w:r>
    </w:p>
    <w:p>
      <w:pPr>
        <w:pStyle w:val="BodyText"/>
      </w:pPr>
      <w:r>
        <w:t xml:space="preserve">Senate trial: February 9-13, 2021. Final vote</w:t>
      </w:r>
      <w:r>
        <w:t xml:space="preserve"> </w:t>
      </w:r>
      <w:r>
        <w:rPr>
          <w:bCs/>
          <w:b/>
        </w:rPr>
        <w:t xml:space="preserve">February 13, 2021</w:t>
      </w:r>
      <w:r>
        <w:t xml:space="preserve">:</w:t>
      </w:r>
      <w:r>
        <w:t xml:space="preserve"> </w:t>
      </w:r>
      <w:r>
        <w:rPr>
          <w:bCs/>
          <w:b/>
        </w:rPr>
        <w:t xml:space="preserve">57-43</w:t>
      </w:r>
      <w:r>
        <w:t xml:space="preserve"> </w:t>
      </w:r>
      <w:r>
        <w:t xml:space="preserve">to convict (fell short of 67 required).</w:t>
      </w:r>
      <w:r>
        <w:t xml:space="preserve"> </w:t>
      </w:r>
      <w:r>
        <w:rPr>
          <w:bCs/>
          <w:b/>
        </w:rPr>
        <w:t xml:space="preserve">7 Republicans</w:t>
      </w:r>
      <w:r>
        <w:t xml:space="preserve"> </w:t>
      </w:r>
      <w:r>
        <w:t xml:space="preserve">voted to convict: Burr, Cassidy, Collins, Murkowski, Romney, Sasse, Toomey. McConnell after voting to acquit:</w:t>
      </w:r>
      <w:r>
        <w:t xml:space="preserve"> </w:t>
      </w:r>
      <w:r>
        <w:t xml:space="preserve">“</w:t>
      </w:r>
      <w:r>
        <w:t xml:space="preserve">There’s no question that President Trump is practically and morally responsible for provoking the events of the day.</w:t>
      </w:r>
      <w:r>
        <w:t xml:space="preserve">”</w:t>
      </w:r>
    </w:p>
    <w:p>
      <w:pPr>
        <w:pStyle w:val="BodyText"/>
      </w:pPr>
      <w:r>
        <w:rPr>
          <w:bCs/>
          <w:b/>
        </w:rPr>
        <w:t xml:space="preserve">Executive Order Count</w:t>
      </w:r>
    </w:p>
    <w:p>
      <w:pPr>
        <w:pStyle w:val="BodyText"/>
      </w:pPr>
      <w:r>
        <w:t xml:space="preserve">Trump first term total:</w:t>
      </w:r>
      <w:r>
        <w:t xml:space="preserve"> </w:t>
      </w:r>
      <w:r>
        <w:rPr>
          <w:bCs/>
          <w:b/>
        </w:rPr>
        <w:t xml:space="preserve">220 executive orders</w:t>
      </w:r>
      <w:r>
        <w:t xml:space="preserve"> </w:t>
      </w:r>
      <w:r>
        <w:t xml:space="preserve">(55/year average). Comparison: Obama 276-277 (35/year), George W. Bush 291 (36/year), Clinton 364 (46/year).</w:t>
      </w:r>
    </w:p>
    <w:p>
      <w:pPr>
        <w:pStyle w:val="BodyText"/>
      </w:pPr>
      <w:r>
        <w:rPr>
          <w:bCs/>
          <w:b/>
        </w:rPr>
        <w:t xml:space="preserve">Federal Judiciary Appointments (First Term)</w:t>
      </w:r>
    </w:p>
    <w:p>
      <w:pPr>
        <w:pStyle w:val="BodyText"/>
      </w:pPr>
      <w:r>
        <w:t xml:space="preserve">Total Article III judges confirmed:</w:t>
      </w:r>
      <w:r>
        <w:t xml:space="preserve"> </w:t>
      </w:r>
      <w:r>
        <w:rPr>
          <w:bCs/>
          <w:b/>
        </w:rPr>
        <w:t xml:space="preserve">234</w:t>
      </w:r>
      <w:r>
        <w:t xml:space="preserve"> </w:t>
      </w:r>
      <w:r>
        <w:t xml:space="preserve">(Supreme Court: 3; Circuit Courts:</w:t>
      </w:r>
      <w:r>
        <w:t xml:space="preserve"> </w:t>
      </w:r>
      <w:r>
        <w:rPr>
          <w:bCs/>
          <w:b/>
        </w:rPr>
        <w:t xml:space="preserve">54</w:t>
      </w:r>
      <w:r>
        <w:t xml:space="preserve">; District Courts:</w:t>
      </w:r>
      <w:r>
        <w:t xml:space="preserve"> </w:t>
      </w:r>
      <w:r>
        <w:rPr>
          <w:bCs/>
          <w:b/>
        </w:rPr>
        <w:t xml:space="preserve">174</w:t>
      </w:r>
      <w:r>
        <w:t xml:space="preserve">; Court of International Trade: 3).</w:t>
      </w:r>
    </w:p>
    <w:p>
      <w:pPr>
        <w:pStyle w:val="BodyText"/>
      </w:pPr>
      <w:r>
        <w:t xml:space="preserve">Supreme Court: Neil Gorsuch (nominated January 31, 2017; confirmed April 7, 2017, 54-45), Brett Kavanaugh (nominated July 9, 2018; confirmed October 6, 2018, 50-48), Amy Coney Barrett (nominated September 26, 2020; confirmed October 26, 2020, 52-48).</w:t>
      </w:r>
    </w:p>
    <w:p>
      <w:pPr>
        <w:pStyle w:val="BodyText"/>
      </w:pPr>
      <w:r>
        <w:t xml:space="preserve">By November 2020:</w:t>
      </w:r>
      <w:r>
        <w:t xml:space="preserve"> </w:t>
      </w:r>
      <w:r>
        <w:rPr>
          <w:bCs/>
          <w:b/>
        </w:rPr>
        <w:t xml:space="preserve">8 of 13 circuit courts</w:t>
      </w:r>
      <w:r>
        <w:t xml:space="preserve"> </w:t>
      </w:r>
      <w:r>
        <w:t xml:space="preserve">had Republican-appointed majorities (doubled from 4 in January 2017). Average age of Trump circuit nominees: under 50 (10 years younger than Obama’s).</w:t>
      </w:r>
    </w:p>
    <w:p>
      <w:pPr>
        <w:pStyle w:val="BodyText"/>
      </w:pPr>
      <w:r>
        <w:rPr>
          <w:bCs/>
          <w:b/>
        </w:rPr>
        <w:t xml:space="preserve">Inspector General Firings 2020</w:t>
      </w:r>
    </w:p>
    <w:p>
      <w:pPr>
        <w:pStyle w:val="BodyText"/>
      </w:pPr>
      <w:r>
        <w:t xml:space="preserve">Five IGs removed in six weeks (April-May 2020):</w:t>
      </w:r>
    </w:p>
    <w:p>
      <w:pPr>
        <w:numPr>
          <w:ilvl w:val="0"/>
          <w:numId w:val="1005"/>
        </w:numPr>
        <w:pStyle w:val="Compact"/>
      </w:pPr>
      <w:r>
        <w:rPr>
          <w:bCs/>
          <w:b/>
        </w:rPr>
        <w:t xml:space="preserve">Michael Atkinson</w:t>
      </w:r>
      <w:r>
        <w:t xml:space="preserve"> </w:t>
      </w:r>
      <w:r>
        <w:t xml:space="preserve">(IC IG): April 3, 2020—had forwarded Ukraine whistleblower complaint</w:t>
      </w:r>
    </w:p>
    <w:p>
      <w:pPr>
        <w:numPr>
          <w:ilvl w:val="0"/>
          <w:numId w:val="1005"/>
        </w:numPr>
        <w:pStyle w:val="Compact"/>
      </w:pPr>
      <w:r>
        <w:rPr>
          <w:bCs/>
          <w:b/>
        </w:rPr>
        <w:t xml:space="preserve">Glenn Fine</w:t>
      </w:r>
      <w:r>
        <w:t xml:space="preserve"> </w:t>
      </w:r>
      <w:r>
        <w:t xml:space="preserve">(Acting DoD IG): April 7, 2020—removed as Pandemic Response Accountability Committee chair</w:t>
      </w:r>
    </w:p>
    <w:p>
      <w:pPr>
        <w:numPr>
          <w:ilvl w:val="0"/>
          <w:numId w:val="1005"/>
        </w:numPr>
        <w:pStyle w:val="Compact"/>
      </w:pPr>
      <w:r>
        <w:rPr>
          <w:bCs/>
          <w:b/>
        </w:rPr>
        <w:t xml:space="preserve">Christi Grimm</w:t>
      </w:r>
      <w:r>
        <w:t xml:space="preserve"> </w:t>
      </w:r>
      <w:r>
        <w:t xml:space="preserve">(Acting HHS IG): May 1, 2020—had documented COVID testing shortages</w:t>
      </w:r>
    </w:p>
    <w:p>
      <w:pPr>
        <w:numPr>
          <w:ilvl w:val="0"/>
          <w:numId w:val="1005"/>
        </w:numPr>
        <w:pStyle w:val="Compact"/>
      </w:pPr>
      <w:r>
        <w:rPr>
          <w:bCs/>
          <w:b/>
        </w:rPr>
        <w:t xml:space="preserve">Mitch Behm</w:t>
      </w:r>
      <w:r>
        <w:t xml:space="preserve"> </w:t>
      </w:r>
      <w:r>
        <w:t xml:space="preserve">(Acting DOT IG): May 15, 2020</w:t>
      </w:r>
    </w:p>
    <w:p>
      <w:pPr>
        <w:numPr>
          <w:ilvl w:val="0"/>
          <w:numId w:val="1005"/>
        </w:numPr>
        <w:pStyle w:val="Compact"/>
      </w:pPr>
      <w:r>
        <w:rPr>
          <w:bCs/>
          <w:b/>
        </w:rPr>
        <w:t xml:space="preserve">Steve Linick</w:t>
      </w:r>
      <w:r>
        <w:t xml:space="preserve"> </w:t>
      </w:r>
      <w:r>
        <w:t xml:space="preserve">(State Dept IG): May 15, 2020—was investigating Pompeo</w:t>
      </w:r>
    </w:p>
    <w:p>
      <w:pPr>
        <w:pStyle w:val="FirstParagraph"/>
      </w:pPr>
      <w:r>
        <w:t xml:space="preserve">Congressional response: 2022 passage of Securing Inspector General Independence Act requiring 30-day notice and</w:t>
      </w:r>
      <w:r>
        <w:t xml:space="preserve"> </w:t>
      </w:r>
      <w:r>
        <w:t xml:space="preserve">“</w:t>
      </w:r>
      <w:r>
        <w:t xml:space="preserve">substantive rationale.</w:t>
      </w:r>
      <w:r>
        <w:t xml:space="preserve">”</w:t>
      </w:r>
    </w:p>
    <w:p>
      <w:r>
        <w:pict>
          <v:rect style="width:0;height:1.5pt" o:hralign="center" o:hrstd="t" o:hr="t"/>
        </w:pict>
      </w:r>
    </w:p>
    <w:bookmarkEnd w:id="233"/>
    <w:bookmarkStart w:id="234" w:name="trade-war-specifics"/>
    <w:p>
      <w:pPr>
        <w:pStyle w:val="Heading3"/>
      </w:pPr>
      <w:r>
        <w:t xml:space="preserve">Trade War Specifics</w:t>
      </w:r>
    </w:p>
    <w:p>
      <w:pPr>
        <w:pStyle w:val="FirstParagraph"/>
      </w:pPr>
      <w:r>
        <w:rPr>
          <w:bCs/>
          <w:b/>
        </w:rPr>
        <w:t xml:space="preserve">Section 301 Tariffs Timeline</w:t>
      </w:r>
    </w:p>
    <w:p>
      <w:pPr>
        <w:pStyle w:val="BodyText"/>
      </w:pPr>
      <w:r>
        <w:t xml:space="preserve">Investigation initiated</w:t>
      </w:r>
      <w:r>
        <w:t xml:space="preserve"> </w:t>
      </w:r>
      <w:r>
        <w:rPr>
          <w:bCs/>
          <w:b/>
        </w:rPr>
        <w:t xml:space="preserve">August 18, 2017</w:t>
      </w:r>
      <w:r>
        <w:t xml:space="preserve">. USTR findings published March 22, 2018.</w:t>
      </w:r>
    </w:p>
    <w:p>
      <w:pPr>
        <w:numPr>
          <w:ilvl w:val="0"/>
          <w:numId w:val="1006"/>
        </w:numPr>
        <w:pStyle w:val="Compact"/>
      </w:pPr>
      <w:r>
        <w:rPr>
          <w:bCs/>
          <w:b/>
        </w:rPr>
        <w:t xml:space="preserve">List 1</w:t>
      </w:r>
      <w:r>
        <w:t xml:space="preserve"> </w:t>
      </w:r>
      <w:r>
        <w:t xml:space="preserve">(July 6, 2018):</w:t>
      </w:r>
      <w:r>
        <w:t xml:space="preserve"> </w:t>
      </w:r>
      <w:r>
        <w:rPr>
          <w:bCs/>
          <w:b/>
        </w:rPr>
        <w:t xml:space="preserve">$34 billion</w:t>
      </w:r>
      <w:r>
        <w:t xml:space="preserve">,</w:t>
      </w:r>
      <w:r>
        <w:t xml:space="preserve"> </w:t>
      </w:r>
      <w:r>
        <w:rPr>
          <w:bCs/>
          <w:b/>
        </w:rPr>
        <w:t xml:space="preserve">25%</w:t>
      </w:r>
      <w:r>
        <w:t xml:space="preserve"> </w:t>
      </w:r>
      <w:r>
        <w:t xml:space="preserve">tariff, 818 HTS subheadings (capital goods, machinery, electronics)</w:t>
      </w:r>
    </w:p>
    <w:p>
      <w:pPr>
        <w:numPr>
          <w:ilvl w:val="0"/>
          <w:numId w:val="1006"/>
        </w:numPr>
        <w:pStyle w:val="Compact"/>
      </w:pPr>
      <w:r>
        <w:rPr>
          <w:bCs/>
          <w:b/>
        </w:rPr>
        <w:t xml:space="preserve">List 2</w:t>
      </w:r>
      <w:r>
        <w:t xml:space="preserve"> </w:t>
      </w:r>
      <w:r>
        <w:t xml:space="preserve">(August 23, 2018):</w:t>
      </w:r>
      <w:r>
        <w:t xml:space="preserve"> </w:t>
      </w:r>
      <w:r>
        <w:rPr>
          <w:bCs/>
          <w:b/>
        </w:rPr>
        <w:t xml:space="preserve">$16 billion</w:t>
      </w:r>
      <w:r>
        <w:t xml:space="preserve">,</w:t>
      </w:r>
      <w:r>
        <w:t xml:space="preserve"> </w:t>
      </w:r>
      <w:r>
        <w:rPr>
          <w:bCs/>
          <w:b/>
        </w:rPr>
        <w:t xml:space="preserve">25%</w:t>
      </w:r>
      <w:r>
        <w:t xml:space="preserve"> </w:t>
      </w:r>
      <w:r>
        <w:t xml:space="preserve">tariff (industrial materials, metals, chemicals)</w:t>
      </w:r>
    </w:p>
    <w:p>
      <w:pPr>
        <w:numPr>
          <w:ilvl w:val="0"/>
          <w:numId w:val="1006"/>
        </w:numPr>
        <w:pStyle w:val="Compact"/>
      </w:pPr>
      <w:r>
        <w:rPr>
          <w:bCs/>
          <w:b/>
        </w:rPr>
        <w:t xml:space="preserve">List 3</w:t>
      </w:r>
      <w:r>
        <w:t xml:space="preserve"> </w:t>
      </w:r>
      <w:r>
        <w:t xml:space="preserve">(September 24, 2018):</w:t>
      </w:r>
      <w:r>
        <w:t xml:space="preserve"> </w:t>
      </w:r>
      <w:r>
        <w:rPr>
          <w:bCs/>
          <w:b/>
        </w:rPr>
        <w:t xml:space="preserve">$200 billion</w:t>
      </w:r>
      <w:r>
        <w:t xml:space="preserve">, initially</w:t>
      </w:r>
      <w:r>
        <w:t xml:space="preserve"> </w:t>
      </w:r>
      <w:r>
        <w:rPr>
          <w:bCs/>
          <w:b/>
        </w:rPr>
        <w:t xml:space="preserve">10%</w:t>
      </w:r>
      <w:r>
        <w:t xml:space="preserve">, raised to</w:t>
      </w:r>
      <w:r>
        <w:t xml:space="preserve"> </w:t>
      </w:r>
      <w:r>
        <w:rPr>
          <w:bCs/>
          <w:b/>
        </w:rPr>
        <w:t xml:space="preserve">25%</w:t>
      </w:r>
      <w:r>
        <w:t xml:space="preserve"> </w:t>
      </w:r>
      <w:r>
        <w:t xml:space="preserve">May 10, 2019; 5,745 HTS subheadings</w:t>
      </w:r>
    </w:p>
    <w:p>
      <w:pPr>
        <w:numPr>
          <w:ilvl w:val="0"/>
          <w:numId w:val="1006"/>
        </w:numPr>
        <w:pStyle w:val="Compact"/>
      </w:pPr>
      <w:r>
        <w:rPr>
          <w:bCs/>
          <w:b/>
        </w:rPr>
        <w:t xml:space="preserve">List 4A</w:t>
      </w:r>
      <w:r>
        <w:t xml:space="preserve"> </w:t>
      </w:r>
      <w:r>
        <w:t xml:space="preserve">(September 1, 2019):</w:t>
      </w:r>
      <w:r>
        <w:t xml:space="preserve"> </w:t>
      </w:r>
      <w:r>
        <w:rPr>
          <w:bCs/>
          <w:b/>
        </w:rPr>
        <w:t xml:space="preserve">$112-126 billion</w:t>
      </w:r>
      <w:r>
        <w:t xml:space="preserve">,</w:t>
      </w:r>
      <w:r>
        <w:t xml:space="preserve"> </w:t>
      </w:r>
      <w:r>
        <w:rPr>
          <w:bCs/>
          <w:b/>
        </w:rPr>
        <w:t xml:space="preserve">15%</w:t>
      </w:r>
      <w:r>
        <w:t xml:space="preserve"> </w:t>
      </w:r>
      <w:r>
        <w:t xml:space="preserve">(reduced to</w:t>
      </w:r>
      <w:r>
        <w:t xml:space="preserve"> </w:t>
      </w:r>
      <w:r>
        <w:rPr>
          <w:bCs/>
          <w:b/>
        </w:rPr>
        <w:t xml:space="preserve">7.5%</w:t>
      </w:r>
      <w:r>
        <w:t xml:space="preserve"> </w:t>
      </w:r>
      <w:r>
        <w:t xml:space="preserve">February 14, 2020)</w:t>
      </w:r>
    </w:p>
    <w:p>
      <w:pPr>
        <w:numPr>
          <w:ilvl w:val="0"/>
          <w:numId w:val="1006"/>
        </w:numPr>
        <w:pStyle w:val="Compact"/>
      </w:pPr>
      <w:r>
        <w:rPr>
          <w:bCs/>
          <w:b/>
        </w:rPr>
        <w:t xml:space="preserve">List 4B</w:t>
      </w:r>
      <w:r>
        <w:t xml:space="preserve">: Scheduled January 1, 2020—</w:t>
      </w:r>
      <w:r>
        <w:rPr>
          <w:bCs/>
          <w:b/>
        </w:rPr>
        <w:t xml:space="preserve">suspended, never implemented</w:t>
      </w:r>
    </w:p>
    <w:p>
      <w:pPr>
        <w:pStyle w:val="FirstParagraph"/>
      </w:pPr>
      <w:r>
        <w:t xml:space="preserve">Total coverage by end 2019:</w:t>
      </w:r>
      <w:r>
        <w:t xml:space="preserve"> </w:t>
      </w:r>
      <w:r>
        <w:rPr>
          <w:bCs/>
          <w:b/>
        </w:rPr>
        <w:t xml:space="preserve">&gt;$360 billion</w:t>
      </w:r>
      <w:r>
        <w:t xml:space="preserve"> </w:t>
      </w:r>
      <w:r>
        <w:t xml:space="preserve">of Chinese imports. Trade-weighted average U.S. tariff on Chinese imports increased from</w:t>
      </w:r>
      <w:r>
        <w:t xml:space="preserve"> </w:t>
      </w:r>
      <w:r>
        <w:rPr>
          <w:bCs/>
          <w:b/>
        </w:rPr>
        <w:t xml:space="preserve">3%</w:t>
      </w:r>
      <w:r>
        <w:t xml:space="preserve"> </w:t>
      </w:r>
      <w:r>
        <w:t xml:space="preserve">(January 2018) to</w:t>
      </w:r>
      <w:r>
        <w:t xml:space="preserve"> </w:t>
      </w:r>
      <w:r>
        <w:rPr>
          <w:bCs/>
          <w:b/>
        </w:rPr>
        <w:t xml:space="preserve">~19-21%</w:t>
      </w:r>
      <w:r>
        <w:t xml:space="preserve"> </w:t>
      </w:r>
      <w:r>
        <w:t xml:space="preserve">post-Phase One.</w:t>
      </w:r>
    </w:p>
    <w:p>
      <w:pPr>
        <w:pStyle w:val="BodyText"/>
      </w:pPr>
      <w:r>
        <w:rPr>
          <w:bCs/>
          <w:b/>
        </w:rPr>
        <w:t xml:space="preserve">China Retaliation</w:t>
      </w:r>
    </w:p>
    <w:p>
      <w:pPr>
        <w:pStyle w:val="BodyText"/>
      </w:pPr>
      <w:r>
        <w:t xml:space="preserve">July 6, 2018:</w:t>
      </w:r>
      <w:r>
        <w:t xml:space="preserve"> </w:t>
      </w:r>
      <w:r>
        <w:rPr>
          <w:bCs/>
          <w:b/>
        </w:rPr>
        <w:t xml:space="preserve">25% tariff on $50 billion</w:t>
      </w:r>
      <w:r>
        <w:t xml:space="preserve"> </w:t>
      </w:r>
      <w:r>
        <w:t xml:space="preserve">U.S. goods including soybeans. September 24, 2018:</w:t>
      </w:r>
      <w:r>
        <w:t xml:space="preserve"> </w:t>
      </w:r>
      <w:r>
        <w:rPr>
          <w:bCs/>
          <w:b/>
        </w:rPr>
        <w:t xml:space="preserve">5-10%</w:t>
      </w:r>
      <w:r>
        <w:t xml:space="preserve"> </w:t>
      </w:r>
      <w:r>
        <w:t xml:space="preserve">on</w:t>
      </w:r>
      <w:r>
        <w:t xml:space="preserve"> </w:t>
      </w:r>
      <w:r>
        <w:rPr>
          <w:bCs/>
          <w:b/>
        </w:rPr>
        <w:t xml:space="preserve">5,207 products</w:t>
      </w:r>
      <w:r>
        <w:t xml:space="preserve"> </w:t>
      </w:r>
      <w:r>
        <w:t xml:space="preserve">worth</w:t>
      </w:r>
      <w:r>
        <w:t xml:space="preserve"> </w:t>
      </w:r>
      <w:r>
        <w:rPr>
          <w:bCs/>
          <w:b/>
        </w:rPr>
        <w:t xml:space="preserve">$60 billion</w:t>
      </w:r>
      <w:r>
        <w:t xml:space="preserve">. May/June 2019: Additional tariffs on</w:t>
      </w:r>
      <w:r>
        <w:t xml:space="preserve"> </w:t>
      </w:r>
      <w:r>
        <w:rPr>
          <w:bCs/>
          <w:b/>
        </w:rPr>
        <w:t xml:space="preserve">5,140 exports</w:t>
      </w:r>
      <w:r>
        <w:t xml:space="preserve">. Agricultural targeting:</w:t>
      </w:r>
      <w:r>
        <w:t xml:space="preserve"> </w:t>
      </w:r>
      <w:r>
        <w:rPr>
          <w:bCs/>
          <w:b/>
        </w:rPr>
        <w:t xml:space="preserve">$30.4 billion</w:t>
      </w:r>
      <w:r>
        <w:t xml:space="preserve"> </w:t>
      </w:r>
      <w:r>
        <w:t xml:space="preserve">affected. Soybean impact: China represented</w:t>
      </w:r>
      <w:r>
        <w:t xml:space="preserve"> </w:t>
      </w:r>
      <w:r>
        <w:rPr>
          <w:bCs/>
          <w:b/>
        </w:rPr>
        <w:t xml:space="preserve">60-63%</w:t>
      </w:r>
      <w:r>
        <w:t xml:space="preserve"> </w:t>
      </w:r>
      <w:r>
        <w:t xml:space="preserve">of U.S. exports (~$12.3B, 2017); dropped to</w:t>
      </w:r>
      <w:r>
        <w:t xml:space="preserve"> </w:t>
      </w:r>
      <w:r>
        <w:rPr>
          <w:bCs/>
          <w:b/>
        </w:rPr>
        <w:t xml:space="preserve">$3.1 billion</w:t>
      </w:r>
      <w:r>
        <w:t xml:space="preserve"> </w:t>
      </w:r>
      <w:r>
        <w:t xml:space="preserve">(2018)—collapse to 18%. Annual U.S. losses from retaliation:</w:t>
      </w:r>
      <w:r>
        <w:t xml:space="preserve"> </w:t>
      </w:r>
      <w:r>
        <w:rPr>
          <w:bCs/>
          <w:b/>
        </w:rPr>
        <w:t xml:space="preserve">$13.2 billion</w:t>
      </w:r>
      <w:r>
        <w:t xml:space="preserve"> </w:t>
      </w:r>
      <w:r>
        <w:t xml:space="preserve">(USDA ERS).</w:t>
      </w:r>
    </w:p>
    <w:p>
      <w:pPr>
        <w:pStyle w:val="BodyText"/>
      </w:pPr>
      <w:r>
        <w:rPr>
          <w:bCs/>
          <w:b/>
        </w:rPr>
        <w:t xml:space="preserve">Phase One Deal (January 15, 2020)</w:t>
      </w:r>
    </w:p>
    <w:p>
      <w:pPr>
        <w:pStyle w:val="BodyText"/>
      </w:pPr>
      <w:r>
        <w:t xml:space="preserve">Purchase commitments:</w:t>
      </w:r>
      <w:r>
        <w:t xml:space="preserve"> </w:t>
      </w:r>
      <w:r>
        <w:rPr>
          <w:bCs/>
          <w:b/>
        </w:rPr>
        <w:t xml:space="preserve">$200 billion above 2017 baseline</w:t>
      </w:r>
      <w:r>
        <w:t xml:space="preserve"> </w:t>
      </w:r>
      <w:r>
        <w:t xml:space="preserve">over 2 years. Category breakdown: Manufacturing $77.7B, Energy $52.4B, Agriculture $32B, Services $37.9B.</w:t>
      </w:r>
    </w:p>
    <w:p>
      <w:pPr>
        <w:pStyle w:val="BodyText"/>
      </w:pPr>
      <w:r>
        <w:t xml:space="preserve">Peterson Institute compliance tracking (two-year performance): Total commitment:</w:t>
      </w:r>
      <w:r>
        <w:t xml:space="preserve"> </w:t>
      </w:r>
      <w:r>
        <w:rPr>
          <w:bCs/>
          <w:b/>
        </w:rPr>
        <w:t xml:space="preserve">$380.5 billion</w:t>
      </w:r>
      <w:r>
        <w:t xml:space="preserve">; actual Chinese imports:</w:t>
      </w:r>
      <w:r>
        <w:t xml:space="preserve"> </w:t>
      </w:r>
      <w:r>
        <w:rPr>
          <w:bCs/>
          <w:b/>
        </w:rPr>
        <w:t xml:space="preserve">$235.3 billion</w:t>
      </w:r>
      <w:r>
        <w:t xml:space="preserve">.</w:t>
      </w:r>
      <w:r>
        <w:t xml:space="preserve"> </w:t>
      </w:r>
      <w:r>
        <w:rPr>
          <w:bCs/>
          <w:b/>
        </w:rPr>
        <w:t xml:space="preserve">Compliance rate: 58-62%</w:t>
      </w:r>
      <w:r>
        <w:t xml:space="preserve">. Agriculture: 77-83%; Manufacturing: 59-61%; Energy: 37-47%.</w:t>
      </w:r>
    </w:p>
    <w:p>
      <w:pPr>
        <w:pStyle w:val="BodyText"/>
      </w:pPr>
      <w:r>
        <w:rPr>
          <w:bCs/>
          <w:b/>
        </w:rPr>
        <w:t xml:space="preserve">Market Facilitation Program</w:t>
      </w:r>
    </w:p>
    <w:p>
      <w:pPr>
        <w:pStyle w:val="BodyText"/>
      </w:pPr>
      <w:r>
        <w:rPr>
          <w:bCs/>
          <w:b/>
        </w:rPr>
        <w:t xml:space="preserve">Program 1 (2018)</w:t>
      </w:r>
      <w:r>
        <w:t xml:space="preserve">: Maximum authorization $12B; actual MFP payments</w:t>
      </w:r>
      <w:r>
        <w:t xml:space="preserve"> </w:t>
      </w:r>
      <w:r>
        <w:rPr>
          <w:bCs/>
          <w:b/>
        </w:rPr>
        <w:t xml:space="preserve">$8.59 billion</w:t>
      </w:r>
      <w:r>
        <w:t xml:space="preserve"> </w:t>
      </w:r>
      <w:r>
        <w:t xml:space="preserve">(soybeans:</w:t>
      </w:r>
      <w:r>
        <w:t xml:space="preserve"> </w:t>
      </w:r>
      <w:r>
        <w:rPr>
          <w:bCs/>
          <w:b/>
        </w:rPr>
        <w:t xml:space="preserve">$5.1B</w:t>
      </w:r>
      <w:r>
        <w:t xml:space="preserve">, 85% of total).</w:t>
      </w:r>
    </w:p>
    <w:p>
      <w:pPr>
        <w:pStyle w:val="BodyText"/>
      </w:pPr>
      <w:r>
        <w:rPr>
          <w:bCs/>
          <w:b/>
        </w:rPr>
        <w:t xml:space="preserve">Program 2 (2019)</w:t>
      </w:r>
      <w:r>
        <w:t xml:space="preserve">: Maximum authorization $14.5B; actual payments</w:t>
      </w:r>
      <w:r>
        <w:t xml:space="preserve"> </w:t>
      </w:r>
      <w:r>
        <w:rPr>
          <w:bCs/>
          <w:b/>
        </w:rPr>
        <w:t xml:space="preserve">$14.4-14.5 billion</w:t>
      </w:r>
      <w:r>
        <w:t xml:space="preserve"> </w:t>
      </w:r>
      <w:r>
        <w:t xml:space="preserve">to 643,965 farming operations. Payment rates:</w:t>
      </w:r>
      <w:r>
        <w:t xml:space="preserve"> </w:t>
      </w:r>
      <w:r>
        <w:rPr>
          <w:bCs/>
          <w:b/>
        </w:rPr>
        <w:t xml:space="preserve">$15-150/acre</w:t>
      </w:r>
      <w:r>
        <w:t xml:space="preserve"> </w:t>
      </w:r>
      <w:r>
        <w:t xml:space="preserve">across 41 commodities.</w:t>
      </w:r>
    </w:p>
    <w:p>
      <w:pPr>
        <w:pStyle w:val="BodyText"/>
      </w:pPr>
      <w:r>
        <w:t xml:space="preserve">Combined 2018-2019:</w:t>
      </w:r>
      <w:r>
        <w:t xml:space="preserve"> </w:t>
      </w:r>
      <w:r>
        <w:rPr>
          <w:bCs/>
          <w:b/>
        </w:rPr>
        <w:t xml:space="preserve">$23 billion</w:t>
      </w:r>
      <w:r>
        <w:t xml:space="preserve"> </w:t>
      </w:r>
      <w:r>
        <w:t xml:space="preserve">(GAO 2022). Total trade aid 2018-2019:</w:t>
      </w:r>
      <w:r>
        <w:t xml:space="preserve"> </w:t>
      </w:r>
      <w:r>
        <w:rPr>
          <w:bCs/>
          <w:b/>
        </w:rPr>
        <w:t xml:space="preserve">~$28 billion</w:t>
      </w:r>
      <w:r>
        <w:t xml:space="preserve">.</w:t>
      </w:r>
    </w:p>
    <w:p>
      <w:pPr>
        <w:pStyle w:val="BodyText"/>
      </w:pPr>
      <w:r>
        <w:rPr>
          <w:bCs/>
          <w:b/>
        </w:rPr>
        <w:t xml:space="preserve">Economic Impact Studies</w:t>
      </w:r>
    </w:p>
    <w:p>
      <w:pPr>
        <w:pStyle w:val="BodyText"/>
      </w:pPr>
      <w:r>
        <w:rPr>
          <w:bCs/>
          <w:b/>
        </w:rPr>
        <w:t xml:space="preserve">Amiti, Redding, Weinstein</w:t>
      </w:r>
      <w:r>
        <w:t xml:space="preserve"> </w:t>
      </w:r>
      <w:r>
        <w:t xml:space="preserve">(Journal of Economic Perspectives, Fall 2019): Found</w:t>
      </w:r>
      <w:r>
        <w:t xml:space="preserve"> </w:t>
      </w:r>
      <w:r>
        <w:rPr>
          <w:bCs/>
          <w:b/>
        </w:rPr>
        <w:t xml:space="preserve">complete pass-through</w:t>
      </w:r>
      <w:r>
        <w:t xml:space="preserve"> </w:t>
      </w:r>
      <w:r>
        <w:t xml:space="preserve">of tariffs into domestic prices—full incidence fell on domestic consumers. Aggregate U.S. real income reduction:</w:t>
      </w:r>
      <w:r>
        <w:t xml:space="preserve"> </w:t>
      </w:r>
      <w:r>
        <w:rPr>
          <w:bCs/>
          <w:b/>
        </w:rPr>
        <w:t xml:space="preserve">$1.4 billion per month</w:t>
      </w:r>
      <w:r>
        <w:t xml:space="preserve"> </w:t>
      </w:r>
      <w:r>
        <w:t xml:space="preserve">by end 2018.</w:t>
      </w:r>
    </w:p>
    <w:p>
      <w:pPr>
        <w:pStyle w:val="BodyText"/>
      </w:pPr>
      <w:r>
        <w:rPr>
          <w:bCs/>
          <w:b/>
        </w:rPr>
        <w:t xml:space="preserve">CBO August 2019</w:t>
      </w:r>
      <w:r>
        <w:t xml:space="preserve">: Trade barriers reduce real GDP by</w:t>
      </w:r>
      <w:r>
        <w:t xml:space="preserve"> </w:t>
      </w:r>
      <w:r>
        <w:rPr>
          <w:bCs/>
          <w:b/>
        </w:rPr>
        <w:t xml:space="preserve">0.3%</w:t>
      </w:r>
      <w:r>
        <w:t xml:space="preserve"> </w:t>
      </w:r>
      <w:r>
        <w:t xml:space="preserve">by 2020; reduce average real household income by</w:t>
      </w:r>
      <w:r>
        <w:t xml:space="preserve"> </w:t>
      </w:r>
      <w:r>
        <w:rPr>
          <w:bCs/>
          <w:b/>
        </w:rPr>
        <w:t xml:space="preserve">$580</w:t>
      </w:r>
      <w:r>
        <w:t xml:space="preserve"> </w:t>
      </w:r>
      <w:r>
        <w:t xml:space="preserve">(2019 dollars).</w:t>
      </w:r>
    </w:p>
    <w:p>
      <w:pPr>
        <w:pStyle w:val="BodyText"/>
      </w:pPr>
      <w:r>
        <w:t xml:space="preserve">Trade deficit outcomes: Nominal deficit declined in 2019-2020 but primarily through trade diversion to Vietnam, Mexico. U.S. exports to China</w:t>
      </w:r>
      <w:r>
        <w:t xml:space="preserve"> </w:t>
      </w:r>
      <w:r>
        <w:rPr>
          <w:bCs/>
          <w:b/>
        </w:rPr>
        <w:t xml:space="preserve">also fell</w:t>
      </w:r>
      <w:r>
        <w:t xml:space="preserve">, partly offsetting. Peterson Institute: U.S. goods exports 2018-21 were</w:t>
      </w:r>
      <w:r>
        <w:t xml:space="preserve"> </w:t>
      </w:r>
      <w:r>
        <w:rPr>
          <w:bCs/>
          <w:b/>
        </w:rPr>
        <w:t xml:space="preserve">~19% lower</w:t>
      </w:r>
      <w:r>
        <w:t xml:space="preserve"> </w:t>
      </w:r>
      <w:r>
        <w:t xml:space="preserve">than counterfactual.</w:t>
      </w:r>
    </w:p>
    <w:p>
      <w:r>
        <w:pict>
          <v:rect style="width:0;height:1.5pt" o:hralign="center" o:hrstd="t" o:hr="t"/>
        </w:pict>
      </w:r>
    </w:p>
    <w:bookmarkEnd w:id="234"/>
    <w:bookmarkStart w:id="235" w:name="technology-domain"/>
    <w:p>
      <w:pPr>
        <w:pStyle w:val="Heading3"/>
      </w:pPr>
      <w:r>
        <w:t xml:space="preserve">Technology Domain</w:t>
      </w:r>
    </w:p>
    <w:p>
      <w:pPr>
        <w:pStyle w:val="FirstParagraph"/>
      </w:pPr>
      <w:r>
        <w:rPr>
          <w:bCs/>
          <w:b/>
        </w:rPr>
        <w:t xml:space="preserve">Huawei Ban Timeline</w:t>
      </w:r>
    </w:p>
    <w:p>
      <w:pPr>
        <w:pStyle w:val="BodyText"/>
      </w:pPr>
      <w:r>
        <w:t xml:space="preserve">Entity List addition:</w:t>
      </w:r>
      <w:r>
        <w:t xml:space="preserve"> </w:t>
      </w:r>
      <w:r>
        <w:rPr>
          <w:bCs/>
          <w:b/>
        </w:rPr>
        <w:t xml:space="preserve">May 16, 2019</w:t>
      </w:r>
      <w:r>
        <w:t xml:space="preserve">. Additional 46 affiliates: August 19, 2019. TSMC cutoff rule: May 15, 2020; deadline</w:t>
      </w:r>
      <w:r>
        <w:t xml:space="preserve"> </w:t>
      </w:r>
      <w:r>
        <w:rPr>
          <w:bCs/>
          <w:b/>
        </w:rPr>
        <w:t xml:space="preserve">September 15, 2020</w:t>
      </w:r>
      <w:r>
        <w:t xml:space="preserve">. Impact: Huawei smartphone market share Q2 2020:</w:t>
      </w:r>
      <w:r>
        <w:t xml:space="preserve"> </w:t>
      </w:r>
      <w:r>
        <w:rPr>
          <w:bCs/>
          <w:b/>
        </w:rPr>
        <w:t xml:space="preserve">18.4%</w:t>
      </w:r>
      <w:r>
        <w:t xml:space="preserve"> </w:t>
      </w:r>
      <w:r>
        <w:t xml:space="preserve">(peak) → Q4 2020:</w:t>
      </w:r>
      <w:r>
        <w:t xml:space="preserve"> </w:t>
      </w:r>
      <w:r>
        <w:rPr>
          <w:bCs/>
          <w:b/>
        </w:rPr>
        <w:t xml:space="preserve">8.9%</w:t>
      </w:r>
      <w:r>
        <w:t xml:space="preserve"> </w:t>
      </w:r>
      <w:r>
        <w:t xml:space="preserve">(41% YoY decline). Dropped from #1 to #6 globally.</w:t>
      </w:r>
    </w:p>
    <w:p>
      <w:pPr>
        <w:pStyle w:val="BodyText"/>
      </w:pPr>
      <w:r>
        <w:rPr>
          <w:bCs/>
          <w:b/>
        </w:rPr>
        <w:t xml:space="preserve">5G Equipment Exclusion</w:t>
      </w:r>
      <w:r>
        <w:t xml:space="preserve">: UK announced ban</w:t>
      </w:r>
      <w:r>
        <w:t xml:space="preserve"> </w:t>
      </w:r>
      <w:r>
        <w:rPr>
          <w:bCs/>
          <w:b/>
        </w:rPr>
        <w:t xml:space="preserve">July 14, 2020</w:t>
      </w:r>
      <w:r>
        <w:t xml:space="preserve"> </w:t>
      </w:r>
      <w:r>
        <w:t xml:space="preserve">(removal by 2027); Sweden October 2020;</w:t>
      </w:r>
      <w:r>
        <w:t xml:space="preserve"> </w:t>
      </w:r>
      <w:r>
        <w:rPr>
          <w:bCs/>
          <w:b/>
        </w:rPr>
        <w:t xml:space="preserve">11 of 27 EU members</w:t>
      </w:r>
      <w:r>
        <w:t xml:space="preserve"> </w:t>
      </w:r>
      <w:r>
        <w:t xml:space="preserve">implemented restrictions by August 2024.</w:t>
      </w:r>
    </w:p>
    <w:p>
      <w:pPr>
        <w:pStyle w:val="BodyText"/>
      </w:pPr>
      <w:r>
        <w:rPr>
          <w:bCs/>
          <w:b/>
        </w:rPr>
        <w:t xml:space="preserve">TikTok Ban Attempt 2020</w:t>
      </w:r>
    </w:p>
    <w:p>
      <w:pPr>
        <w:pStyle w:val="BodyText"/>
      </w:pPr>
      <w:r>
        <w:t xml:space="preserve">Executive Order 13942:</w:t>
      </w:r>
      <w:r>
        <w:t xml:space="preserve"> </w:t>
      </w:r>
      <w:r>
        <w:rPr>
          <w:bCs/>
          <w:b/>
        </w:rPr>
        <w:t xml:space="preserve">August 6, 2020</w:t>
      </w:r>
      <w:r>
        <w:t xml:space="preserve">. Divestiture deadline: 90 days from August 14, 2020.</w:t>
      </w:r>
      <w:r>
        <w:t xml:space="preserve"> </w:t>
      </w:r>
      <w:r>
        <w:rPr>
          <w:bCs/>
          <w:b/>
        </w:rPr>
        <w:t xml:space="preserve">October 30, 2020</w:t>
      </w:r>
      <w:r>
        <w:t xml:space="preserve">: Federal judge granted preliminary injunction, ruling EO exceeded IEEPA statutory authority protecting</w:t>
      </w:r>
      <w:r>
        <w:t xml:space="preserve"> </w:t>
      </w:r>
      <w:r>
        <w:t xml:space="preserve">“</w:t>
      </w:r>
      <w:r>
        <w:t xml:space="preserve">informational materials.</w:t>
      </w:r>
      <w:r>
        <w:t xml:space="preserve">”</w:t>
      </w:r>
    </w:p>
    <w:p>
      <w:pPr>
        <w:pStyle w:val="BodyText"/>
      </w:pPr>
      <w:r>
        <w:rPr>
          <w:bCs/>
          <w:b/>
        </w:rPr>
        <w:t xml:space="preserve">Clean Network Initiative</w:t>
      </w:r>
    </w:p>
    <w:p>
      <w:pPr>
        <w:pStyle w:val="BodyText"/>
      </w:pPr>
      <w:r>
        <w:t xml:space="preserve">Announced August 5, 2020 with five pillars: Clean Carrier, Clean Store, Clean Apps, Clean Cloud, Clean Cable. Countries joining:</w:t>
      </w:r>
      <w:r>
        <w:t xml:space="preserve"> </w:t>
      </w:r>
      <w:r>
        <w:rPr>
          <w:bCs/>
          <w:b/>
        </w:rPr>
        <w:t xml:space="preserve">60+ nations</w:t>
      </w:r>
      <w:r>
        <w:t xml:space="preserve"> </w:t>
      </w:r>
      <w:r>
        <w:t xml:space="preserve">(representing 2/3 global GDP),</w:t>
      </w:r>
      <w:r>
        <w:t xml:space="preserve"> </w:t>
      </w:r>
      <w:r>
        <w:rPr>
          <w:bCs/>
          <w:b/>
        </w:rPr>
        <w:t xml:space="preserve">200 telecom companies</w:t>
      </w:r>
      <w:r>
        <w:t xml:space="preserve">.</w:t>
      </w:r>
      <w:r>
        <w:t xml:space="preserve"> </w:t>
      </w:r>
      <w:r>
        <w:rPr>
          <w:bCs/>
          <w:b/>
        </w:rPr>
        <w:t xml:space="preserve">26 of 27 EU members</w:t>
      </w:r>
      <w:r>
        <w:t xml:space="preserve"> </w:t>
      </w:r>
      <w:r>
        <w:t xml:space="preserve">joined.</w:t>
      </w:r>
    </w:p>
    <w:p>
      <w:r>
        <w:pict>
          <v:rect style="width:0;height:1.5pt" o:hralign="center" o:hrstd="t" o:hr="t"/>
        </w:pict>
      </w:r>
    </w:p>
    <w:bookmarkEnd w:id="235"/>
    <w:bookmarkStart w:id="236" w:name="covid-response"/>
    <w:p>
      <w:pPr>
        <w:pStyle w:val="Heading3"/>
      </w:pPr>
      <w:r>
        <w:t xml:space="preserve">COVID Response</w:t>
      </w:r>
    </w:p>
    <w:p>
      <w:pPr>
        <w:pStyle w:val="FirstParagraph"/>
      </w:pPr>
      <w:r>
        <w:rPr>
          <w:bCs/>
          <w:b/>
        </w:rPr>
        <w:t xml:space="preserve">Operation Warp Speed</w:t>
      </w:r>
    </w:p>
    <w:p>
      <w:pPr>
        <w:pStyle w:val="BodyText"/>
      </w:pPr>
      <w:r>
        <w:t xml:space="preserve">Announced</w:t>
      </w:r>
      <w:r>
        <w:t xml:space="preserve"> </w:t>
      </w:r>
      <w:r>
        <w:rPr>
          <w:bCs/>
          <w:b/>
        </w:rPr>
        <w:t xml:space="preserve">May 15, 2020</w:t>
      </w:r>
      <w:r>
        <w:t xml:space="preserve">. Chief Adviser: Moncef Slaoui. Total funding:</w:t>
      </w:r>
      <w:r>
        <w:t xml:space="preserve"> </w:t>
      </w:r>
      <w:r>
        <w:rPr>
          <w:bCs/>
          <w:b/>
        </w:rPr>
        <w:t xml:space="preserve">~$18 billion</w:t>
      </w:r>
      <w:r>
        <w:t xml:space="preserve">. Company contracts:</w:t>
      </w:r>
      <w:r>
        <w:t xml:space="preserve"> </w:t>
      </w:r>
      <w:r>
        <w:rPr>
          <w:bCs/>
          <w:b/>
        </w:rPr>
        <w:t xml:space="preserve">Moderna ~$4.1B</w:t>
      </w:r>
      <w:r>
        <w:t xml:space="preserve"> </w:t>
      </w:r>
      <w:r>
        <w:t xml:space="preserve">total;</w:t>
      </w:r>
      <w:r>
        <w:t xml:space="preserve"> </w:t>
      </w:r>
      <w:r>
        <w:rPr>
          <w:bCs/>
          <w:b/>
        </w:rPr>
        <w:t xml:space="preserve">Pfizer $1.95B</w:t>
      </w:r>
      <w:r>
        <w:t xml:space="preserve"> </w:t>
      </w:r>
      <w:r>
        <w:t xml:space="preserve">(purchase only—no R&amp;D funding); Johnson &amp; Johnson $1B+; AstraZeneca $1.2B; Novavax $1.6B.</w:t>
      </w:r>
    </w:p>
    <w:p>
      <w:pPr>
        <w:pStyle w:val="BodyText"/>
      </w:pPr>
      <w:r>
        <w:t xml:space="preserve">Timeline acceleration: Normal 10-15 years →</w:t>
      </w:r>
      <w:r>
        <w:t xml:space="preserve"> </w:t>
      </w:r>
      <w:r>
        <w:rPr>
          <w:bCs/>
          <w:b/>
        </w:rPr>
        <w:t xml:space="preserve">&lt;1 year</w:t>
      </w:r>
      <w:r>
        <w:t xml:space="preserve"> </w:t>
      </w:r>
      <w:r>
        <w:t xml:space="preserve">from sequence publication to EUA.</w:t>
      </w:r>
    </w:p>
    <w:p>
      <w:pPr>
        <w:pStyle w:val="BodyText"/>
      </w:pPr>
      <w:r>
        <w:rPr>
          <w:bCs/>
          <w:b/>
        </w:rPr>
        <w:t xml:space="preserve">Vaccine Milestones</w:t>
      </w:r>
    </w:p>
    <w:p>
      <w:pPr>
        <w:pStyle w:val="BodyText"/>
      </w:pPr>
      <w:r>
        <w:t xml:space="preserve">Pfizer EUA:</w:t>
      </w:r>
      <w:r>
        <w:t xml:space="preserve"> </w:t>
      </w:r>
      <w:r>
        <w:rPr>
          <w:bCs/>
          <w:b/>
        </w:rPr>
        <w:t xml:space="preserve">December 11, 2020</w:t>
      </w:r>
      <w:r>
        <w:t xml:space="preserve">. Moderna EUA:</w:t>
      </w:r>
      <w:r>
        <w:t xml:space="preserve"> </w:t>
      </w:r>
      <w:r>
        <w:rPr>
          <w:bCs/>
          <w:b/>
        </w:rPr>
        <w:t xml:space="preserve">December 18, 2020</w:t>
      </w:r>
      <w:r>
        <w:t xml:space="preserve">. J&amp;J EUA:</w:t>
      </w:r>
      <w:r>
        <w:t xml:space="preserve"> </w:t>
      </w:r>
      <w:r>
        <w:rPr>
          <w:bCs/>
          <w:b/>
        </w:rPr>
        <w:t xml:space="preserve">February 27, 2021</w:t>
      </w:r>
      <w:r>
        <w:t xml:space="preserve">. First vaccinations:</w:t>
      </w:r>
      <w:r>
        <w:t xml:space="preserve"> </w:t>
      </w:r>
      <w:r>
        <w:rPr>
          <w:bCs/>
          <w:b/>
        </w:rPr>
        <w:t xml:space="preserve">December 14, 2020</w:t>
      </w:r>
      <w:r>
        <w:t xml:space="preserve">.</w:t>
      </w:r>
    </w:p>
    <w:p>
      <w:pPr>
        <w:pStyle w:val="BodyText"/>
      </w:pPr>
      <w:r>
        <w:rPr>
          <w:bCs/>
          <w:b/>
        </w:rPr>
        <w:t xml:space="preserve">International Comparison (Deaths)</w:t>
      </w:r>
    </w:p>
    <w:p>
      <w:pPr>
        <w:pStyle w:val="BodyText"/>
      </w:pPr>
      <w:r>
        <w:t xml:space="preserve">Using excess deaths as percentage of expected (Health Foundation UK):</w:t>
      </w:r>
      <w:r>
        <w:t xml:space="preserve"> </w:t>
      </w:r>
      <w:r>
        <w:rPr>
          <w:bCs/>
          <w:b/>
        </w:rPr>
        <w:t xml:space="preserve">U.S. ~25%</w:t>
      </w:r>
      <w:r>
        <w:t xml:space="preserve"> </w:t>
      </w:r>
      <w:r>
        <w:t xml:space="preserve">(worst G7 performer); UK ~20%; Italy ~15%; France ~10%; Canada ~5%; Germany lowest; Japan showed negative excess deaths.</w:t>
      </w:r>
    </w:p>
    <w:p>
      <w:pPr>
        <w:pStyle w:val="BodyText"/>
      </w:pPr>
      <w:r>
        <w:rPr>
          <w:bCs/>
          <w:b/>
        </w:rPr>
        <w:t xml:space="preserve">Fiscal Stimulus Comparison</w:t>
      </w:r>
    </w:p>
    <w:p>
      <w:pPr>
        <w:pStyle w:val="BodyText"/>
      </w:pPr>
      <w:r>
        <w:t xml:space="preserve">CARES Act</w:t>
      </w:r>
      <w:r>
        <w:t xml:space="preserve"> </w:t>
      </w:r>
      <w:r>
        <w:rPr>
          <w:bCs/>
          <w:b/>
        </w:rPr>
        <w:t xml:space="preserve">March 27, 2020</w:t>
      </w:r>
      <w:r>
        <w:t xml:space="preserve">:</w:t>
      </w:r>
      <w:r>
        <w:t xml:space="preserve"> </w:t>
      </w:r>
      <w:r>
        <w:rPr>
          <w:bCs/>
          <w:b/>
        </w:rPr>
        <w:t xml:space="preserve">$2.2 trillion</w:t>
      </w:r>
      <w:r>
        <w:t xml:space="preserve"> </w:t>
      </w:r>
      <w:r>
        <w:t xml:space="preserve">($300B direct payments, $260B UI, $350-669B PPP, $500B corporate loans). Total 2020 packages: ~$3.8 trillion.</w:t>
      </w:r>
    </w:p>
    <w:p>
      <w:pPr>
        <w:pStyle w:val="BodyText"/>
      </w:pPr>
      <w:r>
        <w:t xml:space="preserve">As % GDP:</w:t>
      </w:r>
      <w:r>
        <w:t xml:space="preserve"> </w:t>
      </w:r>
      <w:r>
        <w:rPr>
          <w:bCs/>
          <w:b/>
        </w:rPr>
        <w:t xml:space="preserve">U.S. 11.8%</w:t>
      </w:r>
      <w:r>
        <w:t xml:space="preserve"> </w:t>
      </w:r>
      <w:r>
        <w:t xml:space="preserve">additional spending + 2.5% liquidity support (~14.3% total); Japan ~35%+; Germany ~28%+; UK/France ~13-15%.</w:t>
      </w:r>
    </w:p>
    <w:p>
      <w:pPr>
        <w:pStyle w:val="BodyText"/>
      </w:pPr>
      <w:r>
        <w:rPr>
          <w:bCs/>
          <w:b/>
        </w:rPr>
        <w:t xml:space="preserve">Unemployment Response</w:t>
      </w:r>
    </w:p>
    <w:p>
      <w:pPr>
        <w:pStyle w:val="BodyText"/>
      </w:pPr>
      <w:r>
        <w:t xml:space="preserve">Peak:</w:t>
      </w:r>
      <w:r>
        <w:t xml:space="preserve"> </w:t>
      </w:r>
      <w:r>
        <w:rPr>
          <w:bCs/>
          <w:b/>
        </w:rPr>
        <w:t xml:space="preserve">14.7%</w:t>
      </w:r>
      <w:r>
        <w:t xml:space="preserve"> </w:t>
      </w:r>
      <w:r>
        <w:t xml:space="preserve">(April 2020)—highest since Great Depression. Weekly initial claims:</w:t>
      </w:r>
      <w:r>
        <w:t xml:space="preserve"> </w:t>
      </w:r>
      <w:r>
        <w:rPr>
          <w:bCs/>
          <w:b/>
        </w:rPr>
        <w:t xml:space="preserve">3.3 million</w:t>
      </w:r>
      <w:r>
        <w:t xml:space="preserve"> </w:t>
      </w:r>
      <w:r>
        <w:t xml:space="preserve">(week ending March 21, 2020)—nearly 5x previous record (695,000 in 1982). Total pandemic job losses:</w:t>
      </w:r>
      <w:r>
        <w:t xml:space="preserve"> </w:t>
      </w:r>
      <w:r>
        <w:rPr>
          <w:bCs/>
          <w:b/>
        </w:rPr>
        <w:t xml:space="preserve">~22 million</w:t>
      </w:r>
      <w:r>
        <w:t xml:space="preserve">.</w:t>
      </w:r>
    </w:p>
    <w:p>
      <w:pPr>
        <w:pStyle w:val="BodyText"/>
      </w:pPr>
      <w:r>
        <w:t xml:space="preserve">FPUC:</w:t>
      </w:r>
      <w:r>
        <w:t xml:space="preserve"> </w:t>
      </w:r>
      <w:r>
        <w:rPr>
          <w:bCs/>
          <w:b/>
        </w:rPr>
        <w:t xml:space="preserve">$600/week</w:t>
      </w:r>
      <w:r>
        <w:t xml:space="preserve"> </w:t>
      </w:r>
      <w:r>
        <w:t xml:space="preserve">supplement April 5-July 31, 2020.</w:t>
      </w:r>
      <w:r>
        <w:t xml:space="preserve"> </w:t>
      </w:r>
      <w:r>
        <w:rPr>
          <w:bCs/>
          <w:b/>
        </w:rPr>
        <w:t xml:space="preserve">68-76%</w:t>
      </w:r>
      <w:r>
        <w:t xml:space="preserve"> </w:t>
      </w:r>
      <w:r>
        <w:t xml:space="preserve">of UI recipients received benefits exceeding lost wages. Later supplement:</w:t>
      </w:r>
      <w:r>
        <w:t xml:space="preserve"> </w:t>
      </w:r>
      <w:r>
        <w:rPr>
          <w:bCs/>
          <w:b/>
        </w:rPr>
        <w:t xml:space="preserve">$300/week</w:t>
      </w:r>
      <w:r>
        <w:t xml:space="preserve"> </w:t>
      </w:r>
      <w:r>
        <w:t xml:space="preserve">December 2020-September 2021.</w:t>
      </w:r>
    </w:p>
    <w:p>
      <w:r>
        <w:pict>
          <v:rect style="width:0;height:1.5pt" o:hralign="center" o:hrstd="t" o:hr="t"/>
        </w:pict>
      </w:r>
    </w:p>
    <w:bookmarkEnd w:id="236"/>
    <w:bookmarkEnd w:id="237"/>
    <w:bookmarkStart w:id="242" w:name="X6f01672b22715fd40200ea1a2668468e5174a36"/>
    <w:p>
      <w:pPr>
        <w:pStyle w:val="Heading2"/>
      </w:pPr>
      <w:r>
        <w:t xml:space="preserve">Section 3: Sub-Period III (2021-Present) Expansion</w:t>
      </w:r>
    </w:p>
    <w:bookmarkStart w:id="238" w:name="developments"/>
    <w:p>
      <w:pPr>
        <w:pStyle w:val="Heading3"/>
      </w:pPr>
      <w:r>
        <w:t xml:space="preserve">2025 Developments</w:t>
      </w:r>
    </w:p>
    <w:p>
      <w:pPr>
        <w:pStyle w:val="FirstParagraph"/>
      </w:pPr>
      <w:r>
        <w:rPr>
          <w:bCs/>
          <w:b/>
        </w:rPr>
        <w:t xml:space="preserve">Executive Orders January 20, 2025</w:t>
      </w:r>
    </w:p>
    <w:p>
      <w:pPr>
        <w:pStyle w:val="BodyText"/>
      </w:pPr>
      <w:r>
        <w:t xml:space="preserve">Trump signed</w:t>
      </w:r>
      <w:r>
        <w:t xml:space="preserve"> </w:t>
      </w:r>
      <w:r>
        <w:rPr>
          <w:bCs/>
          <w:b/>
        </w:rPr>
        <w:t xml:space="preserve">26 executive orders</w:t>
      </w:r>
      <w:r>
        <w:t xml:space="preserve"> </w:t>
      </w:r>
      <w:r>
        <w:t xml:space="preserve">on inauguration day—record for first day. Key actions: EO 14148 revoked ~80 Biden orders; EO 14158 established DOGE; EO 14160 on birthright citizenship; hiring freeze; Schedule F reinstatement.</w:t>
      </w:r>
    </w:p>
    <w:p>
      <w:pPr>
        <w:pStyle w:val="BodyText"/>
      </w:pPr>
      <w:r>
        <w:rPr>
          <w:bCs/>
          <w:b/>
        </w:rPr>
        <w:t xml:space="preserve">January 6 Pardons</w:t>
      </w:r>
    </w:p>
    <w:p>
      <w:pPr>
        <w:pStyle w:val="BodyText"/>
      </w:pPr>
      <w:r>
        <w:rPr>
          <w:bCs/>
          <w:b/>
        </w:rPr>
        <w:t xml:space="preserve">~1,500 full pardons</w:t>
      </w:r>
      <w:r>
        <w:t xml:space="preserve"> </w:t>
      </w:r>
      <w:r>
        <w:t xml:space="preserve">plus</w:t>
      </w:r>
      <w:r>
        <w:t xml:space="preserve"> </w:t>
      </w:r>
      <w:r>
        <w:rPr>
          <w:bCs/>
          <w:b/>
        </w:rPr>
        <w:t xml:space="preserve">14 sentence commutations</w:t>
      </w:r>
      <w:r>
        <w:t xml:space="preserve"> </w:t>
      </w:r>
      <w:r>
        <w:t xml:space="preserve">for Oath Keepers/Proud Boys leaders (Stewart Rhodes 18-year sentence, Enrique Tarrio 22-year sentence). Total: nearly</w:t>
      </w:r>
      <w:r>
        <w:t xml:space="preserve"> </w:t>
      </w:r>
      <w:r>
        <w:rPr>
          <w:bCs/>
          <w:b/>
        </w:rPr>
        <w:t xml:space="preserve">1,600 individuals</w:t>
      </w:r>
      <w:r>
        <w:t xml:space="preserve"> </w:t>
      </w:r>
      <w:r>
        <w:t xml:space="preserve">affected. More than 600 had been convicted of assaulting/obstructing law enforcement.</w:t>
      </w:r>
    </w:p>
    <w:p>
      <w:pPr>
        <w:pStyle w:val="BodyText"/>
      </w:pPr>
      <w:r>
        <w:rPr>
          <w:bCs/>
          <w:b/>
        </w:rPr>
        <w:t xml:space="preserve">Birthright Citizenship Order</w:t>
      </w:r>
    </w:p>
    <w:p>
      <w:pPr>
        <w:pStyle w:val="BodyText"/>
      </w:pPr>
      <w:r>
        <w:t xml:space="preserve">EO 14160 signed January 20, 2025.</w:t>
      </w:r>
      <w:r>
        <w:t xml:space="preserve"> </w:t>
      </w:r>
      <w:r>
        <w:rPr>
          <w:bCs/>
          <w:b/>
        </w:rPr>
        <w:t xml:space="preserve">At least 10 lawsuits</w:t>
      </w:r>
      <w:r>
        <w:t xml:space="preserve"> </w:t>
      </w:r>
      <w:r>
        <w:t xml:space="preserve">filed;</w:t>
      </w:r>
      <w:r>
        <w:t xml:space="preserve"> </w:t>
      </w:r>
      <w:r>
        <w:rPr>
          <w:bCs/>
          <w:b/>
        </w:rPr>
        <w:t xml:space="preserve">4 federal judges</w:t>
      </w:r>
      <w:r>
        <w:t xml:space="preserve"> </w:t>
      </w:r>
      <w:r>
        <w:t xml:space="preserve">issued injunctions by February 2025. June 27, 2025: Supreme Court limited nationwide injunctions but delayed enforcement. Currently blocked nationwide.</w:t>
      </w:r>
    </w:p>
    <w:p>
      <w:pPr>
        <w:pStyle w:val="BodyText"/>
      </w:pPr>
      <w:r>
        <w:rPr>
          <w:bCs/>
          <w:b/>
        </w:rPr>
        <w:t xml:space="preserve">Tariff Announcements</w:t>
      </w:r>
    </w:p>
    <w:p>
      <w:pPr>
        <w:pStyle w:val="BodyText"/>
      </w:pPr>
      <w:r>
        <w:t xml:space="preserve">February 1, 2025 EOs (IEEPA authority):</w:t>
      </w:r>
      <w:r>
        <w:t xml:space="preserve"> </w:t>
      </w:r>
      <w:r>
        <w:rPr>
          <w:bCs/>
          <w:b/>
        </w:rPr>
        <w:t xml:space="preserve">Canada 25%</w:t>
      </w:r>
      <w:r>
        <w:t xml:space="preserve"> </w:t>
      </w:r>
      <w:r>
        <w:t xml:space="preserve">(general goods),</w:t>
      </w:r>
      <w:r>
        <w:t xml:space="preserve"> </w:t>
      </w:r>
      <w:r>
        <w:rPr>
          <w:bCs/>
          <w:b/>
        </w:rPr>
        <w:t xml:space="preserve">10%</w:t>
      </w:r>
      <w:r>
        <w:t xml:space="preserve"> </w:t>
      </w:r>
      <w:r>
        <w:t xml:space="preserve">(energy);</w:t>
      </w:r>
      <w:r>
        <w:t xml:space="preserve"> </w:t>
      </w:r>
      <w:r>
        <w:rPr>
          <w:bCs/>
          <w:b/>
        </w:rPr>
        <w:t xml:space="preserve">Mexico 25%</w:t>
      </w:r>
      <w:r>
        <w:t xml:space="preserve">;</w:t>
      </w:r>
      <w:r>
        <w:t xml:space="preserve"> </w:t>
      </w:r>
      <w:r>
        <w:rPr>
          <w:bCs/>
          <w:b/>
        </w:rPr>
        <w:t xml:space="preserve">China additional 10%</w:t>
      </w:r>
      <w:r>
        <w:t xml:space="preserve">. Implementation delayed to March 4, 2025 following negotiations. March 4: China raised to</w:t>
      </w:r>
      <w:r>
        <w:t xml:space="preserve"> </w:t>
      </w:r>
      <w:r>
        <w:rPr>
          <w:bCs/>
          <w:b/>
        </w:rPr>
        <w:t xml:space="preserve">20%</w:t>
      </w:r>
      <w:r>
        <w:t xml:space="preserve">. May 28, 2025: Court of International Trade ruled tariffs illegal (appealed).</w:t>
      </w:r>
    </w:p>
    <w:p>
      <w:pPr>
        <w:pStyle w:val="BodyText"/>
      </w:pPr>
      <w:r>
        <w:t xml:space="preserve">February 10, 2025:</w:t>
      </w:r>
      <w:r>
        <w:t xml:space="preserve"> </w:t>
      </w:r>
      <w:r>
        <w:rPr>
          <w:bCs/>
          <w:b/>
        </w:rPr>
        <w:t xml:space="preserve">25%</w:t>
      </w:r>
      <w:r>
        <w:t xml:space="preserve"> </w:t>
      </w:r>
      <w:r>
        <w:t xml:space="preserve">tariffs on steel and aluminum from all countries (effective March 12).</w:t>
      </w:r>
    </w:p>
    <w:p>
      <w:pPr>
        <w:pStyle w:val="BodyText"/>
      </w:pPr>
      <w:r>
        <w:rPr>
          <w:bCs/>
          <w:b/>
        </w:rPr>
        <w:t xml:space="preserve">DOGE (Department of Government Efficiency)</w:t>
      </w:r>
    </w:p>
    <w:p>
      <w:pPr>
        <w:pStyle w:val="BodyText"/>
      </w:pPr>
      <w:r>
        <w:t xml:space="preserve">Established EO January 20, 2025. Leadership:</w:t>
      </w:r>
      <w:r>
        <w:t xml:space="preserve"> </w:t>
      </w:r>
      <w:r>
        <w:rPr>
          <w:bCs/>
          <w:b/>
        </w:rPr>
        <w:t xml:space="preserve">Elon Musk</w:t>
      </w:r>
      <w:r>
        <w:t xml:space="preserve"> </w:t>
      </w:r>
      <w:r>
        <w:t xml:space="preserve">(Special Government Employee), Vivek Ramaswamy (departed shortly after). Original savings promises:</w:t>
      </w:r>
      <w:r>
        <w:t xml:space="preserve"> </w:t>
      </w:r>
      <w:r>
        <w:rPr>
          <w:bCs/>
          <w:b/>
        </w:rPr>
        <w:t xml:space="preserve">$2 trillion</w:t>
      </w:r>
      <w:r>
        <w:t xml:space="preserve"> </w:t>
      </w:r>
      <w:r>
        <w:t xml:space="preserve">annually → revised to $1 trillion → revised to</w:t>
      </w:r>
      <w:r>
        <w:t xml:space="preserve"> </w:t>
      </w:r>
      <w:r>
        <w:rPr>
          <w:bCs/>
          <w:b/>
        </w:rPr>
        <w:t xml:space="preserve">$150 billion</w:t>
      </w:r>
      <w:r>
        <w:t xml:space="preserve"> </w:t>
      </w:r>
      <w:r>
        <w:t xml:space="preserve">(92.5% reduction). Claimed savings: $214 billion (disputed).</w:t>
      </w:r>
    </w:p>
    <w:p>
      <w:pPr>
        <w:pStyle w:val="BodyText"/>
      </w:pPr>
      <w:r>
        <w:t xml:space="preserve">Actual impact: Government spending</w:t>
      </w:r>
      <w:r>
        <w:t xml:space="preserve"> </w:t>
      </w:r>
      <w:r>
        <w:rPr>
          <w:bCs/>
          <w:b/>
        </w:rPr>
        <w:t xml:space="preserve">UP 6%</w:t>
      </w:r>
      <w:r>
        <w:t xml:space="preserve"> </w:t>
      </w:r>
      <w:r>
        <w:t xml:space="preserve">($7.135T to $7.558T). Cato Institute:</w:t>
      </w:r>
      <w:r>
        <w:t xml:space="preserve"> </w:t>
      </w:r>
      <w:r>
        <w:t xml:space="preserve">“</w:t>
      </w:r>
      <w:r>
        <w:t xml:space="preserve">DOGE had no noticeable effect on the trajectory of spending.</w:t>
      </w:r>
      <w:r>
        <w:t xml:space="preserve">”</w:t>
      </w:r>
      <w:r>
        <w:t xml:space="preserve"> </w:t>
      </w:r>
      <w:r>
        <w:t xml:space="preserve">Musk departed May 28, 2025.</w:t>
      </w:r>
    </w:p>
    <w:p>
      <w:pPr>
        <w:pStyle w:val="BodyText"/>
      </w:pPr>
      <w:r>
        <w:rPr>
          <w:bCs/>
          <w:b/>
        </w:rPr>
        <w:t xml:space="preserve">Federal Workforce Reductions</w:t>
      </w:r>
    </w:p>
    <w:p>
      <w:pPr>
        <w:pStyle w:val="BodyText"/>
      </w:pPr>
      <w:r>
        <w:t xml:space="preserve">Hiring freeze: January 20, 2025. Four-to-one hiring ratio: February 11, 2025. Deferred resignation program: January 30, 2025 (deadline February 6). Return-to-office mandate: January 20, 2025.</w:t>
      </w:r>
    </w:p>
    <w:p>
      <w:pPr>
        <w:pStyle w:val="BodyText"/>
      </w:pPr>
      <w:r>
        <w:t xml:space="preserve">Federal civilian employees:</w:t>
      </w:r>
      <w:r>
        <w:t xml:space="preserve"> </w:t>
      </w:r>
      <w:r>
        <w:rPr>
          <w:bCs/>
          <w:b/>
        </w:rPr>
        <w:t xml:space="preserve">3.015 million</w:t>
      </w:r>
      <w:r>
        <w:t xml:space="preserve"> </w:t>
      </w:r>
      <w:r>
        <w:t xml:space="preserve">(January 2025) →</w:t>
      </w:r>
      <w:r>
        <w:t xml:space="preserve"> </w:t>
      </w:r>
      <w:r>
        <w:rPr>
          <w:bCs/>
          <w:b/>
        </w:rPr>
        <w:t xml:space="preserve">2.744 million</w:t>
      </w:r>
      <w:r>
        <w:t xml:space="preserve"> </w:t>
      </w:r>
      <w:r>
        <w:t xml:space="preserve">(November 2025)—down</w:t>
      </w:r>
      <w:r>
        <w:t xml:space="preserve"> </w:t>
      </w:r>
      <w:r>
        <w:rPr>
          <w:bCs/>
          <w:b/>
        </w:rPr>
        <w:t xml:space="preserve">~271,000</w:t>
      </w:r>
      <w:r>
        <w:t xml:space="preserve"> </w:t>
      </w:r>
      <w:r>
        <w:t xml:space="preserve">or</w:t>
      </w:r>
      <w:r>
        <w:t xml:space="preserve"> </w:t>
      </w:r>
      <w:r>
        <w:rPr>
          <w:bCs/>
          <w:b/>
        </w:rPr>
        <w:t xml:space="preserve">9%</w:t>
      </w:r>
      <w:r>
        <w:t xml:space="preserve">. Largest peacetime workforce reduction on record.</w:t>
      </w:r>
    </w:p>
    <w:p>
      <w:pPr>
        <w:pStyle w:val="BodyText"/>
      </w:pPr>
      <w:r>
        <w:rPr>
          <w:bCs/>
          <w:b/>
        </w:rPr>
        <w:t xml:space="preserve">Inspector General Mass Firings (January 24, 2025)</w:t>
      </w:r>
    </w:p>
    <w:p>
      <w:pPr>
        <w:pStyle w:val="BodyText"/>
      </w:pPr>
      <w:r>
        <w:rPr>
          <w:bCs/>
          <w:b/>
        </w:rPr>
        <w:t xml:space="preserve">17 IGs fired</w:t>
      </w:r>
      <w:r>
        <w:t xml:space="preserve"> </w:t>
      </w:r>
      <w:r>
        <w:t xml:space="preserve">effective immediately (Friday night). No 30-day congressional notice. September 24, 2025: Federal judge ruled firings unlawful but refused reinstatement.</w:t>
      </w:r>
    </w:p>
    <w:p>
      <w:r>
        <w:pict>
          <v:rect style="width:0;height:1.5pt" o:hralign="center" o:hrstd="t" o:hr="t"/>
        </w:pict>
      </w:r>
    </w:p>
    <w:bookmarkEnd w:id="238"/>
    <w:bookmarkStart w:id="239" w:name="economic-domain-2024-2025"/>
    <w:p>
      <w:pPr>
        <w:pStyle w:val="Heading3"/>
      </w:pPr>
      <w:r>
        <w:t xml:space="preserve">Economic Domain 2024-2025</w:t>
      </w:r>
    </w:p>
    <w:p>
      <w:pPr>
        <w:pStyle w:val="FirstParagraph"/>
      </w:pPr>
      <w:r>
        <w:rPr>
          <w:bCs/>
          <w:b/>
        </w:rPr>
        <w:t xml:space="preserve">Inflation</w:t>
      </w:r>
    </w:p>
    <w:p>
      <w:pPr>
        <w:pStyle w:val="BodyText"/>
      </w:pPr>
      <w:r>
        <w:t xml:space="preserve">December 2024: Headline CPI</w:t>
      </w:r>
      <w:r>
        <w:t xml:space="preserve"> </w:t>
      </w:r>
      <w:r>
        <w:rPr>
          <w:bCs/>
          <w:b/>
        </w:rPr>
        <w:t xml:space="preserve">2.9%</w:t>
      </w:r>
      <w:r>
        <w:t xml:space="preserve"> </w:t>
      </w:r>
      <w:r>
        <w:t xml:space="preserve">YoY, Core CPI</w:t>
      </w:r>
      <w:r>
        <w:t xml:space="preserve"> </w:t>
      </w:r>
      <w:r>
        <w:rPr>
          <w:bCs/>
          <w:b/>
        </w:rPr>
        <w:t xml:space="preserve">3.2%</w:t>
      </w:r>
      <w:r>
        <w:t xml:space="preserve">. January 2025: Headline</w:t>
      </w:r>
      <w:r>
        <w:t xml:space="preserve"> </w:t>
      </w:r>
      <w:r>
        <w:rPr>
          <w:bCs/>
          <w:b/>
        </w:rPr>
        <w:t xml:space="preserve">3.0%</w:t>
      </w:r>
      <w:r>
        <w:t xml:space="preserve">, Core</w:t>
      </w:r>
      <w:r>
        <w:t xml:space="preserve"> </w:t>
      </w:r>
      <w:r>
        <w:rPr>
          <w:bCs/>
          <w:b/>
        </w:rPr>
        <w:t xml:space="preserve">3.3%</w:t>
      </w:r>
      <w:r>
        <w:t xml:space="preserve">. December 2024 PCE: Headline</w:t>
      </w:r>
      <w:r>
        <w:t xml:space="preserve"> </w:t>
      </w:r>
      <w:r>
        <w:rPr>
          <w:bCs/>
          <w:b/>
        </w:rPr>
        <w:t xml:space="preserve">2.6%</w:t>
      </w:r>
      <w:r>
        <w:t xml:space="preserve">, Core</w:t>
      </w:r>
      <w:r>
        <w:t xml:space="preserve"> </w:t>
      </w:r>
      <w:r>
        <w:rPr>
          <w:bCs/>
          <w:b/>
        </w:rPr>
        <w:t xml:space="preserve">2.8%</w:t>
      </w:r>
      <w:r>
        <w:t xml:space="preserve">—both above Fed’s 2% target.</w:t>
      </w:r>
    </w:p>
    <w:p>
      <w:pPr>
        <w:pStyle w:val="BodyText"/>
      </w:pPr>
      <w:r>
        <w:rPr>
          <w:bCs/>
          <w:b/>
        </w:rPr>
        <w:t xml:space="preserve">Federal Reserve Policy</w:t>
      </w:r>
    </w:p>
    <w:p>
      <w:pPr>
        <w:pStyle w:val="BodyText"/>
      </w:pPr>
      <w:r>
        <w:t xml:space="preserve">December 2024 FOMC: 25bp cut to</w:t>
      </w:r>
      <w:r>
        <w:t xml:space="preserve"> </w:t>
      </w:r>
      <w:r>
        <w:rPr>
          <w:bCs/>
          <w:b/>
        </w:rPr>
        <w:t xml:space="preserve">4.25%-4.50%</w:t>
      </w:r>
      <w:r>
        <w:t xml:space="preserve">. December 2025 FOMC: 25bp cut to</w:t>
      </w:r>
      <w:r>
        <w:t xml:space="preserve"> </w:t>
      </w:r>
      <w:r>
        <w:rPr>
          <w:bCs/>
          <w:b/>
        </w:rPr>
        <w:t xml:space="preserve">3.50%-3.75%</w:t>
      </w:r>
      <w:r>
        <w:t xml:space="preserve"> </w:t>
      </w:r>
      <w:r>
        <w:t xml:space="preserve">(9-3 vote—most dissents since 2019). Total cumulative cuts:</w:t>
      </w:r>
      <w:r>
        <w:t xml:space="preserve"> </w:t>
      </w:r>
      <w:r>
        <w:rPr>
          <w:bCs/>
          <w:b/>
        </w:rPr>
        <w:t xml:space="preserve">175bp</w:t>
      </w:r>
      <w:r>
        <w:t xml:space="preserve"> </w:t>
      </w:r>
      <w:r>
        <w:t xml:space="preserve">from peak. Balance sheet:</w:t>
      </w:r>
      <w:r>
        <w:t xml:space="preserve"> </w:t>
      </w:r>
      <w:r>
        <w:rPr>
          <w:bCs/>
          <w:b/>
        </w:rPr>
        <w:t xml:space="preserve">$6.5 trillion</w:t>
      </w:r>
      <w:r>
        <w:t xml:space="preserve"> </w:t>
      </w:r>
      <w:r>
        <w:t xml:space="preserve">(down from $8.9T peak). QT ended December 1, 2025.</w:t>
      </w:r>
    </w:p>
    <w:p>
      <w:pPr>
        <w:pStyle w:val="BodyText"/>
      </w:pPr>
      <w:r>
        <w:t xml:space="preserve">Powell term as Chair ends:</w:t>
      </w:r>
      <w:r>
        <w:t xml:space="preserve"> </w:t>
      </w:r>
      <w:r>
        <w:rPr>
          <w:bCs/>
          <w:b/>
        </w:rPr>
        <w:t xml:space="preserve">May 2026</w:t>
      </w:r>
      <w:r>
        <w:t xml:space="preserve">. Governor term through January 2028.</w:t>
      </w:r>
    </w:p>
    <w:p>
      <w:pPr>
        <w:pStyle w:val="BodyText"/>
      </w:pPr>
      <w:r>
        <w:rPr>
          <w:bCs/>
          <w:b/>
        </w:rPr>
        <w:t xml:space="preserve">Stock Market (January 2026)</w:t>
      </w:r>
    </w:p>
    <w:p>
      <w:pPr>
        <w:pStyle w:val="BodyText"/>
      </w:pPr>
      <w:r>
        <w:t xml:space="preserve">S&amp;P 500: 2025 return</w:t>
      </w:r>
      <w:r>
        <w:t xml:space="preserve"> </w:t>
      </w:r>
      <w:r>
        <w:rPr>
          <w:bCs/>
          <w:b/>
        </w:rPr>
        <w:t xml:space="preserve">+16.39%</w:t>
      </w:r>
      <w:r>
        <w:t xml:space="preserve"> </w:t>
      </w:r>
      <w:r>
        <w:t xml:space="preserve">(third consecutive double-digit year); year-end 6,845.50. Dow: 2025 return</w:t>
      </w:r>
      <w:r>
        <w:t xml:space="preserve"> </w:t>
      </w:r>
      <w:r>
        <w:rPr>
          <w:bCs/>
          <w:b/>
        </w:rPr>
        <w:t xml:space="preserve">+12.97%</w:t>
      </w:r>
      <w:r>
        <w:t xml:space="preserve">; year-end 48,063.29. NASDAQ: 2025 return</w:t>
      </w:r>
      <w:r>
        <w:t xml:space="preserve"> </w:t>
      </w:r>
      <w:r>
        <w:rPr>
          <w:bCs/>
          <w:b/>
        </w:rPr>
        <w:t xml:space="preserve">+20.36%</w:t>
      </w:r>
      <w:r>
        <w:t xml:space="preserve">; year-end 23,241.99.</w:t>
      </w:r>
    </w:p>
    <w:p>
      <w:pPr>
        <w:pStyle w:val="BodyText"/>
      </w:pPr>
      <w:r>
        <w:t xml:space="preserve">Magnificent 7 concentration:</w:t>
      </w:r>
      <w:r>
        <w:t xml:space="preserve"> </w:t>
      </w:r>
      <w:r>
        <w:rPr>
          <w:bCs/>
          <w:b/>
        </w:rPr>
        <w:t xml:space="preserve">34-37%</w:t>
      </w:r>
      <w:r>
        <w:t xml:space="preserve"> </w:t>
      </w:r>
      <w:r>
        <w:t xml:space="preserve">of S&amp;P 500 weight (up from 12% in 2015).</w:t>
      </w:r>
      <w:r>
        <w:t xml:space="preserve"> </w:t>
      </w:r>
      <w:r>
        <w:rPr>
          <w:bCs/>
          <w:b/>
        </w:rPr>
        <w:t xml:space="preserve">42%</w:t>
      </w:r>
      <w:r>
        <w:t xml:space="preserve"> </w:t>
      </w:r>
      <w:r>
        <w:t xml:space="preserve">of S&amp;P 500’s 2025 return came from Magnificent 7.</w:t>
      </w:r>
    </w:p>
    <w:p>
      <w:pPr>
        <w:pStyle w:val="BodyText"/>
      </w:pPr>
      <w:r>
        <w:rPr>
          <w:bCs/>
          <w:b/>
        </w:rPr>
        <w:t xml:space="preserve">Unemployment</w:t>
      </w:r>
    </w:p>
    <w:p>
      <w:pPr>
        <w:pStyle w:val="BodyText"/>
      </w:pPr>
      <w:r>
        <w:t xml:space="preserve">December 2024:</w:t>
      </w:r>
      <w:r>
        <w:t xml:space="preserve"> </w:t>
      </w:r>
      <w:r>
        <w:rPr>
          <w:bCs/>
          <w:b/>
        </w:rPr>
        <w:t xml:space="preserve">4.1%</w:t>
      </w:r>
      <w:r>
        <w:t xml:space="preserve">, payrolls +256,000. January 2025:</w:t>
      </w:r>
      <w:r>
        <w:t xml:space="preserve"> </w:t>
      </w:r>
      <w:r>
        <w:rPr>
          <w:bCs/>
          <w:b/>
        </w:rPr>
        <w:t xml:space="preserve">4.0%</w:t>
      </w:r>
      <w:r>
        <w:t xml:space="preserve">. December 2025:</w:t>
      </w:r>
      <w:r>
        <w:t xml:space="preserve"> </w:t>
      </w:r>
      <w:r>
        <w:rPr>
          <w:bCs/>
          <w:b/>
        </w:rPr>
        <w:t xml:space="preserve">4.4%</w:t>
      </w:r>
      <w:r>
        <w:t xml:space="preserve"> </w:t>
      </w:r>
      <w:r>
        <w:t xml:space="preserve">(down from 4.5% revised November). 2025 payroll growth averaged</w:t>
      </w:r>
      <w:r>
        <w:t xml:space="preserve"> </w:t>
      </w:r>
      <w:r>
        <w:rPr>
          <w:bCs/>
          <w:b/>
        </w:rPr>
        <w:t xml:space="preserve">49,000/month</w:t>
      </w:r>
      <w:r>
        <w:t xml:space="preserve"> </w:t>
      </w:r>
      <w:r>
        <w:t xml:space="preserve">(vs. 168,000/month in 2024). Federal government employment: down</w:t>
      </w:r>
      <w:r>
        <w:t xml:space="preserve"> </w:t>
      </w:r>
      <w:r>
        <w:rPr>
          <w:bCs/>
          <w:b/>
        </w:rPr>
        <w:t xml:space="preserve">277,000</w:t>
      </w:r>
      <w:r>
        <w:t xml:space="preserve"> </w:t>
      </w:r>
      <w:r>
        <w:t xml:space="preserve">(9.2%) from January peak.</w:t>
      </w:r>
    </w:p>
    <w:p>
      <w:pPr>
        <w:pStyle w:val="BodyText"/>
      </w:pPr>
      <w:r>
        <w:rPr>
          <w:bCs/>
          <w:b/>
        </w:rPr>
        <w:t xml:space="preserve">Federal Debt</w:t>
      </w:r>
    </w:p>
    <w:p>
      <w:pPr>
        <w:pStyle w:val="BodyText"/>
      </w:pPr>
      <w:r>
        <w:t xml:space="preserve">Current (December 2025):</w:t>
      </w:r>
      <w:r>
        <w:t xml:space="preserve"> </w:t>
      </w:r>
      <w:r>
        <w:rPr>
          <w:bCs/>
          <w:b/>
        </w:rPr>
        <w:t xml:space="preserve">$38.40 trillion</w:t>
      </w:r>
      <w:r>
        <w:t xml:space="preserve">. $38 trillion crossed</w:t>
      </w:r>
      <w:r>
        <w:t xml:space="preserve"> </w:t>
      </w:r>
      <w:r>
        <w:rPr>
          <w:bCs/>
          <w:b/>
        </w:rPr>
        <w:t xml:space="preserve">October 23, 2025</w:t>
      </w:r>
      <w:r>
        <w:t xml:space="preserve">. Debt-to-GDP:</w:t>
      </w:r>
      <w:r>
        <w:t xml:space="preserve"> </w:t>
      </w:r>
      <w:r>
        <w:rPr>
          <w:bCs/>
          <w:b/>
        </w:rPr>
        <w:t xml:space="preserve">~122-123%</w:t>
      </w:r>
      <w:r>
        <w:t xml:space="preserve"> </w:t>
      </w:r>
      <w:r>
        <w:t xml:space="preserve">(total),</w:t>
      </w:r>
      <w:r>
        <w:t xml:space="preserve"> </w:t>
      </w:r>
      <w:r>
        <w:rPr>
          <w:bCs/>
          <w:b/>
        </w:rPr>
        <w:t xml:space="preserve">~99-100%</w:t>
      </w:r>
      <w:r>
        <w:t xml:space="preserve"> </w:t>
      </w:r>
      <w:r>
        <w:t xml:space="preserve">(debt held by public).</w:t>
      </w:r>
    </w:p>
    <w:p>
      <w:pPr>
        <w:pStyle w:val="BodyText"/>
      </w:pPr>
      <w:r>
        <w:t xml:space="preserve">FY2025 net interest:</w:t>
      </w:r>
      <w:r>
        <w:t xml:space="preserve"> </w:t>
      </w:r>
      <w:r>
        <w:rPr>
          <w:bCs/>
          <w:b/>
        </w:rPr>
        <w:t xml:space="preserve">$970 billion</w:t>
      </w:r>
      <w:r>
        <w:t xml:space="preserve"> </w:t>
      </w:r>
      <w:r>
        <w:t xml:space="preserve">(3rd-largest budget item). As % federal revenues:</w:t>
      </w:r>
      <w:r>
        <w:t xml:space="preserve"> </w:t>
      </w:r>
      <w:r>
        <w:rPr>
          <w:bCs/>
          <w:b/>
        </w:rPr>
        <w:t xml:space="preserve">19%</w:t>
      </w:r>
      <w:r>
        <w:t xml:space="preserve">. As % GDP:</w:t>
      </w:r>
      <w:r>
        <w:t xml:space="preserve"> </w:t>
      </w:r>
      <w:r>
        <w:rPr>
          <w:bCs/>
          <w:b/>
        </w:rPr>
        <w:t xml:space="preserve">3.2%</w:t>
      </w:r>
      <w:r>
        <w:t xml:space="preserve">. First time exceeding $1 trillion for gross interest. Projected 2035:</w:t>
      </w:r>
      <w:r>
        <w:t xml:space="preserve"> </w:t>
      </w:r>
      <w:r>
        <w:rPr>
          <w:bCs/>
          <w:b/>
        </w:rPr>
        <w:t xml:space="preserve">$1.8 trillion</w:t>
      </w:r>
      <w:r>
        <w:t xml:space="preserve"> </w:t>
      </w:r>
      <w:r>
        <w:t xml:space="preserve">(4.1% GDP).</w:t>
      </w:r>
    </w:p>
    <w:p>
      <w:pPr>
        <w:pStyle w:val="BodyText"/>
      </w:pPr>
      <w:r>
        <w:rPr>
          <w:bCs/>
          <w:b/>
        </w:rPr>
        <w:t xml:space="preserve">Dollar Status</w:t>
      </w:r>
    </w:p>
    <w:p>
      <w:pPr>
        <w:pStyle w:val="BodyText"/>
      </w:pPr>
      <w:r>
        <w:t xml:space="preserve">DXY December 2025:</w:t>
      </w:r>
      <w:r>
        <w:t xml:space="preserve"> </w:t>
      </w:r>
      <w:r>
        <w:rPr>
          <w:bCs/>
          <w:b/>
        </w:rPr>
        <w:t xml:space="preserve">~98.6</w:t>
      </w:r>
      <w:r>
        <w:t xml:space="preserve"> </w:t>
      </w:r>
      <w:r>
        <w:t xml:space="preserve">(52-week high 110.2, low ~96.2). H1 2025 decline:</w:t>
      </w:r>
      <w:r>
        <w:t xml:space="preserve"> </w:t>
      </w:r>
      <w:r>
        <w:rPr>
          <w:bCs/>
          <w:b/>
        </w:rPr>
        <w:t xml:space="preserve">-10.7%</w:t>
      </w:r>
      <w:r>
        <w:t xml:space="preserve">—worst first-half in 50+ years.</w:t>
      </w:r>
    </w:p>
    <w:p>
      <w:pPr>
        <w:pStyle w:val="BodyText"/>
      </w:pPr>
      <w:r>
        <w:t xml:space="preserve">COFER Q3 2025: USD</w:t>
      </w:r>
      <w:r>
        <w:t xml:space="preserve"> </w:t>
      </w:r>
      <w:r>
        <w:rPr>
          <w:bCs/>
          <w:b/>
        </w:rPr>
        <w:t xml:space="preserve">56.92%</w:t>
      </w:r>
      <w:r>
        <w:t xml:space="preserve"> </w:t>
      </w:r>
      <w:r>
        <w:t xml:space="preserve">of global reserves (down from 58% in 2024, 66% in 2015). Euro ~20.33%; Yen ~6%; Pound ~5%; RMB ~2%.</w:t>
      </w:r>
    </w:p>
    <w:p>
      <w:r>
        <w:pict>
          <v:rect style="width:0;height:1.5pt" o:hralign="center" o:hrstd="t" o:hr="t"/>
        </w:pict>
      </w:r>
    </w:p>
    <w:bookmarkEnd w:id="239"/>
    <w:bookmarkStart w:id="240" w:name="ai-developments-2024-2025"/>
    <w:p>
      <w:pPr>
        <w:pStyle w:val="Heading3"/>
      </w:pPr>
      <w:r>
        <w:t xml:space="preserve">AI Developments 2024-2025</w:t>
      </w:r>
    </w:p>
    <w:p>
      <w:pPr>
        <w:pStyle w:val="FirstParagraph"/>
      </w:pPr>
      <w:r>
        <w:rPr>
          <w:bCs/>
          <w:b/>
        </w:rPr>
        <w:t xml:space="preserve">OpenAI Sora</w:t>
      </w:r>
    </w:p>
    <w:p>
      <w:pPr>
        <w:pStyle w:val="BodyText"/>
      </w:pPr>
      <w:r>
        <w:t xml:space="preserve">Announced February 15, 2024; public release</w:t>
      </w:r>
      <w:r>
        <w:t xml:space="preserve"> </w:t>
      </w:r>
      <w:r>
        <w:rPr>
          <w:bCs/>
          <w:b/>
        </w:rPr>
        <w:t xml:space="preserve">December 9, 2024</w:t>
      </w:r>
      <w:r>
        <w:t xml:space="preserve">. Capabilities: 1080p resolution, 20-second videos. Sora 2 unveiled September 30, 2025.</w:t>
      </w:r>
    </w:p>
    <w:p>
      <w:pPr>
        <w:pStyle w:val="BodyText"/>
      </w:pPr>
      <w:r>
        <w:rPr>
          <w:bCs/>
          <w:b/>
        </w:rPr>
        <w:t xml:space="preserve">AI Model Competition</w:t>
      </w:r>
    </w:p>
    <w:p>
      <w:pPr>
        <w:pStyle w:val="BodyText"/>
      </w:pPr>
      <w:r>
        <w:t xml:space="preserve">Claude 3.5 Sonnet:</w:t>
      </w:r>
      <w:r>
        <w:t xml:space="preserve"> </w:t>
      </w:r>
      <w:r>
        <w:rPr>
          <w:bCs/>
          <w:b/>
        </w:rPr>
        <w:t xml:space="preserve">June 20, 2024</w:t>
      </w:r>
      <w:r>
        <w:t xml:space="preserve"> </w:t>
      </w:r>
      <w:r>
        <w:t xml:space="preserve">(200K context, benchmarks leadership). GPT-4o:</w:t>
      </w:r>
      <w:r>
        <w:t xml:space="preserve"> </w:t>
      </w:r>
      <w:r>
        <w:rPr>
          <w:bCs/>
          <w:b/>
        </w:rPr>
        <w:t xml:space="preserve">May 13, 2024</w:t>
      </w:r>
      <w:r>
        <w:t xml:space="preserve"> </w:t>
      </w:r>
      <w:r>
        <w:t xml:space="preserve">(native multimodal). Gemini 2.0:</w:t>
      </w:r>
      <w:r>
        <w:t xml:space="preserve"> </w:t>
      </w:r>
      <w:r>
        <w:rPr>
          <w:bCs/>
          <w:b/>
        </w:rPr>
        <w:t xml:space="preserve">December 11, 2024</w:t>
      </w:r>
      <w:r>
        <w:t xml:space="preserve">. o1-preview:</w:t>
      </w:r>
      <w:r>
        <w:t xml:space="preserve"> </w:t>
      </w:r>
      <w:r>
        <w:rPr>
          <w:bCs/>
          <w:b/>
        </w:rPr>
        <w:t xml:space="preserve">September 12, 2024</w:t>
      </w:r>
      <w:r>
        <w:t xml:space="preserve">; o3 announced</w:t>
      </w:r>
      <w:r>
        <w:t xml:space="preserve"> </w:t>
      </w:r>
      <w:r>
        <w:rPr>
          <w:bCs/>
          <w:b/>
        </w:rPr>
        <w:t xml:space="preserve">December 20, 2024</w:t>
      </w:r>
      <w:r>
        <w:t xml:space="preserve">; o3-mini</w:t>
      </w:r>
      <w:r>
        <w:t xml:space="preserve"> </w:t>
      </w:r>
      <w:r>
        <w:rPr>
          <w:bCs/>
          <w:b/>
        </w:rPr>
        <w:t xml:space="preserve">January 31, 2025</w:t>
      </w:r>
      <w:r>
        <w:t xml:space="preserve">. DeepSeek R1:</w:t>
      </w:r>
      <w:r>
        <w:t xml:space="preserve"> </w:t>
      </w:r>
      <w:r>
        <w:rPr>
          <w:bCs/>
          <w:b/>
        </w:rPr>
        <w:t xml:space="preserve">January 2025</w:t>
      </w:r>
      <w:r>
        <w:t xml:space="preserve"> </w:t>
      </w:r>
      <w:r>
        <w:t xml:space="preserve">(Chinese reasoning model, dramatically cheaper pricing causing NVIDIA market cap decline).</w:t>
      </w:r>
    </w:p>
    <w:p>
      <w:pPr>
        <w:pStyle w:val="BodyText"/>
      </w:pPr>
      <w:r>
        <w:rPr>
          <w:bCs/>
          <w:b/>
        </w:rPr>
        <w:t xml:space="preserve">AI Executive Order</w:t>
      </w:r>
    </w:p>
    <w:p>
      <w:pPr>
        <w:pStyle w:val="BodyText"/>
      </w:pPr>
      <w:r>
        <w:t xml:space="preserve">Biden EO 14110 (October 30, 2023): Required developers of models trained using &gt;10^26 FLOPs to share safety test results.</w:t>
      </w:r>
      <w:r>
        <w:t xml:space="preserve"> </w:t>
      </w:r>
      <w:r>
        <w:rPr>
          <w:bCs/>
          <w:b/>
        </w:rPr>
        <w:t xml:space="preserve">Trump revoked January 20, 2025</w:t>
      </w:r>
      <w:r>
        <w:t xml:space="preserve"> </w:t>
      </w:r>
      <w:r>
        <w:t xml:space="preserve">via Initial Rescissions EO. Replaced with EO 14179</w:t>
      </w:r>
      <w:r>
        <w:t xml:space="preserve"> </w:t>
      </w:r>
      <w:r>
        <w:t xml:space="preserve">“</w:t>
      </w:r>
      <w:r>
        <w:t xml:space="preserve">Removing Barriers to American Leadership in AI</w:t>
      </w:r>
      <w:r>
        <w:t xml:space="preserve">”</w:t>
      </w:r>
      <w:r>
        <w:t xml:space="preserve"> </w:t>
      </w:r>
      <w:r>
        <w:t xml:space="preserve">(January 23, 2025).</w:t>
      </w:r>
    </w:p>
    <w:p>
      <w:pPr>
        <w:pStyle w:val="BodyText"/>
      </w:pPr>
      <w:r>
        <w:rPr>
          <w:bCs/>
          <w:b/>
        </w:rPr>
        <w:t xml:space="preserve">State AI Regulation</w:t>
      </w:r>
    </w:p>
    <w:p>
      <w:pPr>
        <w:pStyle w:val="BodyText"/>
      </w:pPr>
      <w:r>
        <w:t xml:space="preserve">Colorado AI Act (SB 24-205): Signed May 17, 2024; effective date delayed to</w:t>
      </w:r>
      <w:r>
        <w:t xml:space="preserve"> </w:t>
      </w:r>
      <w:r>
        <w:rPr>
          <w:bCs/>
          <w:b/>
        </w:rPr>
        <w:t xml:space="preserve">June 30, 2026</w:t>
      </w:r>
      <w:r>
        <w:t xml:space="preserve">. First comprehensive state-level AI consumer protection law.</w:t>
      </w:r>
    </w:p>
    <w:p>
      <w:pPr>
        <w:pStyle w:val="BodyText"/>
      </w:pPr>
      <w:r>
        <w:t xml:space="preserve">California SB 1047: Passed legislature August 28, 2024;</w:t>
      </w:r>
      <w:r>
        <w:t xml:space="preserve"> </w:t>
      </w:r>
      <w:r>
        <w:rPr>
          <w:bCs/>
          <w:b/>
        </w:rPr>
        <w:t xml:space="preserve">vetoed September 29, 2024</w:t>
      </w:r>
      <w:r>
        <w:t xml:space="preserve"> </w:t>
      </w:r>
      <w:r>
        <w:t xml:space="preserve">by Governor Newsom (criticized regulation by size/cost rather than function).</w:t>
      </w:r>
    </w:p>
    <w:p>
      <w:pPr>
        <w:pStyle w:val="BodyText"/>
      </w:pPr>
      <w:r>
        <w:rPr>
          <w:bCs/>
          <w:b/>
        </w:rPr>
        <w:t xml:space="preserve">AI Job Displacement</w:t>
      </w:r>
    </w:p>
    <w:p>
      <w:pPr>
        <w:pStyle w:val="BodyText"/>
      </w:pPr>
      <w:r>
        <w:t xml:space="preserve">2024:</w:t>
      </w:r>
      <w:r>
        <w:t xml:space="preserve"> </w:t>
      </w:r>
      <w:r>
        <w:rPr>
          <w:bCs/>
          <w:b/>
        </w:rPr>
        <w:t xml:space="preserve">&gt;150,000</w:t>
      </w:r>
      <w:r>
        <w:t xml:space="preserve"> </w:t>
      </w:r>
      <w:r>
        <w:t xml:space="preserve">tech job cuts. 2025 (through October):</w:t>
      </w:r>
      <w:r>
        <w:t xml:space="preserve"> </w:t>
      </w:r>
      <w:r>
        <w:rPr>
          <w:bCs/>
          <w:b/>
        </w:rPr>
        <w:t xml:space="preserve">1.17 million</w:t>
      </w:r>
      <w:r>
        <w:t xml:space="preserve"> </w:t>
      </w:r>
      <w:r>
        <w:t xml:space="preserve">total layoffs (highest since 2020). AI-attributed:</w:t>
      </w:r>
      <w:r>
        <w:t xml:space="preserve"> </w:t>
      </w:r>
      <w:r>
        <w:rPr>
          <w:bCs/>
          <w:b/>
        </w:rPr>
        <w:t xml:space="preserve">~55,000 jobs</w:t>
      </w:r>
      <w:r>
        <w:t xml:space="preserve"> </w:t>
      </w:r>
      <w:r>
        <w:t xml:space="preserve">directly cited AI.</w:t>
      </w:r>
    </w:p>
    <w:p>
      <w:pPr>
        <w:pStyle w:val="BodyText"/>
      </w:pPr>
      <w:r>
        <w:t xml:space="preserve">Major announcements: Amazon 14,000 (October 2025—largest ever); Microsoft ~15,000 through 2025; Intel 15,000 (August 2024).</w:t>
      </w:r>
    </w:p>
    <w:p>
      <w:pPr>
        <w:pStyle w:val="BodyText"/>
      </w:pPr>
      <w:r>
        <w:t xml:space="preserve">Stanford HAI 2024: AI can do</w:t>
      </w:r>
      <w:r>
        <w:t xml:space="preserve"> </w:t>
      </w:r>
      <w:r>
        <w:rPr>
          <w:bCs/>
          <w:b/>
        </w:rPr>
        <w:t xml:space="preserve">11.7%</w:t>
      </w:r>
      <w:r>
        <w:t xml:space="preserve"> </w:t>
      </w:r>
      <w:r>
        <w:t xml:space="preserve">of U.S. labor market jobs, save $1.2 trillion in wages. Goldman Sachs:</w:t>
      </w:r>
      <w:r>
        <w:t xml:space="preserve"> </w:t>
      </w:r>
      <w:r>
        <w:rPr>
          <w:bCs/>
          <w:b/>
        </w:rPr>
        <w:t xml:space="preserve">300 million</w:t>
      </w:r>
      <w:r>
        <w:t xml:space="preserve"> </w:t>
      </w:r>
      <w:r>
        <w:t xml:space="preserve">full-time jobs globally could be impacted. WEF:</w:t>
      </w:r>
      <w:r>
        <w:t xml:space="preserve"> </w:t>
      </w:r>
      <w:r>
        <w:rPr>
          <w:bCs/>
          <w:b/>
        </w:rPr>
        <w:t xml:space="preserve">41%</w:t>
      </w:r>
      <w:r>
        <w:t xml:space="preserve"> </w:t>
      </w:r>
      <w:r>
        <w:t xml:space="preserve">of employers plan reduction by 2030.</w:t>
      </w:r>
    </w:p>
    <w:p>
      <w:r>
        <w:pict>
          <v:rect style="width:0;height:1.5pt" o:hralign="center" o:hrstd="t" o:hr="t"/>
        </w:pict>
      </w:r>
    </w:p>
    <w:bookmarkEnd w:id="240"/>
    <w:bookmarkStart w:id="241" w:name="semiconductor-updates-2024-2025"/>
    <w:p>
      <w:pPr>
        <w:pStyle w:val="Heading3"/>
      </w:pPr>
      <w:r>
        <w:t xml:space="preserve">Semiconductor Updates 2024-2025</w:t>
      </w:r>
    </w:p>
    <w:p>
      <w:pPr>
        <w:pStyle w:val="FirstParagraph"/>
      </w:pPr>
      <w:r>
        <w:rPr>
          <w:bCs/>
          <w:b/>
        </w:rPr>
        <w:t xml:space="preserve">TSMC Arizona</w:t>
      </w:r>
    </w:p>
    <w:p>
      <w:pPr>
        <w:pStyle w:val="BodyText"/>
      </w:pPr>
      <w:r>
        <w:t xml:space="preserve">Fab 1 (Fab 21 Phase 1): High-volume</w:t>
      </w:r>
      <w:r>
        <w:t xml:space="preserve"> </w:t>
      </w:r>
      <w:r>
        <w:rPr>
          <w:bCs/>
          <w:b/>
        </w:rPr>
        <w:t xml:space="preserve">N4 (4nm)</w:t>
      </w:r>
      <w:r>
        <w:t xml:space="preserve"> </w:t>
      </w:r>
      <w:r>
        <w:t xml:space="preserve">production Q4 2024. January 2025: yields</w:t>
      </w:r>
      <w:r>
        <w:t xml:space="preserve"> </w:t>
      </w:r>
      <w:r>
        <w:rPr>
          <w:bCs/>
          <w:b/>
        </w:rPr>
        <w:t xml:space="preserve">comparable to Taiwan fabs</w:t>
      </w:r>
      <w:r>
        <w:t xml:space="preserve">. First chips for Apple (A16).</w:t>
      </w:r>
    </w:p>
    <w:p>
      <w:pPr>
        <w:pStyle w:val="BodyText"/>
      </w:pPr>
      <w:r>
        <w:t xml:space="preserve">Total investment:</w:t>
      </w:r>
      <w:r>
        <w:t xml:space="preserve"> </w:t>
      </w:r>
      <w:r>
        <w:rPr>
          <w:bCs/>
          <w:b/>
        </w:rPr>
        <w:t xml:space="preserve">$165 billion</w:t>
      </w:r>
      <w:r>
        <w:t xml:space="preserve"> </w:t>
      </w:r>
      <w:r>
        <w:t xml:space="preserve">(largest FDI greenfield project in U.S. history). CHIPS Act funding:</w:t>
      </w:r>
      <w:r>
        <w:t xml:space="preserve"> </w:t>
      </w:r>
      <w:r>
        <w:rPr>
          <w:bCs/>
          <w:b/>
        </w:rPr>
        <w:t xml:space="preserve">$6.6 billion</w:t>
      </w:r>
      <w:r>
        <w:t xml:space="preserve"> </w:t>
      </w:r>
      <w:r>
        <w:t xml:space="preserve">direct + $5 billion loans.</w:t>
      </w:r>
    </w:p>
    <w:p>
      <w:pPr>
        <w:pStyle w:val="BodyText"/>
      </w:pPr>
      <w:r>
        <w:rPr>
          <w:bCs/>
          <w:b/>
        </w:rPr>
        <w:t xml:space="preserve">CHIPS Act Disbursements</w:t>
      </w:r>
    </w:p>
    <w:p>
      <w:pPr>
        <w:pStyle w:val="BodyText"/>
      </w:pPr>
      <w:r>
        <w:t xml:space="preserve">Total awards through December 2024:</w:t>
      </w:r>
      <w:r>
        <w:t xml:space="preserve"> </w:t>
      </w:r>
      <w:r>
        <w:rPr>
          <w:bCs/>
          <w:b/>
        </w:rPr>
        <w:t xml:space="preserve">~$33 billion</w:t>
      </w:r>
      <w:r>
        <w:t xml:space="preserve">. Major recipients: Intel</w:t>
      </w:r>
      <w:r>
        <w:t xml:space="preserve"> </w:t>
      </w:r>
      <w:r>
        <w:rPr>
          <w:bCs/>
          <w:b/>
        </w:rPr>
        <w:t xml:space="preserve">$7.86B</w:t>
      </w:r>
      <w:r>
        <w:t xml:space="preserve"> </w:t>
      </w:r>
      <w:r>
        <w:t xml:space="preserve">(finalized November 2024); TSMC</w:t>
      </w:r>
      <w:r>
        <w:t xml:space="preserve"> </w:t>
      </w:r>
      <w:r>
        <w:rPr>
          <w:bCs/>
          <w:b/>
        </w:rPr>
        <w:t xml:space="preserve">$6.6B</w:t>
      </w:r>
      <w:r>
        <w:t xml:space="preserve"> </w:t>
      </w:r>
      <w:r>
        <w:t xml:space="preserve">(November 15, 2024); Micron</w:t>
      </w:r>
      <w:r>
        <w:t xml:space="preserve"> </w:t>
      </w:r>
      <w:r>
        <w:rPr>
          <w:bCs/>
          <w:b/>
        </w:rPr>
        <w:t xml:space="preserve">$6.165B</w:t>
      </w:r>
      <w:r>
        <w:t xml:space="preserve"> </w:t>
      </w:r>
      <w:r>
        <w:t xml:space="preserve">(December 10, 2024); Samsung</w:t>
      </w:r>
      <w:r>
        <w:t xml:space="preserve"> </w:t>
      </w:r>
      <w:r>
        <w:rPr>
          <w:bCs/>
          <w:b/>
        </w:rPr>
        <w:t xml:space="preserve">$4.75B</w:t>
      </w:r>
      <w:r>
        <w:t xml:space="preserve">; GlobalFoundries</w:t>
      </w:r>
      <w:r>
        <w:t xml:space="preserve"> </w:t>
      </w:r>
      <w:r>
        <w:rPr>
          <w:bCs/>
          <w:b/>
        </w:rPr>
        <w:t xml:space="preserve">$1.5B</w:t>
      </w:r>
      <w:r>
        <w:t xml:space="preserve">.</w:t>
      </w:r>
    </w:p>
    <w:p>
      <w:pPr>
        <w:pStyle w:val="BodyText"/>
      </w:pPr>
      <w:r>
        <w:rPr>
          <w:bCs/>
          <w:b/>
        </w:rPr>
        <w:t xml:space="preserve">Intel Developments</w:t>
      </w:r>
    </w:p>
    <w:p>
      <w:pPr>
        <w:pStyle w:val="BodyText"/>
      </w:pPr>
      <w:r>
        <w:t xml:space="preserve">Pat Gelsinger departure:</w:t>
      </w:r>
      <w:r>
        <w:t xml:space="preserve"> </w:t>
      </w:r>
      <w:r>
        <w:rPr>
          <w:bCs/>
          <w:b/>
        </w:rPr>
        <w:t xml:space="preserve">December 1, 2024</w:t>
      </w:r>
      <w:r>
        <w:t xml:space="preserve"> </w:t>
      </w:r>
      <w:r>
        <w:t xml:space="preserve">(board forced resignation). Stock fell</w:t>
      </w:r>
      <w:r>
        <w:t xml:space="preserve"> </w:t>
      </w:r>
      <w:r>
        <w:rPr>
          <w:bCs/>
          <w:b/>
        </w:rPr>
        <w:t xml:space="preserve">~60%</w:t>
      </w:r>
      <w:r>
        <w:t xml:space="preserve"> </w:t>
      </w:r>
      <w:r>
        <w:t xml:space="preserve">during tenure. Q3 2024: Record</w:t>
      </w:r>
      <w:r>
        <w:t xml:space="preserve"> </w:t>
      </w:r>
      <w:r>
        <w:rPr>
          <w:bCs/>
          <w:b/>
        </w:rPr>
        <w:t xml:space="preserve">$16.99 billion</w:t>
      </w:r>
      <w:r>
        <w:t xml:space="preserve"> </w:t>
      </w:r>
      <w:r>
        <w:t xml:space="preserve">net loss. Removed from Dow Jones Industrial Average (replaced by NVIDIA November 2024).</w:t>
      </w:r>
    </w:p>
    <w:p>
      <w:pPr>
        <w:pStyle w:val="BodyText"/>
      </w:pPr>
      <w:r>
        <w:t xml:space="preserve">18A node: Entering high-volume manufacturing but yield challenges. Microsoft and Amazon signed as foundry customers. New CEO:</w:t>
      </w:r>
      <w:r>
        <w:t xml:space="preserve"> </w:t>
      </w:r>
      <w:r>
        <w:rPr>
          <w:bCs/>
          <w:b/>
        </w:rPr>
        <w:t xml:space="preserve">Lip-Bu Tan</w:t>
      </w:r>
      <w:r>
        <w:t xml:space="preserve"> </w:t>
      </w:r>
      <w:r>
        <w:t xml:space="preserve">(March 2025).</w:t>
      </w:r>
    </w:p>
    <w:p>
      <w:pPr>
        <w:pStyle w:val="BodyText"/>
      </w:pPr>
      <w:r>
        <w:rPr>
          <w:bCs/>
          <w:b/>
        </w:rPr>
        <w:t xml:space="preserve">NVIDIA Updates</w:t>
      </w:r>
    </w:p>
    <w:p>
      <w:pPr>
        <w:pStyle w:val="BodyText"/>
      </w:pPr>
      <w:r>
        <w:t xml:space="preserve">Blackwell delays: Overheating problems, chip connection glitches; some shipments began Q4 2024. H200: Fastest-ramping product, drove</w:t>
      </w:r>
      <w:r>
        <w:t xml:space="preserve"> </w:t>
      </w:r>
      <w:r>
        <w:t xml:space="preserve">“</w:t>
      </w:r>
      <w:r>
        <w:t xml:space="preserve">double-digit billions</w:t>
      </w:r>
      <w:r>
        <w:t xml:space="preserve">”</w:t>
      </w:r>
      <w:r>
        <w:t xml:space="preserve"> </w:t>
      </w:r>
      <w:r>
        <w:t xml:space="preserve">in Q3 FY2025 sales.</w:t>
      </w:r>
    </w:p>
    <w:p>
      <w:pPr>
        <w:pStyle w:val="BodyText"/>
      </w:pPr>
      <w:r>
        <w:t xml:space="preserve">Stock 2024: Up</w:t>
      </w:r>
      <w:r>
        <w:t xml:space="preserve"> </w:t>
      </w:r>
      <w:r>
        <w:rPr>
          <w:bCs/>
          <w:b/>
        </w:rPr>
        <w:t xml:space="preserve">~170%+</w:t>
      </w:r>
      <w:r>
        <w:t xml:space="preserve"> </w:t>
      </w:r>
      <w:r>
        <w:t xml:space="preserve">(top S&amp;P 500 performer). Briefly became world’s most valuable company (~$3.5 trillion). Data center revenue FY2025:</w:t>
      </w:r>
      <w:r>
        <w:t xml:space="preserve"> </w:t>
      </w:r>
      <w:r>
        <w:rPr>
          <w:bCs/>
          <w:b/>
        </w:rPr>
        <w:t xml:space="preserve">$130.5 billion</w:t>
      </w:r>
      <w:r>
        <w:t xml:space="preserve"> </w:t>
      </w:r>
      <w:r>
        <w:t xml:space="preserve">total revenue (up 114%).</w:t>
      </w:r>
    </w:p>
    <w:p>
      <w:pPr>
        <w:pStyle w:val="BodyText"/>
      </w:pPr>
      <w:r>
        <w:rPr>
          <w:bCs/>
          <w:b/>
        </w:rPr>
        <w:t xml:space="preserve">China Semiconductor</w:t>
      </w:r>
    </w:p>
    <w:p>
      <w:pPr>
        <w:pStyle w:val="BodyText"/>
      </w:pPr>
      <w:r>
        <w:t xml:space="preserve">SMIC 7nm confirmed September 2023 (Huawei Mate 60 Pro). Uses DUV with multi-patterning (no EUV access). Equipment limitations: Cannot efficiently produce below 7nm without EUV. Still 2+ generations behind TSMC.</w:t>
      </w:r>
    </w:p>
    <w:p>
      <w:r>
        <w:pict>
          <v:rect style="width:0;height:1.5pt" o:hralign="center" o:hrstd="t" o:hr="t"/>
        </w:pict>
      </w:r>
    </w:p>
    <w:bookmarkEnd w:id="241"/>
    <w:bookmarkEnd w:id="242"/>
    <w:bookmarkStart w:id="247" w:name="section-4-corporate-parallels"/>
    <w:p>
      <w:pPr>
        <w:pStyle w:val="Heading2"/>
      </w:pPr>
      <w:r>
        <w:t xml:space="preserve">Section 4: Corporate Parallels</w:t>
      </w:r>
    </w:p>
    <w:bookmarkStart w:id="243" w:name="microsoft-ai-transformation"/>
    <w:p>
      <w:pPr>
        <w:pStyle w:val="Heading3"/>
      </w:pPr>
      <w:r>
        <w:t xml:space="preserve">Microsoft AI Transformation</w:t>
      </w:r>
    </w:p>
    <w:p>
      <w:pPr>
        <w:pStyle w:val="FirstParagraph"/>
      </w:pPr>
      <w:r>
        <w:rPr>
          <w:bCs/>
          <w:b/>
        </w:rPr>
        <w:t xml:space="preserve">Nadella Appointment</w:t>
      </w:r>
      <w:r>
        <w:t xml:space="preserve">:</w:t>
      </w:r>
      <w:r>
        <w:t xml:space="preserve"> </w:t>
      </w:r>
      <w:r>
        <w:rPr>
          <w:bCs/>
          <w:b/>
        </w:rPr>
        <w:t xml:space="preserve">February 4, 2014</w:t>
      </w:r>
      <w:r>
        <w:t xml:space="preserve">. Previous role: EVP Cloud and Enterprise Group.</w:t>
      </w:r>
    </w:p>
    <w:p>
      <w:pPr>
        <w:pStyle w:val="BodyText"/>
      </w:pPr>
      <w:r>
        <w:rPr>
          <w:bCs/>
          <w:b/>
        </w:rPr>
        <w:t xml:space="preserve">Cloud Pivot</w:t>
      </w:r>
      <w:r>
        <w:t xml:space="preserve">: Azure revenue growth FY2025:</w:t>
      </w:r>
      <w:r>
        <w:t xml:space="preserve"> </w:t>
      </w:r>
      <w:r>
        <w:rPr>
          <w:bCs/>
          <w:b/>
        </w:rPr>
        <w:t xml:space="preserve">34%</w:t>
      </w:r>
      <w:r>
        <w:t xml:space="preserve">. Microsoft Cloud revenue FY2025:</w:t>
      </w:r>
      <w:r>
        <w:t xml:space="preserve"> </w:t>
      </w:r>
      <w:r>
        <w:rPr>
          <w:bCs/>
          <w:b/>
        </w:rPr>
        <w:t xml:space="preserve">$168.9 billion</w:t>
      </w:r>
      <w:r>
        <w:t xml:space="preserve"> </w:t>
      </w:r>
      <w:r>
        <w:t xml:space="preserve">(23% YoY). Market share:</w:t>
      </w:r>
      <w:r>
        <w:t xml:space="preserve"> </w:t>
      </w:r>
      <w:r>
        <w:rPr>
          <w:bCs/>
          <w:b/>
        </w:rPr>
        <w:t xml:space="preserve">24%</w:t>
      </w:r>
      <w:r>
        <w:t xml:space="preserve"> </w:t>
      </w:r>
      <w:r>
        <w:t xml:space="preserve">of global cloud (AWS 31%, GCP 11%). Azure AI customers:</w:t>
      </w:r>
      <w:r>
        <w:t xml:space="preserve"> </w:t>
      </w:r>
      <w:r>
        <w:rPr>
          <w:bCs/>
          <w:b/>
        </w:rPr>
        <w:t xml:space="preserve">53,000+</w:t>
      </w:r>
      <w:r>
        <w:t xml:space="preserve">; Azure AI revenue run rate:</w:t>
      </w:r>
      <w:r>
        <w:t xml:space="preserve"> </w:t>
      </w:r>
      <w:r>
        <w:rPr>
          <w:bCs/>
          <w:b/>
        </w:rPr>
        <w:t xml:space="preserve">$13 billion</w:t>
      </w:r>
      <w:r>
        <w:t xml:space="preserve"> </w:t>
      </w:r>
      <w:r>
        <w:t xml:space="preserve">(175% YoY growth).</w:t>
      </w:r>
    </w:p>
    <w:p>
      <w:pPr>
        <w:pStyle w:val="BodyText"/>
      </w:pPr>
      <w:r>
        <w:rPr>
          <w:bCs/>
          <w:b/>
        </w:rPr>
        <w:t xml:space="preserve">OpenAI Partnership</w:t>
      </w:r>
      <w:r>
        <w:t xml:space="preserve">: 2019 ($1B) + 2021 (~$2B) + 2023 ($10B) + 2024 additional =</w:t>
      </w:r>
      <w:r>
        <w:t xml:space="preserve"> </w:t>
      </w:r>
      <w:r>
        <w:rPr>
          <w:bCs/>
          <w:b/>
        </w:rPr>
        <w:t xml:space="preserve">~$13B total</w:t>
      </w:r>
      <w:r>
        <w:t xml:space="preserve"> </w:t>
      </w:r>
      <w:r>
        <w:t xml:space="preserve">($11.6B funded by September 2025). Microsoft exclusive cloud provider; exclusive IP licensing except AGI. Post-2025 recapitalization: Microsoft holds</w:t>
      </w:r>
      <w:r>
        <w:t xml:space="preserve"> </w:t>
      </w:r>
      <w:r>
        <w:rPr>
          <w:bCs/>
          <w:b/>
        </w:rPr>
        <w:t xml:space="preserve">~27%</w:t>
      </w:r>
      <w:r>
        <w:t xml:space="preserve"> </w:t>
      </w:r>
      <w:r>
        <w:t xml:space="preserve">stake (~$135B).</w:t>
      </w:r>
    </w:p>
    <w:p>
      <w:pPr>
        <w:pStyle w:val="BodyText"/>
      </w:pPr>
      <w:r>
        <w:rPr>
          <w:bCs/>
          <w:b/>
        </w:rPr>
        <w:t xml:space="preserve">Acquisitions</w:t>
      </w:r>
      <w:r>
        <w:t xml:space="preserve">: LinkedIn (June 2016, $26.2B); GitHub (October 2018, $7.5B); Nuance (March 2022, $19.7B); Activision Blizzard (October 2023, $68.7B—largest gaming acquisition ever).</w:t>
      </w:r>
    </w:p>
    <w:p>
      <w:pPr>
        <w:pStyle w:val="BodyText"/>
      </w:pPr>
      <w:r>
        <w:rPr>
          <w:bCs/>
          <w:b/>
        </w:rPr>
        <w:t xml:space="preserve">Stock Performance</w:t>
      </w:r>
      <w:r>
        <w:t xml:space="preserve">: Market cap February 2014</w:t>
      </w:r>
      <w:r>
        <w:t xml:space="preserve"> </w:t>
      </w:r>
      <w:r>
        <w:rPr>
          <w:bCs/>
          <w:b/>
        </w:rPr>
        <w:t xml:space="preserve">~$300B</w:t>
      </w:r>
      <w:r>
        <w:t xml:space="preserve"> </w:t>
      </w:r>
      <w:r>
        <w:t xml:space="preserve">→ January 2026</w:t>
      </w:r>
      <w:r>
        <w:t xml:space="preserve"> </w:t>
      </w:r>
      <w:r>
        <w:rPr>
          <w:bCs/>
          <w:b/>
        </w:rPr>
        <w:t xml:space="preserve">~$3.4-3.6T</w:t>
      </w:r>
      <w:r>
        <w:t xml:space="preserve"> </w:t>
      </w:r>
      <w:r>
        <w:t xml:space="preserve">(</w:t>
      </w:r>
      <w:r>
        <w:rPr>
          <w:bCs/>
          <w:b/>
        </w:rPr>
        <w:t xml:space="preserve">~11x increase</w:t>
      </w:r>
      <w:r>
        <w:t xml:space="preserve">). Stock increased</w:t>
      </w:r>
      <w:r>
        <w:t xml:space="preserve"> </w:t>
      </w:r>
      <w:r>
        <w:rPr>
          <w:bCs/>
          <w:b/>
        </w:rPr>
        <w:t xml:space="preserve">nearly 10x</w:t>
      </w:r>
      <w:r>
        <w:t xml:space="preserve"> </w:t>
      </w:r>
      <w:r>
        <w:t xml:space="preserve">under Nadella;</w:t>
      </w:r>
      <w:r>
        <w:t xml:space="preserve"> </w:t>
      </w:r>
      <w:r>
        <w:rPr>
          <w:bCs/>
          <w:b/>
        </w:rPr>
        <w:t xml:space="preserve">27% CAGR</w:t>
      </w:r>
      <w:r>
        <w:t xml:space="preserve">.</w:t>
      </w:r>
    </w:p>
    <w:bookmarkEnd w:id="243"/>
    <w:bookmarkStart w:id="244" w:name="nvidia-ai-monopoly"/>
    <w:p>
      <w:pPr>
        <w:pStyle w:val="Heading3"/>
      </w:pPr>
      <w:r>
        <w:t xml:space="preserve">NVIDIA AI Monopoly</w:t>
      </w:r>
    </w:p>
    <w:p>
      <w:pPr>
        <w:pStyle w:val="FirstParagraph"/>
      </w:pPr>
      <w:r>
        <w:rPr>
          <w:bCs/>
          <w:b/>
        </w:rPr>
        <w:t xml:space="preserve">Jensen Huang Leadership</w:t>
      </w:r>
      <w:r>
        <w:t xml:space="preserve">: Co-founded April 1993; CEO continuously</w:t>
      </w:r>
      <w:r>
        <w:t xml:space="preserve"> </w:t>
      </w:r>
      <w:r>
        <w:rPr>
          <w:bCs/>
          <w:b/>
        </w:rPr>
        <w:t xml:space="preserve">32+ years</w:t>
      </w:r>
      <w:r>
        <w:t xml:space="preserve">. Strategic pivots: 1990s gaming → 2006 CUDA → 2012 AI/deep learning.</w:t>
      </w:r>
    </w:p>
    <w:p>
      <w:pPr>
        <w:pStyle w:val="BodyText"/>
      </w:pPr>
      <w:r>
        <w:rPr>
          <w:bCs/>
          <w:b/>
        </w:rPr>
        <w:t xml:space="preserve">CUDA Ecosystem</w:t>
      </w:r>
      <w:r>
        <w:t xml:space="preserve">: Launched 2006.</w:t>
      </w:r>
      <w:r>
        <w:t xml:space="preserve"> </w:t>
      </w:r>
      <w:r>
        <w:rPr>
          <w:bCs/>
          <w:b/>
        </w:rPr>
        <w:t xml:space="preserve">6+ million developers</w:t>
      </w:r>
      <w:r>
        <w:t xml:space="preserve">. Lock-in: switching costs</w:t>
      </w:r>
      <w:r>
        <w:t xml:space="preserve"> </w:t>
      </w:r>
      <w:r>
        <w:t xml:space="preserve">“</w:t>
      </w:r>
      <w:r>
        <w:t xml:space="preserve">insurmountable</w:t>
      </w:r>
      <w:r>
        <w:t xml:space="preserve">”</w:t>
      </w:r>
      <w:r>
        <w:t xml:space="preserve">—software dependent on CUDA runs at 1-2% speed on alternatives (ROCm).</w:t>
      </w:r>
    </w:p>
    <w:p>
      <w:pPr>
        <w:pStyle w:val="BodyText"/>
      </w:pPr>
      <w:r>
        <w:rPr>
          <w:bCs/>
          <w:b/>
        </w:rPr>
        <w:t xml:space="preserve">Data Center Dominance</w:t>
      </w:r>
      <w:r>
        <w:t xml:space="preserve">:</w:t>
      </w:r>
      <w:r>
        <w:t xml:space="preserve"> </w:t>
      </w:r>
      <w:r>
        <w:rPr>
          <w:bCs/>
          <w:b/>
        </w:rPr>
        <w:t xml:space="preserve">80-95%</w:t>
      </w:r>
      <w:r>
        <w:t xml:space="preserve"> </w:t>
      </w:r>
      <w:r>
        <w:t xml:space="preserve">market share for high-end AI GPU market. Q3 2024:</w:t>
      </w:r>
      <w:r>
        <w:t xml:space="preserve"> </w:t>
      </w:r>
      <w:r>
        <w:rPr>
          <w:bCs/>
          <w:b/>
        </w:rPr>
        <w:t xml:space="preserve">90%</w:t>
      </w:r>
      <w:r>
        <w:t xml:space="preserve"> </w:t>
      </w:r>
      <w:r>
        <w:t xml:space="preserve">GPU market share. H100/H200 pricing:</w:t>
      </w:r>
      <w:r>
        <w:t xml:space="preserve"> </w:t>
      </w:r>
      <w:r>
        <w:rPr>
          <w:bCs/>
          <w:b/>
        </w:rPr>
        <w:t xml:space="preserve">$25,000-40,000</w:t>
      </w:r>
      <w:r>
        <w:t xml:space="preserve"> </w:t>
      </w:r>
      <w:r>
        <w:t xml:space="preserve">per GPU. Gross margins:</w:t>
      </w:r>
      <w:r>
        <w:t xml:space="preserve"> </w:t>
      </w:r>
      <w:r>
        <w:rPr>
          <w:bCs/>
          <w:b/>
        </w:rPr>
        <w:t xml:space="preserve">78.4%</w:t>
      </w:r>
      <w:r>
        <w:t xml:space="preserve"> </w:t>
      </w:r>
      <w:r>
        <w:t xml:space="preserve">(vs. AMD 49%, Intel 35%).</w:t>
      </w:r>
    </w:p>
    <w:p>
      <w:pPr>
        <w:pStyle w:val="BodyText"/>
      </w:pPr>
      <w:r>
        <w:rPr>
          <w:bCs/>
          <w:b/>
        </w:rPr>
        <w:t xml:space="preserve">Stock Performance</w:t>
      </w:r>
      <w:r>
        <w:t xml:space="preserve">: Market cap 2020</w:t>
      </w:r>
      <w:r>
        <w:t xml:space="preserve"> </w:t>
      </w:r>
      <w:r>
        <w:rPr>
          <w:bCs/>
          <w:b/>
        </w:rPr>
        <w:t xml:space="preserve">~$300-400B</w:t>
      </w:r>
      <w:r>
        <w:t xml:space="preserve"> </w:t>
      </w:r>
      <w:r>
        <w:t xml:space="preserve">→ October 2025 all-time high</w:t>
      </w:r>
      <w:r>
        <w:t xml:space="preserve"> </w:t>
      </w:r>
      <w:r>
        <w:rPr>
          <w:bCs/>
          <w:b/>
        </w:rPr>
        <w:t xml:space="preserve">$5.04T</w:t>
      </w:r>
      <w:r>
        <w:t xml:space="preserve"> </w:t>
      </w:r>
      <w:r>
        <w:t xml:space="preserve">→ January 2026</w:t>
      </w:r>
      <w:r>
        <w:t xml:space="preserve"> </w:t>
      </w:r>
      <w:r>
        <w:rPr>
          <w:bCs/>
          <w:b/>
        </w:rPr>
        <w:t xml:space="preserve">~$4.5T</w:t>
      </w:r>
      <w:r>
        <w:t xml:space="preserve">. 5-year market cap CAGR:</w:t>
      </w:r>
      <w:r>
        <w:t xml:space="preserve"> </w:t>
      </w:r>
      <w:r>
        <w:rPr>
          <w:bCs/>
          <w:b/>
        </w:rPr>
        <w:t xml:space="preserve">43.85%</w:t>
      </w:r>
      <w:r>
        <w:t xml:space="preserve">. World’s most valuable company by market cap.</w:t>
      </w:r>
    </w:p>
    <w:p>
      <w:pPr>
        <w:pStyle w:val="BodyText"/>
      </w:pPr>
      <w:r>
        <w:rPr>
          <w:bCs/>
          <w:b/>
        </w:rPr>
        <w:t xml:space="preserve">Supply Chain</w:t>
      </w:r>
      <w:r>
        <w:t xml:space="preserve">: TSMC sole manufacturer. NVIDIA securing</w:t>
      </w:r>
      <w:r>
        <w:t xml:space="preserve"> </w:t>
      </w:r>
      <w:r>
        <w:rPr>
          <w:bCs/>
          <w:b/>
        </w:rPr>
        <w:t xml:space="preserve">60-70%</w:t>
      </w:r>
      <w:r>
        <w:t xml:space="preserve"> </w:t>
      </w:r>
      <w:r>
        <w:t xml:space="preserve">of TSMC’s CoWoS capacity. 2026 projected:</w:t>
      </w:r>
      <w:r>
        <w:t xml:space="preserve"> </w:t>
      </w:r>
      <w:r>
        <w:rPr>
          <w:bCs/>
          <w:b/>
        </w:rPr>
        <w:t xml:space="preserve">595,000</w:t>
      </w:r>
      <w:r>
        <w:t xml:space="preserve"> </w:t>
      </w:r>
      <w:r>
        <w:t xml:space="preserve">CoWoS wafers for NVIDIA (60% of global demand).</w:t>
      </w:r>
    </w:p>
    <w:p>
      <w:pPr>
        <w:pStyle w:val="BodyText"/>
      </w:pPr>
      <w:r>
        <w:rPr>
          <w:bCs/>
          <w:b/>
        </w:rPr>
        <w:t xml:space="preserve">Arm Acquisition Failure</w:t>
      </w:r>
      <w:r>
        <w:t xml:space="preserve">: Announced September 2020 ($40B); abandoned</w:t>
      </w:r>
      <w:r>
        <w:t xml:space="preserve"> </w:t>
      </w:r>
      <w:r>
        <w:rPr>
          <w:bCs/>
          <w:b/>
        </w:rPr>
        <w:t xml:space="preserve">February 7, 2022</w:t>
      </w:r>
      <w:r>
        <w:t xml:space="preserve">. FTC lawsuit filed December 2, 2021 (4-0 unanimous).</w:t>
      </w:r>
    </w:p>
    <w:bookmarkEnd w:id="244"/>
    <w:bookmarkStart w:id="245" w:name="intel-decline"/>
    <w:p>
      <w:pPr>
        <w:pStyle w:val="Heading3"/>
      </w:pPr>
      <w:r>
        <w:t xml:space="preserve">Intel Decline</w:t>
      </w:r>
    </w:p>
    <w:p>
      <w:pPr>
        <w:pStyle w:val="FirstParagraph"/>
      </w:pPr>
      <w:r>
        <w:rPr>
          <w:bCs/>
          <w:b/>
        </w:rPr>
        <w:t xml:space="preserve">Pat Gelsinger</w:t>
      </w:r>
      <w:r>
        <w:t xml:space="preserve">: Return as CEO February 2021; departure</w:t>
      </w:r>
      <w:r>
        <w:t xml:space="preserve"> </w:t>
      </w:r>
      <w:r>
        <w:rPr>
          <w:bCs/>
          <w:b/>
        </w:rPr>
        <w:t xml:space="preserve">December 1, 2024</w:t>
      </w:r>
      <w:r>
        <w:t xml:space="preserve"> </w:t>
      </w:r>
      <w:r>
        <w:t xml:space="preserve">(board forced resignation). Stock:</w:t>
      </w:r>
      <w:r>
        <w:t xml:space="preserve"> </w:t>
      </w:r>
      <w:r>
        <w:rPr>
          <w:bCs/>
          <w:b/>
        </w:rPr>
        <w:t xml:space="preserve">~60% decline</w:t>
      </w:r>
      <w:r>
        <w:t xml:space="preserve"> </w:t>
      </w:r>
      <w:r>
        <w:t xml:space="preserve">during tenure (~$68 to ~$19-22).</w:t>
      </w:r>
    </w:p>
    <w:p>
      <w:pPr>
        <w:pStyle w:val="BodyText"/>
      </w:pPr>
      <w:r>
        <w:rPr>
          <w:bCs/>
          <w:b/>
        </w:rPr>
        <w:t xml:space="preserve">IDM 2.0 Strategy</w:t>
      </w:r>
      <w:r>
        <w:t xml:space="preserve">: Announced March 2021.</w:t>
      </w:r>
      <w:r>
        <w:t xml:space="preserve"> </w:t>
      </w:r>
      <w:r>
        <w:t xml:space="preserve">“</w:t>
      </w:r>
      <w:r>
        <w:t xml:space="preserve">Five Nodes in Four Years</w:t>
      </w:r>
      <w:r>
        <w:t xml:space="preserve">”</w:t>
      </w:r>
      <w:r>
        <w:t xml:space="preserve"> </w:t>
      </w:r>
      <w:r>
        <w:t xml:space="preserve">roadmap. 18A: Behind schedule, yield challenges. Foundry customers: Limited (Microsoft, Amazon at small scale).</w:t>
      </w:r>
    </w:p>
    <w:p>
      <w:pPr>
        <w:pStyle w:val="BodyText"/>
      </w:pPr>
      <w:r>
        <w:rPr>
          <w:bCs/>
          <w:b/>
        </w:rPr>
        <w:t xml:space="preserve">Manufacturing Execution</w:t>
      </w:r>
      <w:r>
        <w:t xml:space="preserve">: 10nm delays (3-4 years behind). TSMC comparison: TSMC 3nm mass production 2022 while Intel struggled with 10nm.</w:t>
      </w:r>
    </w:p>
    <w:p>
      <w:pPr>
        <w:pStyle w:val="BodyText"/>
      </w:pPr>
      <w:r>
        <w:rPr>
          <w:bCs/>
          <w:b/>
        </w:rPr>
        <w:t xml:space="preserve">Financial Performance</w:t>
      </w:r>
      <w:r>
        <w:t xml:space="preserve">: Revenue 2021</w:t>
      </w:r>
      <w:r>
        <w:t xml:space="preserve"> </w:t>
      </w:r>
      <w:r>
        <w:rPr>
          <w:bCs/>
          <w:b/>
        </w:rPr>
        <w:t xml:space="preserve">$79B</w:t>
      </w:r>
      <w:r>
        <w:t xml:space="preserve"> </w:t>
      </w:r>
      <w:r>
        <w:t xml:space="preserve">→ 2024</w:t>
      </w:r>
      <w:r>
        <w:t xml:space="preserve"> </w:t>
      </w:r>
      <w:r>
        <w:rPr>
          <w:bCs/>
          <w:b/>
        </w:rPr>
        <w:t xml:space="preserve">~$55B</w:t>
      </w:r>
      <w:r>
        <w:t xml:space="preserve">. Q3 2024: Record</w:t>
      </w:r>
      <w:r>
        <w:t xml:space="preserve"> </w:t>
      </w:r>
      <w:r>
        <w:rPr>
          <w:bCs/>
          <w:b/>
        </w:rPr>
        <w:t xml:space="preserve">$16.99B</w:t>
      </w:r>
      <w:r>
        <w:t xml:space="preserve"> </w:t>
      </w:r>
      <w:r>
        <w:t xml:space="preserve">net loss. Market cap: Less than half of 2021 levels. Removed from DJIA November 2024.</w:t>
      </w:r>
    </w:p>
    <w:p>
      <w:pPr>
        <w:pStyle w:val="BodyText"/>
      </w:pPr>
      <w:r>
        <w:rPr>
          <w:bCs/>
          <w:b/>
        </w:rPr>
        <w:t xml:space="preserve">CHIPS Act Funding</w:t>
      </w:r>
      <w:r>
        <w:t xml:space="preserve">:</w:t>
      </w:r>
      <w:r>
        <w:t xml:space="preserve"> </w:t>
      </w:r>
      <w:r>
        <w:rPr>
          <w:bCs/>
          <w:b/>
        </w:rPr>
        <w:t xml:space="preserve">$7.86B</w:t>
      </w:r>
      <w:r>
        <w:t xml:space="preserve"> </w:t>
      </w:r>
      <w:r>
        <w:t xml:space="preserve">final award (down from $8.5B preliminary) + $3B</w:t>
      </w:r>
      <w:r>
        <w:t xml:space="preserve"> </w:t>
      </w:r>
      <w:r>
        <w:t xml:space="preserve">“</w:t>
      </w:r>
      <w:r>
        <w:t xml:space="preserve">Secure Enclave</w:t>
      </w:r>
      <w:r>
        <w:t xml:space="preserve">”</w:t>
      </w:r>
      <w:r>
        <w:t xml:space="preserve"> </w:t>
      </w:r>
      <w:r>
        <w:t xml:space="preserve">defense contract.</w:t>
      </w:r>
    </w:p>
    <w:bookmarkEnd w:id="245"/>
    <w:bookmarkStart w:id="246" w:name="boeing-institutional-erosion"/>
    <w:p>
      <w:pPr>
        <w:pStyle w:val="Heading3"/>
      </w:pPr>
      <w:r>
        <w:t xml:space="preserve">Boeing Institutional Erosion</w:t>
      </w:r>
    </w:p>
    <w:p>
      <w:pPr>
        <w:pStyle w:val="FirstParagraph"/>
      </w:pPr>
      <w:r>
        <w:rPr>
          <w:bCs/>
          <w:b/>
        </w:rPr>
        <w:t xml:space="preserve">McDonnell Douglas Merger</w:t>
      </w:r>
      <w:r>
        <w:t xml:space="preserve">: August 1, 1997 ($13.3B). Post-merger leadership dominated by McDonnell Douglas executives. Harry Stonecipher (former MDC CEO):</w:t>
      </w:r>
      <w:r>
        <w:t xml:space="preserve"> </w:t>
      </w:r>
      <w:r>
        <w:t xml:space="preserve">“</w:t>
      </w:r>
      <w:r>
        <w:t xml:space="preserve">When people say I changed the culture of Boeing, that was the intent, so that it’s run like a business rather than a great engineering firm.</w:t>
      </w:r>
      <w:r>
        <w:t xml:space="preserve">”</w:t>
      </w:r>
      <w:r>
        <w:t xml:space="preserve"> </w:t>
      </w:r>
      <w:r>
        <w:t xml:space="preserve">Headquarters moved to Chicago 2001 (1,700+ miles from manufacturing).</w:t>
      </w:r>
    </w:p>
    <w:p>
      <w:pPr>
        <w:pStyle w:val="BodyText"/>
      </w:pPr>
      <w:r>
        <w:rPr>
          <w:bCs/>
          <w:b/>
        </w:rPr>
        <w:t xml:space="preserve">737 MAX Crisis</w:t>
      </w:r>
      <w:r>
        <w:t xml:space="preserve">: Lion Air Flight 610 October 29, 2018 (</w:t>
      </w:r>
      <w:r>
        <w:rPr>
          <w:bCs/>
          <w:b/>
        </w:rPr>
        <w:t xml:space="preserve">189 deaths</w:t>
      </w:r>
      <w:r>
        <w:t xml:space="preserve">); Ethiopian Airlines Flight 302 March 10, 2019 (</w:t>
      </w:r>
      <w:r>
        <w:rPr>
          <w:bCs/>
          <w:b/>
        </w:rPr>
        <w:t xml:space="preserve">157 deaths</w:t>
      </w:r>
      <w:r>
        <w:t xml:space="preserve">).</w:t>
      </w:r>
      <w:r>
        <w:t xml:space="preserve"> </w:t>
      </w:r>
      <w:r>
        <w:rPr>
          <w:bCs/>
          <w:b/>
        </w:rPr>
        <w:t xml:space="preserve">Total: 346 deaths</w:t>
      </w:r>
      <w:r>
        <w:t xml:space="preserve">. Grounding:</w:t>
      </w:r>
      <w:r>
        <w:t xml:space="preserve"> </w:t>
      </w:r>
      <w:r>
        <w:rPr>
          <w:bCs/>
          <w:b/>
        </w:rPr>
        <w:t xml:space="preserve">March 13, 2019</w:t>
      </w:r>
      <w:r>
        <w:t xml:space="preserve"> </w:t>
      </w:r>
      <w:r>
        <w:t xml:space="preserve">(21 months). MCAS relied on single angle-of-attack sensor; pilots not informed of MCAS existence. DOJ settlement January 2021:</w:t>
      </w:r>
      <w:r>
        <w:t xml:space="preserve"> </w:t>
      </w:r>
      <w:r>
        <w:rPr>
          <w:bCs/>
          <w:b/>
        </w:rPr>
        <w:t xml:space="preserve">$2.5 billion</w:t>
      </w:r>
      <w:r>
        <w:t xml:space="preserve">.</w:t>
      </w:r>
    </w:p>
    <w:p>
      <w:pPr>
        <w:pStyle w:val="BodyText"/>
      </w:pPr>
      <w:r>
        <w:rPr>
          <w:bCs/>
          <w:b/>
        </w:rPr>
        <w:t xml:space="preserve">2024 Quality Issues</w:t>
      </w:r>
      <w:r>
        <w:t xml:space="preserve">: Alaska Airlines door plug blowout</w:t>
      </w:r>
      <w:r>
        <w:t xml:space="preserve"> </w:t>
      </w:r>
      <w:r>
        <w:rPr>
          <w:bCs/>
          <w:b/>
        </w:rPr>
        <w:t xml:space="preserve">January 5, 2024</w:t>
      </w:r>
      <w:r>
        <w:t xml:space="preserve"> </w:t>
      </w:r>
      <w:r>
        <w:t xml:space="preserve">(8 injuries). NTSB final report (June 24, 2025):</w:t>
      </w:r>
      <w:r>
        <w:t xml:space="preserve"> </w:t>
      </w:r>
      <w:r>
        <w:t xml:space="preserve">“</w:t>
      </w:r>
      <w:r>
        <w:t xml:space="preserve">Boeing’s failure to provide adequate training, guidance, and oversight</w:t>
      </w:r>
      <w:r>
        <w:t xml:space="preserve">”</w:t>
      </w:r>
      <w:r>
        <w:t xml:space="preserve">—four bolts never reinstalled. Production cap imposed.</w:t>
      </w:r>
    </w:p>
    <w:p>
      <w:pPr>
        <w:pStyle w:val="BodyText"/>
      </w:pPr>
      <w:r>
        <w:rPr>
          <w:bCs/>
          <w:b/>
        </w:rPr>
        <w:t xml:space="preserve">Starliner Failures</w:t>
      </w:r>
      <w:r>
        <w:t xml:space="preserve">: First crewed test June 5, 2024. 5 helium leaks, 5/28 thruster failures. NASA determined too risky for crewed return August 24, 2024. Astronauts stranded</w:t>
      </w:r>
      <w:r>
        <w:t xml:space="preserve"> </w:t>
      </w:r>
      <w:r>
        <w:rPr>
          <w:bCs/>
          <w:b/>
        </w:rPr>
        <w:t xml:space="preserve">9+ months</w:t>
      </w:r>
      <w:r>
        <w:t xml:space="preserve">; returned via SpaceX Crew Dragon. Program</w:t>
      </w:r>
      <w:r>
        <w:t xml:space="preserve"> </w:t>
      </w:r>
      <w:r>
        <w:rPr>
          <w:bCs/>
          <w:b/>
        </w:rPr>
        <w:t xml:space="preserve">&gt;$1.5 billion</w:t>
      </w:r>
      <w:r>
        <w:t xml:space="preserve"> </w:t>
      </w:r>
      <w:r>
        <w:t xml:space="preserve">over budget.</w:t>
      </w:r>
    </w:p>
    <w:p>
      <w:pPr>
        <w:pStyle w:val="BodyText"/>
      </w:pPr>
      <w:r>
        <w:rPr>
          <w:bCs/>
          <w:b/>
        </w:rPr>
        <w:t xml:space="preserve">Stock Performance</w:t>
      </w:r>
      <w:r>
        <w:t xml:space="preserve">: 2018 peak ~$440 → 2024 down 30-40%. CEO succession: Muilenburg (fired December 2019), Calhoun (retired August 2024), Kelly Ortberg (current—engineering background, relocated to Seattle).</w:t>
      </w:r>
    </w:p>
    <w:p>
      <w:r>
        <w:pict>
          <v:rect style="width:0;height:1.5pt" o:hralign="center" o:hrstd="t" o:hr="t"/>
        </w:pict>
      </w:r>
    </w:p>
    <w:bookmarkEnd w:id="246"/>
    <w:bookmarkEnd w:id="247"/>
    <w:bookmarkStart w:id="253" w:name="section-5-quantitative-data-expansion"/>
    <w:p>
      <w:pPr>
        <w:pStyle w:val="Heading2"/>
      </w:pPr>
      <w:r>
        <w:t xml:space="preserve">Section 5: Quantitative Data Expansion</w:t>
      </w:r>
    </w:p>
    <w:bookmarkStart w:id="248" w:name="financial-metrics-time-series"/>
    <w:p>
      <w:pPr>
        <w:pStyle w:val="Heading3"/>
      </w:pPr>
      <w:r>
        <w:t xml:space="preserve">Financial Metrics Time Series</w:t>
      </w:r>
    </w:p>
    <w:p>
      <w:pPr>
        <w:pStyle w:val="FirstParagraph"/>
      </w:pPr>
      <w:r>
        <w:rPr>
          <w:bCs/>
          <w:b/>
        </w:rPr>
        <w:t xml:space="preserve">Federal Reserve Balance Sheet (Trillions USD)</w:t>
      </w:r>
      <w:r>
        <w:t xml:space="preserve"> </w:t>
      </w:r>
      <w:r>
        <w:t xml:space="preserve">| Year | Amount | Notes |</w:t>
      </w:r>
      <w:r>
        <w:t xml:space="preserve"> </w:t>
      </w:r>
      <w:r>
        <w:t xml:space="preserve">|——|——–|——-|</w:t>
      </w:r>
      <w:r>
        <w:t xml:space="preserve"> </w:t>
      </w:r>
      <w:r>
        <w:t xml:space="preserve">| 2007 | ~$0.9 | Pre-crisis |</w:t>
      </w:r>
      <w:r>
        <w:t xml:space="preserve"> </w:t>
      </w:r>
      <w:r>
        <w:t xml:space="preserve">| 2008 (Dec) | ~$2.2 | +$1.3T crisis expansion |</w:t>
      </w:r>
      <w:r>
        <w:t xml:space="preserve"> </w:t>
      </w:r>
      <w:r>
        <w:t xml:space="preserve">| 2014 | ~$4.5 | QE3 peak |</w:t>
      </w:r>
      <w:r>
        <w:t xml:space="preserve"> </w:t>
      </w:r>
      <w:r>
        <w:t xml:space="preserve">| 2020 | $8.9 | COVID peak (May 2022) |</w:t>
      </w:r>
      <w:r>
        <w:t xml:space="preserve"> </w:t>
      </w:r>
      <w:r>
        <w:t xml:space="preserve">| 2025 (Dec) | ~$6.5 | Post-QT |</w:t>
      </w:r>
    </w:p>
    <w:p>
      <w:pPr>
        <w:pStyle w:val="BodyText"/>
      </w:pPr>
      <w:r>
        <w:rPr>
          <w:bCs/>
          <w:b/>
        </w:rPr>
        <w:t xml:space="preserve">Federal Debt (Trillions USD)</w:t>
      </w:r>
      <w:r>
        <w:t xml:space="preserve"> </w:t>
      </w:r>
      <w:r>
        <w:t xml:space="preserve">| Year | Total | Debt/GDP |</w:t>
      </w:r>
      <w:r>
        <w:t xml:space="preserve"> </w:t>
      </w:r>
      <w:r>
        <w:t xml:space="preserve">|——|——-|———-|</w:t>
      </w:r>
      <w:r>
        <w:t xml:space="preserve"> </w:t>
      </w:r>
      <w:r>
        <w:t xml:space="preserve">| 2008 | $10.0 | ~70% |</w:t>
      </w:r>
      <w:r>
        <w:t xml:space="preserve"> </w:t>
      </w:r>
      <w:r>
        <w:t xml:space="preserve">| 2016 | $19.6 | ~105% |</w:t>
      </w:r>
      <w:r>
        <w:t xml:space="preserve"> </w:t>
      </w:r>
      <w:r>
        <w:t xml:space="preserve">| 2020 | $26.9 | 132.8% |</w:t>
      </w:r>
      <w:r>
        <w:t xml:space="preserve"> </w:t>
      </w:r>
      <w:r>
        <w:t xml:space="preserve">| 2025 | $38.4 | ~123% |</w:t>
      </w:r>
    </w:p>
    <w:p>
      <w:pPr>
        <w:pStyle w:val="BodyText"/>
      </w:pPr>
      <w:r>
        <w:rPr>
          <w:bCs/>
          <w:b/>
        </w:rPr>
        <w:t xml:space="preserve">COFER Dollar Share</w:t>
      </w:r>
      <w:r>
        <w:t xml:space="preserve"> </w:t>
      </w:r>
      <w:r>
        <w:t xml:space="preserve">| Year | USD Share |</w:t>
      </w:r>
      <w:r>
        <w:t xml:space="preserve"> </w:t>
      </w:r>
      <w:r>
        <w:t xml:space="preserve">|——|———–|</w:t>
      </w:r>
      <w:r>
        <w:t xml:space="preserve"> </w:t>
      </w:r>
      <w:r>
        <w:t xml:space="preserve">| 2000 | 71% (peak) |</w:t>
      </w:r>
      <w:r>
        <w:t xml:space="preserve"> </w:t>
      </w:r>
      <w:r>
        <w:t xml:space="preserve">| 2008 | ~65% |</w:t>
      </w:r>
      <w:r>
        <w:t xml:space="preserve"> </w:t>
      </w:r>
      <w:r>
        <w:t xml:space="preserve">| 2015 | ~65% |</w:t>
      </w:r>
      <w:r>
        <w:t xml:space="preserve"> </w:t>
      </w:r>
      <w:r>
        <w:t xml:space="preserve">| 2020 | ~59% |</w:t>
      </w:r>
      <w:r>
        <w:t xml:space="preserve"> </w:t>
      </w:r>
      <w:r>
        <w:t xml:space="preserve">| 2025 Q3 | 56.92% |</w:t>
      </w:r>
    </w:p>
    <w:bookmarkEnd w:id="248"/>
    <w:bookmarkStart w:id="249" w:name="governance-metrics-time-series"/>
    <w:p>
      <w:pPr>
        <w:pStyle w:val="Heading3"/>
      </w:pPr>
      <w:r>
        <w:t xml:space="preserve">Governance Metrics Time Series</w:t>
      </w:r>
    </w:p>
    <w:p>
      <w:pPr>
        <w:pStyle w:val="FirstParagraph"/>
      </w:pPr>
      <w:r>
        <w:rPr>
          <w:bCs/>
          <w:b/>
        </w:rPr>
        <w:t xml:space="preserve">Freedom House (0-100)</w:t>
      </w:r>
      <w:r>
        <w:t xml:space="preserve"> </w:t>
      </w:r>
      <w:r>
        <w:t xml:space="preserve">| Year | Score |</w:t>
      </w:r>
      <w:r>
        <w:t xml:space="preserve"> </w:t>
      </w:r>
      <w:r>
        <w:t xml:space="preserve">|——|——-|</w:t>
      </w:r>
      <w:r>
        <w:t xml:space="preserve"> </w:t>
      </w:r>
      <w:r>
        <w:t xml:space="preserve">| 2006 | 93 |</w:t>
      </w:r>
      <w:r>
        <w:t xml:space="preserve"> </w:t>
      </w:r>
      <w:r>
        <w:t xml:space="preserve">| 2020 | 83 |</w:t>
      </w:r>
      <w:r>
        <w:t xml:space="preserve"> </w:t>
      </w:r>
      <w:r>
        <w:t xml:space="preserve">| 2025 | 84 |</w:t>
      </w:r>
    </w:p>
    <w:p>
      <w:pPr>
        <w:pStyle w:val="BodyText"/>
      </w:pPr>
      <w:r>
        <w:rPr>
          <w:bCs/>
          <w:b/>
        </w:rPr>
        <w:t xml:space="preserve">EIU Democracy Index (0-10)</w:t>
      </w:r>
      <w:r>
        <w:t xml:space="preserve"> </w:t>
      </w:r>
      <w:r>
        <w:t xml:space="preserve">| Year | Score | Status |</w:t>
      </w:r>
      <w:r>
        <w:t xml:space="preserve"> </w:t>
      </w:r>
      <w:r>
        <w:t xml:space="preserve">|——|——-|——–|</w:t>
      </w:r>
      <w:r>
        <w:t xml:space="preserve"> </w:t>
      </w:r>
      <w:r>
        <w:t xml:space="preserve">| 2006 | 8.22 | Full Democracy |</w:t>
      </w:r>
      <w:r>
        <w:t xml:space="preserve"> </w:t>
      </w:r>
      <w:r>
        <w:t xml:space="preserve">| 2015 | 8.05 | Full Democracy |</w:t>
      </w:r>
      <w:r>
        <w:t xml:space="preserve"> </w:t>
      </w:r>
      <w:r>
        <w:t xml:space="preserve">| 2016 | 7.98 |</w:t>
      </w:r>
      <w:r>
        <w:t xml:space="preserve"> </w:t>
      </w:r>
      <w:r>
        <w:rPr>
          <w:bCs/>
          <w:b/>
        </w:rPr>
        <w:t xml:space="preserve">Flawed Democracy</w:t>
      </w:r>
      <w:r>
        <w:t xml:space="preserve"> </w:t>
      </w:r>
      <w:r>
        <w:t xml:space="preserve">|</w:t>
      </w:r>
      <w:r>
        <w:t xml:space="preserve"> </w:t>
      </w:r>
      <w:r>
        <w:t xml:space="preserve">| 2024 | 7.85 | Flawed Democracy |</w:t>
      </w:r>
    </w:p>
    <w:p>
      <w:pPr>
        <w:pStyle w:val="BodyText"/>
      </w:pPr>
      <w:r>
        <w:rPr>
          <w:bCs/>
          <w:b/>
        </w:rPr>
        <w:t xml:space="preserve">Congressional Approval (Gallup)</w:t>
      </w:r>
      <w:r>
        <w:t xml:space="preserve"> </w:t>
      </w:r>
      <w:r>
        <w:t xml:space="preserve">| Year | Approval |</w:t>
      </w:r>
      <w:r>
        <w:t xml:space="preserve"> </w:t>
      </w:r>
      <w:r>
        <w:t xml:space="preserve">|——|———-|</w:t>
      </w:r>
      <w:r>
        <w:t xml:space="preserve"> </w:t>
      </w:r>
      <w:r>
        <w:t xml:space="preserve">| 2001 | 56% (post-9/11) |</w:t>
      </w:r>
      <w:r>
        <w:t xml:space="preserve"> </w:t>
      </w:r>
      <w:r>
        <w:t xml:space="preserve">| 2008 | 19% |</w:t>
      </w:r>
      <w:r>
        <w:t xml:space="preserve"> </w:t>
      </w:r>
      <w:r>
        <w:t xml:space="preserve">| 2013 | 9% (</w:t>
      </w:r>
      <w:r>
        <w:rPr>
          <w:bCs/>
          <w:b/>
        </w:rPr>
        <w:t xml:space="preserve">all-time low</w:t>
      </w:r>
      <w:r>
        <w:t xml:space="preserve">) |</w:t>
      </w:r>
      <w:r>
        <w:t xml:space="preserve"> </w:t>
      </w:r>
      <w:r>
        <w:t xml:space="preserve">| 2025 | 15-29% |</w:t>
      </w:r>
    </w:p>
    <w:bookmarkEnd w:id="249"/>
    <w:bookmarkStart w:id="250" w:name="social-metrics-time-series"/>
    <w:p>
      <w:pPr>
        <w:pStyle w:val="Heading3"/>
      </w:pPr>
      <w:r>
        <w:t xml:space="preserve">Social Metrics Time Series</w:t>
      </w:r>
    </w:p>
    <w:p>
      <w:pPr>
        <w:pStyle w:val="FirstParagraph"/>
      </w:pPr>
      <w:r>
        <w:rPr>
          <w:bCs/>
          <w:b/>
        </w:rPr>
        <w:t xml:space="preserve">Life Expectancy</w:t>
      </w:r>
      <w:r>
        <w:t xml:space="preserve"> </w:t>
      </w:r>
      <w:r>
        <w:t xml:space="preserve">| Year | Years |</w:t>
      </w:r>
      <w:r>
        <w:t xml:space="preserve"> </w:t>
      </w:r>
      <w:r>
        <w:t xml:space="preserve">|——|——-|</w:t>
      </w:r>
      <w:r>
        <w:t xml:space="preserve"> </w:t>
      </w:r>
      <w:r>
        <w:t xml:space="preserve">| 2019 | 78.8 (peak) |</w:t>
      </w:r>
      <w:r>
        <w:t xml:space="preserve"> </w:t>
      </w:r>
      <w:r>
        <w:t xml:space="preserve">| 2021 | 76.4 (COVID nadir, -2.4 from 2019) |</w:t>
      </w:r>
      <w:r>
        <w:t xml:space="preserve"> </w:t>
      </w:r>
      <w:r>
        <w:t xml:space="preserve">| 2023 | 78.4 |</w:t>
      </w:r>
    </w:p>
    <w:p>
      <w:pPr>
        <w:pStyle w:val="BodyText"/>
      </w:pPr>
      <w:r>
        <w:rPr>
          <w:bCs/>
          <w:b/>
        </w:rPr>
        <w:t xml:space="preserve">Drug Overdose Deaths</w:t>
      </w:r>
      <w:r>
        <w:t xml:space="preserve"> </w:t>
      </w:r>
      <w:r>
        <w:t xml:space="preserve">| Year | Deaths |</w:t>
      </w:r>
      <w:r>
        <w:t xml:space="preserve"> </w:t>
      </w:r>
      <w:r>
        <w:t xml:space="preserve">|——|——–|</w:t>
      </w:r>
      <w:r>
        <w:t xml:space="preserve"> </w:t>
      </w:r>
      <w:r>
        <w:t xml:space="preserve">| 2008 | ~36,450 |</w:t>
      </w:r>
      <w:r>
        <w:t xml:space="preserve"> </w:t>
      </w:r>
      <w:r>
        <w:t xml:space="preserve">| 2019 | ~70,630 |</w:t>
      </w:r>
      <w:r>
        <w:t xml:space="preserve"> </w:t>
      </w:r>
      <w:r>
        <w:t xml:space="preserve">| 2022 | ~107,941 (</w:t>
      </w:r>
      <w:r>
        <w:rPr>
          <w:bCs/>
          <w:b/>
        </w:rPr>
        <w:t xml:space="preserve">peak</w:t>
      </w:r>
      <w:r>
        <w:t xml:space="preserve">) |</w:t>
      </w:r>
      <w:r>
        <w:t xml:space="preserve"> </w:t>
      </w:r>
      <w:r>
        <w:t xml:space="preserve">| 2024 | ~80,391 (-27% decline) |</w:t>
      </w:r>
    </w:p>
    <w:p>
      <w:pPr>
        <w:pStyle w:val="BodyText"/>
      </w:pPr>
      <w:r>
        <w:rPr>
          <w:bCs/>
          <w:b/>
        </w:rPr>
        <w:t xml:space="preserve">Homelessness (PIT Count)</w:t>
      </w:r>
      <w:r>
        <w:t xml:space="preserve"> </w:t>
      </w:r>
      <w:r>
        <w:t xml:space="preserve">| Year | Count |</w:t>
      </w:r>
      <w:r>
        <w:t xml:space="preserve"> </w:t>
      </w:r>
      <w:r>
        <w:t xml:space="preserve">|——|——-|</w:t>
      </w:r>
      <w:r>
        <w:t xml:space="preserve"> </w:t>
      </w:r>
      <w:r>
        <w:t xml:space="preserve">| 2016 | 549,928 (low) |</w:t>
      </w:r>
      <w:r>
        <w:t xml:space="preserve"> </w:t>
      </w:r>
      <w:r>
        <w:t xml:space="preserve">| 2024 |</w:t>
      </w:r>
      <w:r>
        <w:t xml:space="preserve"> </w:t>
      </w:r>
      <w:r>
        <w:rPr>
          <w:bCs/>
          <w:b/>
        </w:rPr>
        <w:t xml:space="preserve">771,480</w:t>
      </w:r>
      <w:r>
        <w:t xml:space="preserve"> </w:t>
      </w:r>
      <w:r>
        <w:t xml:space="preserve">(record, +18%) |</w:t>
      </w:r>
    </w:p>
    <w:p>
      <w:pPr>
        <w:pStyle w:val="BodyText"/>
      </w:pPr>
      <w:r>
        <w:rPr>
          <w:bCs/>
          <w:b/>
        </w:rPr>
        <w:t xml:space="preserve">Total Fertility Rate</w:t>
      </w:r>
      <w:r>
        <w:t xml:space="preserve"> </w:t>
      </w:r>
      <w:r>
        <w:t xml:space="preserve">| Year | TFR |</w:t>
      </w:r>
      <w:r>
        <w:t xml:space="preserve"> </w:t>
      </w:r>
      <w:r>
        <w:t xml:space="preserve">|——|—–|</w:t>
      </w:r>
      <w:r>
        <w:t xml:space="preserve"> </w:t>
      </w:r>
      <w:r>
        <w:t xml:space="preserve">| 2007 | 2.12 (replacement) |</w:t>
      </w:r>
      <w:r>
        <w:t xml:space="preserve"> </w:t>
      </w:r>
      <w:r>
        <w:t xml:space="preserve">| 2024 |</w:t>
      </w:r>
      <w:r>
        <w:t xml:space="preserve"> </w:t>
      </w:r>
      <w:r>
        <w:rPr>
          <w:bCs/>
          <w:b/>
        </w:rPr>
        <w:t xml:space="preserve">1.60</w:t>
      </w:r>
      <w:r>
        <w:t xml:space="preserve"> </w:t>
      </w:r>
      <w:r>
        <w:t xml:space="preserve">(all-time low) |</w:t>
      </w:r>
    </w:p>
    <w:bookmarkEnd w:id="250"/>
    <w:bookmarkStart w:id="251" w:name="military-metrics-time-series"/>
    <w:p>
      <w:pPr>
        <w:pStyle w:val="Heading3"/>
      </w:pPr>
      <w:r>
        <w:t xml:space="preserve">Military Metrics Time Series</w:t>
      </w:r>
    </w:p>
    <w:p>
      <w:pPr>
        <w:pStyle w:val="FirstParagraph"/>
      </w:pPr>
      <w:r>
        <w:rPr>
          <w:bCs/>
          <w:b/>
        </w:rPr>
        <w:t xml:space="preserve">Defense Spending</w:t>
      </w:r>
      <w:r>
        <w:t xml:space="preserve"> </w:t>
      </w:r>
      <w:r>
        <w:t xml:space="preserve">| Year | Nominal ($B) | Global Share |</w:t>
      </w:r>
      <w:r>
        <w:t xml:space="preserve"> </w:t>
      </w:r>
      <w:r>
        <w:t xml:space="preserve">|——|————–|————–|</w:t>
      </w:r>
      <w:r>
        <w:t xml:space="preserve"> </w:t>
      </w:r>
      <w:r>
        <w:t xml:space="preserve">| 2008 | ~$650 | ~42% |</w:t>
      </w:r>
      <w:r>
        <w:t xml:space="preserve"> </w:t>
      </w:r>
      <w:r>
        <w:t xml:space="preserve">| 2024 | $997 | 37% |</w:t>
      </w:r>
    </w:p>
    <w:p>
      <w:pPr>
        <w:pStyle w:val="BodyText"/>
      </w:pPr>
      <w:r>
        <w:rPr>
          <w:bCs/>
          <w:b/>
        </w:rPr>
        <w:t xml:space="preserve">NATO 2% Compliance</w:t>
      </w:r>
      <w:r>
        <w:t xml:space="preserve"> </w:t>
      </w:r>
      <w:r>
        <w:t xml:space="preserve">| Year | Countries |</w:t>
      </w:r>
      <w:r>
        <w:t xml:space="preserve"> </w:t>
      </w:r>
      <w:r>
        <w:t xml:space="preserve">|——|———–|</w:t>
      </w:r>
      <w:r>
        <w:t xml:space="preserve"> </w:t>
      </w:r>
      <w:r>
        <w:t xml:space="preserve">| 2014 | 3 |</w:t>
      </w:r>
      <w:r>
        <w:t xml:space="preserve"> </w:t>
      </w:r>
      <w:r>
        <w:t xml:space="preserve">| 2024 | 23 |</w:t>
      </w:r>
      <w:r>
        <w:t xml:space="preserve"> </w:t>
      </w:r>
      <w:r>
        <w:t xml:space="preserve">| 2025 | 32 (all members) |</w:t>
      </w:r>
    </w:p>
    <w:bookmarkEnd w:id="251"/>
    <w:bookmarkStart w:id="252" w:name="technology-metrics"/>
    <w:p>
      <w:pPr>
        <w:pStyle w:val="Heading3"/>
      </w:pPr>
      <w:r>
        <w:t xml:space="preserve">Technology Metrics</w:t>
      </w:r>
    </w:p>
    <w:p>
      <w:pPr>
        <w:pStyle w:val="FirstParagraph"/>
      </w:pPr>
      <w:r>
        <w:rPr>
          <w:bCs/>
          <w:b/>
        </w:rPr>
        <w:t xml:space="preserve">Semiconductor Production Share</w:t>
      </w:r>
      <w:r>
        <w:t xml:space="preserve"> </w:t>
      </w:r>
      <w:r>
        <w:t xml:space="preserve">| Year | US | Taiwan | China |</w:t>
      </w:r>
      <w:r>
        <w:t xml:space="preserve"> </w:t>
      </w:r>
      <w:r>
        <w:t xml:space="preserve">|——|—–|——–|——-|</w:t>
      </w:r>
      <w:r>
        <w:t xml:space="preserve"> </w:t>
      </w:r>
      <w:r>
        <w:t xml:space="preserve">| 1990 | 37% | 10% | ~0% |</w:t>
      </w:r>
      <w:r>
        <w:t xml:space="preserve"> </w:t>
      </w:r>
      <w:r>
        <w:t xml:space="preserve">| 2024 | 12% | 22% | 18% |</w:t>
      </w:r>
    </w:p>
    <w:p>
      <w:pPr>
        <w:pStyle w:val="BodyText"/>
      </w:pPr>
      <w:r>
        <w:rPr>
          <w:bCs/>
          <w:b/>
        </w:rPr>
        <w:t xml:space="preserve">AI Investment (Stanford HAI)</w:t>
      </w:r>
      <w:r>
        <w:t xml:space="preserve"> </w:t>
      </w:r>
      <w:r>
        <w:t xml:space="preserve">| Year | US (</w:t>
      </w:r>
      <m:oMath>
        <m:r>
          <m:t>B</m:t>
        </m:r>
        <m:r>
          <m:rPr>
            <m:sty m:val="p"/>
          </m:rPr>
          <m:t>)</m:t>
        </m:r>
        <m:r>
          <m:rPr>
            <m:sty m:val="p"/>
          </m:rPr>
          <m:t>|</m:t>
        </m:r>
        <m:r>
          <m:t>C</m:t>
        </m:r>
        <m:r>
          <m:t>h</m:t>
        </m:r>
        <m:r>
          <m:t>i</m:t>
        </m:r>
        <m:r>
          <m:t>n</m:t>
        </m:r>
        <m:r>
          <m:t>a</m:t>
        </m:r>
        <m:r>
          <m:rPr>
            <m:sty m:val="p"/>
          </m:rPr>
          <m:t>(</m:t>
        </m:r>
      </m:oMath>
      <w:r>
        <w:t xml:space="preserve">B) | US Multiple |</w:t>
      </w:r>
      <w:r>
        <w:t xml:space="preserve"> </w:t>
      </w:r>
      <w:r>
        <w:t xml:space="preserve">|——|———|————|————-|</w:t>
      </w:r>
      <w:r>
        <w:t xml:space="preserve"> </w:t>
      </w:r>
      <w:r>
        <w:t xml:space="preserve">| 2018 | ~$40 | ~$15 | 2.7x |</w:t>
      </w:r>
      <w:r>
        <w:t xml:space="preserve"> </w:t>
      </w:r>
      <w:r>
        <w:t xml:space="preserve">| 2024 | $109.1 | $9.3 |</w:t>
      </w:r>
      <w:r>
        <w:t xml:space="preserve"> </w:t>
      </w:r>
      <w:r>
        <w:rPr>
          <w:bCs/>
          <w:b/>
        </w:rPr>
        <w:t xml:space="preserve">11.7x</w:t>
      </w:r>
      <w:r>
        <w:t xml:space="preserve"> </w:t>
      </w:r>
      <w:r>
        <w:t xml:space="preserve">|</w:t>
      </w:r>
    </w:p>
    <w:p>
      <w:pPr>
        <w:pStyle w:val="BodyText"/>
      </w:pPr>
      <w:r>
        <w:rPr>
          <w:bCs/>
          <w:b/>
        </w:rPr>
        <w:t xml:space="preserve">Patent Applications (WIPO)</w:t>
      </w:r>
      <w:r>
        <w:t xml:space="preserve"> </w:t>
      </w:r>
      <w:r>
        <w:t xml:space="preserve">| Year | China | US |</w:t>
      </w:r>
      <w:r>
        <w:t xml:space="preserve"> </w:t>
      </w:r>
      <w:r>
        <w:t xml:space="preserve">|——|——-|—–|</w:t>
      </w:r>
      <w:r>
        <w:t xml:space="preserve"> </w:t>
      </w:r>
      <w:r>
        <w:t xml:space="preserve">| 2011 | ~526K | ~504K |</w:t>
      </w:r>
      <w:r>
        <w:t xml:space="preserve"> </w:t>
      </w:r>
      <w:r>
        <w:rPr>
          <w:bCs/>
          <w:b/>
        </w:rPr>
        <w:t xml:space="preserve">China surpasses US</w:t>
      </w:r>
      <w:r>
        <w:t xml:space="preserve"> </w:t>
      </w:r>
      <w:r>
        <w:t xml:space="preserve">|</w:t>
      </w:r>
      <w:r>
        <w:t xml:space="preserve"> </w:t>
      </w:r>
      <w:r>
        <w:t xml:space="preserve">| 2024 | ~1.8M | ~603K | China</w:t>
      </w:r>
      <w:r>
        <w:t xml:space="preserve"> </w:t>
      </w:r>
      <w:r>
        <w:rPr>
          <w:bCs/>
          <w:b/>
        </w:rPr>
        <w:t xml:space="preserve">3x</w:t>
      </w:r>
      <w:r>
        <w:t xml:space="preserve"> </w:t>
      </w:r>
      <w:r>
        <w:t xml:space="preserve">US |</w:t>
      </w:r>
    </w:p>
    <w:p>
      <w:pPr>
        <w:pStyle w:val="BodyText"/>
      </w:pPr>
      <w:r>
        <w:rPr>
          <w:bCs/>
          <w:b/>
        </w:rPr>
        <w:t xml:space="preserve">STEM PhDs</w:t>
      </w:r>
      <w:r>
        <w:t xml:space="preserve"> </w:t>
      </w:r>
      <w:r>
        <w:t xml:space="preserve">| Year | US | China |</w:t>
      </w:r>
      <w:r>
        <w:t xml:space="preserve"> </w:t>
      </w:r>
      <w:r>
        <w:t xml:space="preserve">|——|—–|——-|</w:t>
      </w:r>
      <w:r>
        <w:t xml:space="preserve"> </w:t>
      </w:r>
      <w:r>
        <w:t xml:space="preserve">| 2019 | ~33.8K | ~49.5K |</w:t>
      </w:r>
      <w:r>
        <w:t xml:space="preserve"> </w:t>
      </w:r>
      <w:r>
        <w:rPr>
          <w:bCs/>
          <w:b/>
        </w:rPr>
        <w:t xml:space="preserve">China surpasses US</w:t>
      </w:r>
      <w:r>
        <w:t xml:space="preserve"> </w:t>
      </w:r>
      <w:r>
        <w:t xml:space="preserve">|</w:t>
      </w:r>
      <w:r>
        <w:t xml:space="preserve"> </w:t>
      </w:r>
      <w:r>
        <w:t xml:space="preserve">| 2024 | ~38.9K | ~69.5K | China</w:t>
      </w:r>
      <w:r>
        <w:t xml:space="preserve"> </w:t>
      </w:r>
      <w:r>
        <w:rPr>
          <w:bCs/>
          <w:b/>
        </w:rPr>
        <w:t xml:space="preserve">1.8x</w:t>
      </w:r>
      <w:r>
        <w:t xml:space="preserve"> </w:t>
      </w:r>
      <w:r>
        <w:t xml:space="preserve">US |</w:t>
      </w:r>
    </w:p>
    <w:p>
      <w:r>
        <w:pict>
          <v:rect style="width:0;height:1.5pt" o:hralign="center" o:hrstd="t" o:hr="t"/>
        </w:pict>
      </w:r>
    </w:p>
    <w:bookmarkEnd w:id="252"/>
    <w:bookmarkEnd w:id="253"/>
    <w:bookmarkStart w:id="258" w:name="X7eb864fbaf32103dd3c6302bd97646616d30675"/>
    <w:p>
      <w:pPr>
        <w:pStyle w:val="Heading2"/>
      </w:pPr>
      <w:r>
        <w:t xml:space="preserve">Section 6: Theoretical Framework Expansion</w:t>
      </w:r>
    </w:p>
    <w:bookmarkStart w:id="254" w:name="arrighi-cycle-analysis"/>
    <w:p>
      <w:pPr>
        <w:pStyle w:val="Heading3"/>
      </w:pPr>
      <w:r>
        <w:t xml:space="preserve">Arrighi Cycle Analysis</w:t>
      </w:r>
    </w:p>
    <w:p>
      <w:pPr>
        <w:pStyle w:val="FirstParagraph"/>
      </w:pPr>
      <w:r>
        <w:t xml:space="preserve">Giovanni Arrighi’s</w:t>
      </w:r>
      <w:r>
        <w:t xml:space="preserve"> </w:t>
      </w:r>
      <w:r>
        <w:rPr>
          <w:iCs/>
          <w:i/>
        </w:rPr>
        <w:t xml:space="preserve">The Long Twentieth Century</w:t>
      </w:r>
      <w:r>
        <w:t xml:space="preserve"> </w:t>
      </w:r>
      <w:r>
        <w:t xml:space="preserve">(1994, Verso; 2nd ed. 2010) provides the definitive systemic cycles framework. American cycle phases:</w:t>
      </w:r>
      <w:r>
        <w:t xml:space="preserve"> </w:t>
      </w:r>
      <w:r>
        <w:rPr>
          <w:bCs/>
          <w:b/>
        </w:rPr>
        <w:t xml:space="preserve">Material Expansion (1945-1970s)</w:t>
      </w:r>
      <w:r>
        <w:t xml:space="preserve"> </w:t>
      </w:r>
      <w:r>
        <w:t xml:space="preserve">characterized by post-WWII productive supremacy and Bretton Woods;</w:t>
      </w:r>
      <w:r>
        <w:t xml:space="preserve"> </w:t>
      </w:r>
      <w:r>
        <w:rPr>
          <w:bCs/>
          <w:b/>
        </w:rPr>
        <w:t xml:space="preserve">Signal Crisis (1970s)</w:t>
      </w:r>
      <w:r>
        <w:t xml:space="preserve"> </w:t>
      </w:r>
      <w:r>
        <w:t xml:space="preserve">marked by Nixon Shock (August 15, 1971) and stagflation;</w:t>
      </w:r>
      <w:r>
        <w:t xml:space="preserve"> </w:t>
      </w:r>
      <w:r>
        <w:rPr>
          <w:bCs/>
          <w:b/>
        </w:rPr>
        <w:t xml:space="preserve">Financial Expansion (1970s-present)</w:t>
      </w:r>
      <w:r>
        <w:t xml:space="preserve"> </w:t>
      </w:r>
      <w:r>
        <w:t xml:space="preserve">as manufacturing competitiveness eroded.</w:t>
      </w:r>
    </w:p>
    <w:p>
      <w:pPr>
        <w:pStyle w:val="BodyText"/>
      </w:pPr>
      <w:r>
        <w:t xml:space="preserve">Key theoretical concept: Each cycle follows Marx’s M-C-M’ formula initially (material expansion), then shifts to M-M’ (financial expansion) as productive supremacy wanes. Per Robinson (2011,</w:t>
      </w:r>
      <w:r>
        <w:t xml:space="preserve"> </w:t>
      </w:r>
      <w:r>
        <w:rPr>
          <w:iCs/>
          <w:i/>
        </w:rPr>
        <w:t xml:space="preserve">New Political Economy</w:t>
      </w:r>
      <w:r>
        <w:t xml:space="preserve"> </w:t>
      </w:r>
      <w:r>
        <w:t xml:space="preserve">16(2):267-280):</w:t>
      </w:r>
      <w:r>
        <w:t xml:space="preserve"> </w:t>
      </w:r>
      <w:r>
        <w:t xml:space="preserve">“</w:t>
      </w:r>
      <w:r>
        <w:t xml:space="preserve">Having lost the actual basis for its economic prosperity, a nation turns to finance as the final economic field in which hegemony can be sustained.</w:t>
      </w:r>
      <w:r>
        <w:t xml:space="preserve">”</w:t>
      </w:r>
    </w:p>
    <w:p>
      <w:pPr>
        <w:pStyle w:val="BodyText"/>
      </w:pPr>
      <w:r>
        <w:rPr>
          <w:bCs/>
          <w:b/>
        </w:rPr>
        <w:t xml:space="preserve">British Cycle Comparison</w:t>
      </w:r>
      <w:r>
        <w:t xml:space="preserve">: Material Expansion 1780s-1870s; Signal Crisis 1873-1896 (</w:t>
      </w:r>
      <w:r>
        <w:t xml:space="preserve">“</w:t>
      </w:r>
      <w:r>
        <w:t xml:space="preserve">Long Depression</w:t>
      </w:r>
      <w:r>
        <w:t xml:space="preserve">”</w:t>
      </w:r>
      <w:r>
        <w:t xml:space="preserve">); Financial Expansion 1870s-1914 (</w:t>
      </w:r>
      <w:r>
        <w:t xml:space="preserve">“</w:t>
      </w:r>
      <w:r>
        <w:t xml:space="preserve">Belle Époque</w:t>
      </w:r>
      <w:r>
        <w:t xml:space="preserve">”</w:t>
      </w:r>
      <w:r>
        <w:t xml:space="preserve">); Terminal Crisis 1914-1945. British real wages declined after mid-1890s despite financial prosperity.</w:t>
      </w:r>
    </w:p>
    <w:p>
      <w:pPr>
        <w:pStyle w:val="BodyText"/>
      </w:pPr>
      <w:r>
        <w:rPr>
          <w:bCs/>
          <w:b/>
        </w:rPr>
        <w:t xml:space="preserve">Dutch Cycle Comparison</w:t>
      </w:r>
      <w:r>
        <w:t xml:space="preserve">: VOC-era material expansion (17th century); financial expansion (18th century—became</w:t>
      </w:r>
      <w:r>
        <w:t xml:space="preserve"> </w:t>
      </w:r>
      <w:r>
        <w:t xml:space="preserve">“</w:t>
      </w:r>
      <w:r>
        <w:t xml:space="preserve">bankers of Europe</w:t>
      </w:r>
      <w:r>
        <w:t xml:space="preserve">”</w:t>
      </w:r>
      <w:r>
        <w:t xml:space="preserve">); Wisselbank collapse 1780s (reserve ratio plunged from ~100% to &lt;25% during Fourth Anglo-Dutch War).</w:t>
      </w:r>
    </w:p>
    <w:bookmarkEnd w:id="254"/>
    <w:bookmarkStart w:id="255" w:name="tainter-complexity-analysis"/>
    <w:p>
      <w:pPr>
        <w:pStyle w:val="Heading3"/>
      </w:pPr>
      <w:r>
        <w:t xml:space="preserve">Tainter Complexity Analysis</w:t>
      </w:r>
    </w:p>
    <w:p>
      <w:pPr>
        <w:pStyle w:val="FirstParagraph"/>
      </w:pPr>
      <w:r>
        <w:t xml:space="preserve">Joseph Tainter’s</w:t>
      </w:r>
      <w:r>
        <w:t xml:space="preserve"> </w:t>
      </w:r>
      <w:r>
        <w:rPr>
          <w:iCs/>
          <w:i/>
        </w:rPr>
        <w:t xml:space="preserve">The Collapse of Complex Societies</w:t>
      </w:r>
      <w:r>
        <w:t xml:space="preserve"> </w:t>
      </w:r>
      <w:r>
        <w:t xml:space="preserve">(1988, Cambridge) argues societies face declining marginal returns on complexity investments. Key finding:</w:t>
      </w:r>
      <w:r>
        <w:t xml:space="preserve"> </w:t>
      </w:r>
      <w:r>
        <w:t xml:space="preserve">“</w:t>
      </w:r>
      <w:r>
        <w:t xml:space="preserve">After a certain point, increased investments in complexity fail to yield proportionately increasing returns.</w:t>
      </w:r>
      <w:r>
        <w:t xml:space="preserve">”</w:t>
      </w:r>
    </w:p>
    <w:p>
      <w:pPr>
        <w:pStyle w:val="BodyText"/>
      </w:pPr>
      <w:r>
        <w:rPr>
          <w:bCs/>
          <w:b/>
        </w:rPr>
        <w:t xml:space="preserve">Federal Register Pages</w:t>
      </w:r>
      <w:r>
        <w:t xml:space="preserve">: 1970:</w:t>
      </w:r>
      <w:r>
        <w:t xml:space="preserve"> </w:t>
      </w:r>
      <w:r>
        <w:rPr>
          <w:bCs/>
          <w:b/>
        </w:rPr>
        <w:t xml:space="preserve">20,036</w:t>
      </w:r>
      <w:r>
        <w:t xml:space="preserve">; 2000:</w:t>
      </w:r>
      <w:r>
        <w:t xml:space="preserve"> </w:t>
      </w:r>
      <w:r>
        <w:rPr>
          <w:bCs/>
          <w:b/>
        </w:rPr>
        <w:t xml:space="preserve">83,294</w:t>
      </w:r>
      <w:r>
        <w:t xml:space="preserve">; 2024:</w:t>
      </w:r>
      <w:r>
        <w:t xml:space="preserve"> </w:t>
      </w:r>
      <w:r>
        <w:rPr>
          <w:bCs/>
          <w:b/>
        </w:rPr>
        <w:t xml:space="preserve">106,109</w:t>
      </w:r>
      <w:r>
        <w:t xml:space="preserve"> </w:t>
      </w:r>
      <w:r>
        <w:t xml:space="preserve">(all-time record). Decadal trends: 1970s ~450,000 total; 2020s projected ~870,922 pages.</w:t>
      </w:r>
    </w:p>
    <w:p>
      <w:pPr>
        <w:pStyle w:val="BodyText"/>
      </w:pPr>
      <w:r>
        <w:rPr>
          <w:bCs/>
          <w:b/>
        </w:rPr>
        <w:t xml:space="preserve">Tax Code Complexity</w:t>
      </w:r>
      <w:r>
        <w:t xml:space="preserve">: 1955: 409,000 words; 2021:</w:t>
      </w:r>
      <w:r>
        <w:t xml:space="preserve"> </w:t>
      </w:r>
      <w:r>
        <w:rPr>
          <w:bCs/>
          <w:b/>
        </w:rPr>
        <w:t xml:space="preserve">4.3 million words</w:t>
      </w:r>
      <w:r>
        <w:t xml:space="preserve"> </w:t>
      </w:r>
      <w:r>
        <w:t xml:space="preserve">(~6x increase). Additional 7.7 million words of regulations. Compliance costs:</w:t>
      </w:r>
      <w:r>
        <w:t xml:space="preserve"> </w:t>
      </w:r>
      <w:r>
        <w:rPr>
          <w:bCs/>
          <w:b/>
        </w:rPr>
        <w:t xml:space="preserve">7.9 billion hours</w:t>
      </w:r>
      <w:r>
        <w:t xml:space="preserve"> </w:t>
      </w:r>
      <w:r>
        <w:t xml:space="preserve">(2024);</w:t>
      </w:r>
      <w:r>
        <w:t xml:space="preserve"> </w:t>
      </w:r>
      <w:r>
        <w:rPr>
          <w:bCs/>
          <w:b/>
        </w:rPr>
        <w:t xml:space="preserve">$367 billion+</w:t>
      </w:r>
      <w:r>
        <w:t xml:space="preserve"> </w:t>
      </w:r>
      <w:r>
        <w:t xml:space="preserve">annual burden.</w:t>
      </w:r>
    </w:p>
    <w:p>
      <w:pPr>
        <w:pStyle w:val="BodyText"/>
      </w:pPr>
      <w:r>
        <w:rPr>
          <w:bCs/>
          <w:b/>
        </w:rPr>
        <w:t xml:space="preserve">Healthcare Administrative Burden</w:t>
      </w:r>
      <w:r>
        <w:t xml:space="preserve">: U.S.</w:t>
      </w:r>
      <w:r>
        <w:t xml:space="preserve"> </w:t>
      </w:r>
      <w:r>
        <w:rPr>
          <w:bCs/>
          <w:b/>
        </w:rPr>
        <w:t xml:space="preserve">$1,078.44</w:t>
      </w:r>
      <w:r>
        <w:t xml:space="preserve"> </w:t>
      </w:r>
      <w:r>
        <w:t xml:space="preserve">per capita (2023)—approximately</w:t>
      </w:r>
      <w:r>
        <w:t xml:space="preserve"> </w:t>
      </w:r>
      <w:r>
        <w:rPr>
          <w:bCs/>
          <w:b/>
        </w:rPr>
        <w:t xml:space="preserve">5x peer countries</w:t>
      </w:r>
      <w:r>
        <w:t xml:space="preserve"> </w:t>
      </w:r>
      <w:r>
        <w:t xml:space="preserve">(~$245). Hospital administrative costs:</w:t>
      </w:r>
      <w:r>
        <w:t xml:space="preserve"> </w:t>
      </w:r>
      <w:r>
        <w:rPr>
          <w:bCs/>
          <w:b/>
        </w:rPr>
        <w:t xml:space="preserve">25.3%</w:t>
      </w:r>
      <w:r>
        <w:t xml:space="preserve"> </w:t>
      </w:r>
      <w:r>
        <w:t xml:space="preserve">of total spending (Canada 12%, Scotland 12%). Administrative costs represent</w:t>
      </w:r>
      <w:r>
        <w:t xml:space="preserve"> </w:t>
      </w:r>
      <w:r>
        <w:rPr>
          <w:bCs/>
          <w:b/>
        </w:rPr>
        <w:t xml:space="preserve">~30%</w:t>
      </w:r>
      <w:r>
        <w:t xml:space="preserve"> </w:t>
      </w:r>
      <w:r>
        <w:t xml:space="preserve">of excess U.S. health spending.</w:t>
      </w:r>
    </w:p>
    <w:bookmarkEnd w:id="255"/>
    <w:bookmarkStart w:id="256" w:name="northweingast-credible-commitment"/>
    <w:p>
      <w:pPr>
        <w:pStyle w:val="Heading3"/>
      </w:pPr>
      <w:r>
        <w:t xml:space="preserve">North/Weingast Credible Commitment</w:t>
      </w:r>
    </w:p>
    <w:p>
      <w:pPr>
        <w:pStyle w:val="FirstParagraph"/>
      </w:pPr>
      <w:r>
        <w:t xml:space="preserve">Douglas North and Barry Weingast’s</w:t>
      </w:r>
      <w:r>
        <w:t xml:space="preserve"> </w:t>
      </w:r>
      <w:r>
        <w:t xml:space="preserve">“</w:t>
      </w:r>
      <w:r>
        <w:t xml:space="preserve">Constitutions and Commitment</w:t>
      </w:r>
      <w:r>
        <w:t xml:space="preserve">”</w:t>
      </w:r>
      <w:r>
        <w:t xml:space="preserve"> </w:t>
      </w:r>
      <w:r>
        <w:t xml:space="preserve">(1989,</w:t>
      </w:r>
      <w:r>
        <w:t xml:space="preserve"> </w:t>
      </w:r>
      <w:r>
        <w:rPr>
          <w:iCs/>
          <w:i/>
        </w:rPr>
        <w:t xml:space="preserve">Journal of Economic History</w:t>
      </w:r>
      <w:r>
        <w:t xml:space="preserve"> </w:t>
      </w:r>
      <w:r>
        <w:t xml:space="preserve">49(4):803-832) argued 1688 Glorious Revolution created credible commitment to property rights by constraining Crown through Parliamentary control of finances. Key quote:</w:t>
      </w:r>
      <w:r>
        <w:t xml:space="preserve"> </w:t>
      </w:r>
      <w:r>
        <w:t xml:space="preserve">“</w:t>
      </w:r>
      <w:r>
        <w:t xml:space="preserve">By 1765 France was on the verge of bankruptcy while England was on the verge of the Industrial Revolution.</w:t>
      </w:r>
      <w:r>
        <w:t xml:space="preserve">”</w:t>
      </w:r>
    </w:p>
    <w:p>
      <w:pPr>
        <w:pStyle w:val="BodyText"/>
      </w:pPr>
      <w:r>
        <w:rPr>
          <w:bCs/>
          <w:b/>
        </w:rPr>
        <w:t xml:space="preserve">Bond Market as Credibility Test</w:t>
      </w:r>
      <w:r>
        <w:t xml:space="preserve">: 2011 debt ceiling crisis caused S&amp;P downgrade (August 5, 2011—first ever), S&amp;P 500 down 6.3%+. 2023 debt ceiling crisis: Fitch downgrade (August 1, 2023) to AA+.</w:t>
      </w:r>
    </w:p>
    <w:p>
      <w:pPr>
        <w:pStyle w:val="BodyText"/>
      </w:pPr>
      <w:r>
        <w:rPr>
          <w:bCs/>
          <w:b/>
        </w:rPr>
        <w:t xml:space="preserve">World Justice Project Rule of Law Index</w:t>
      </w:r>
      <w:r>
        <w:t xml:space="preserve">: U.S. score declined 5.7% since 2016. Constraints on Government Powers: down</w:t>
      </w:r>
      <w:r>
        <w:t xml:space="preserve"> </w:t>
      </w:r>
      <w:r>
        <w:rPr>
          <w:bCs/>
          <w:b/>
        </w:rPr>
        <w:t xml:space="preserve">17.6%</w:t>
      </w:r>
      <w:r>
        <w:t xml:space="preserve"> </w:t>
      </w:r>
      <w:r>
        <w:t xml:space="preserve">since 2016. Lawful Transition of Power: down 12.4% (U.S. ranks 43rd).</w:t>
      </w:r>
    </w:p>
    <w:bookmarkEnd w:id="256"/>
    <w:bookmarkStart w:id="257" w:name="kindleberger-lolr-analysis"/>
    <w:p>
      <w:pPr>
        <w:pStyle w:val="Heading3"/>
      </w:pPr>
      <w:r>
        <w:t xml:space="preserve">Kindleberger LOLR Analysis</w:t>
      </w:r>
    </w:p>
    <w:p>
      <w:pPr>
        <w:pStyle w:val="FirstParagraph"/>
      </w:pPr>
      <w:r>
        <w:t xml:space="preserve">Charles Kindleberger’s</w:t>
      </w:r>
      <w:r>
        <w:t xml:space="preserve"> </w:t>
      </w:r>
      <w:r>
        <w:rPr>
          <w:iCs/>
          <w:i/>
        </w:rPr>
        <w:t xml:space="preserve">The World in Depression, 1929-1939</w:t>
      </w:r>
      <w:r>
        <w:t xml:space="preserve"> </w:t>
      </w:r>
      <w:r>
        <w:t xml:space="preserve">(1973; 2nd ed. 1986) identified five hegemonic functions, critically including lender of last resort. Key thesis:</w:t>
      </w:r>
      <w:r>
        <w:t xml:space="preserve"> </w:t>
      </w:r>
      <w:r>
        <w:t xml:space="preserve">“</w:t>
      </w:r>
      <w:r>
        <w:t xml:space="preserve">The 1929 depression was so wide, so deep and so long because the international economic system was rendered unstable by British inability and United States unwillingness to assume responsibility for stabilizing it.</w:t>
      </w:r>
      <w:r>
        <w:t xml:space="preserve">”</w:t>
      </w:r>
    </w:p>
    <w:p>
      <w:pPr>
        <w:pStyle w:val="BodyText"/>
      </w:pPr>
      <w:r>
        <w:rPr>
          <w:bCs/>
          <w:b/>
        </w:rPr>
        <w:t xml:space="preserve">Fed Swap Lines</w:t>
      </w:r>
      <w:r>
        <w:t xml:space="preserve">: 2008 peak:</w:t>
      </w:r>
      <w:r>
        <w:t xml:space="preserve"> </w:t>
      </w:r>
      <w:r>
        <w:rPr>
          <w:bCs/>
          <w:b/>
        </w:rPr>
        <w:t xml:space="preserve">&gt;$580 billion</w:t>
      </w:r>
      <w:r>
        <w:t xml:space="preserve"> </w:t>
      </w:r>
      <w:r>
        <w:t xml:space="preserve">(~25% of Fed assets) to 14 central banks. 2020 peak:</w:t>
      </w:r>
      <w:r>
        <w:t xml:space="preserve"> </w:t>
      </w:r>
      <w:r>
        <w:rPr>
          <w:bCs/>
          <w:b/>
        </w:rPr>
        <w:t xml:space="preserve">$449-470 billion</w:t>
      </w:r>
      <w:r>
        <w:t xml:space="preserve"> </w:t>
      </w:r>
      <w:r>
        <w:t xml:space="preserve">(~80% to ECB and BOJ).</w:t>
      </w:r>
    </w:p>
    <w:p>
      <w:pPr>
        <w:pStyle w:val="BodyText"/>
      </w:pPr>
      <w:r>
        <w:rPr>
          <w:bCs/>
          <w:b/>
        </w:rPr>
        <w:t xml:space="preserve">Bank Term Funding Program 2023</w:t>
      </w:r>
      <w:r>
        <w:t xml:space="preserve">: Launched</w:t>
      </w:r>
      <w:r>
        <w:t xml:space="preserve"> </w:t>
      </w:r>
      <w:r>
        <w:rPr>
          <w:bCs/>
          <w:b/>
        </w:rPr>
        <w:t xml:space="preserve">March 12, 2023</w:t>
      </w:r>
      <w:r>
        <w:t xml:space="preserve"> </w:t>
      </w:r>
      <w:r>
        <w:t xml:space="preserve">post-SVB/Signature failures. Peak:</w:t>
      </w:r>
      <w:r>
        <w:t xml:space="preserve"> </w:t>
      </w:r>
      <w:r>
        <w:rPr>
          <w:bCs/>
          <w:b/>
        </w:rPr>
        <w:t xml:space="preserve">~$165 billion</w:t>
      </w:r>
      <w:r>
        <w:t xml:space="preserve">. Key innovation: collateral valued at</w:t>
      </w:r>
      <w:r>
        <w:t xml:space="preserve"> </w:t>
      </w:r>
      <w:r>
        <w:rPr>
          <w:bCs/>
          <w:b/>
        </w:rPr>
        <w:t xml:space="preserve">par</w:t>
      </w:r>
      <w:r>
        <w:t xml:space="preserve"> </w:t>
      </w:r>
      <w:r>
        <w:t xml:space="preserve">(not market value). Program closed March 11, 2024.</w:t>
      </w:r>
    </w:p>
    <w:p>
      <w:r>
        <w:pict>
          <v:rect style="width:0;height:1.5pt" o:hralign="center" o:hrstd="t" o:hr="t"/>
        </w:pict>
      </w:r>
    </w:p>
    <w:bookmarkEnd w:id="257"/>
    <w:bookmarkEnd w:id="258"/>
    <w:bookmarkStart w:id="262" w:name="X9906ba228d3dfab16ef7d74a071e0ec2bce5607"/>
    <w:p>
      <w:pPr>
        <w:pStyle w:val="Heading2"/>
      </w:pPr>
      <w:r>
        <w:t xml:space="preserve">Section 7: Cross-Empire Comparative Synthesis</w:t>
      </w:r>
    </w:p>
    <w:bookmarkStart w:id="259" w:name="american-vs-british-decline"/>
    <w:p>
      <w:pPr>
        <w:pStyle w:val="Heading3"/>
      </w:pPr>
      <w:r>
        <w:t xml:space="preserve">American vs British Decline</w:t>
      </w:r>
    </w:p>
    <w:p>
      <w:pPr>
        <w:pStyle w:val="FirstParagraph"/>
      </w:pPr>
      <w:r>
        <w:rPr>
          <w:bCs/>
          <w:b/>
        </w:rPr>
        <w:t xml:space="preserve">Timeline Comparison</w:t>
      </w:r>
      <w:r>
        <w:t xml:space="preserve">: British peak 1815-1914 (post-Napoleonic to WWI); American peak 1945-2008 (post-WWII to GFC). British GDP growth peaked at 2.06% annually (1851-1870), slumped to ~1% (1873-1899). By 1870, U.S. industrial labor productivity had 50% advantage over Britain; by WWI, U.S. manufacturing workers were twice as productive (</w:t>
      </w:r>
      <w:r>
        <w:rPr>
          <w:bCs/>
          <w:b/>
        </w:rPr>
        <w:t xml:space="preserve">Crafts</w:t>
      </w:r>
      <w:r>
        <w:t xml:space="preserve">, 1998,</w:t>
      </w:r>
      <w:r>
        <w:t xml:space="preserve"> </w:t>
      </w:r>
      <w:r>
        <w:rPr>
          <w:iCs/>
          <w:i/>
        </w:rPr>
        <w:t xml:space="preserve">Journal of Economic Perspectives</w:t>
      </w:r>
      <w:r>
        <w:t xml:space="preserve"> </w:t>
      </w:r>
      <w:r>
        <w:t xml:space="preserve">12(2):193-210).</w:t>
      </w:r>
    </w:p>
    <w:p>
      <w:pPr>
        <w:pStyle w:val="BodyText"/>
      </w:pPr>
      <w:r>
        <w:rPr>
          <w:bCs/>
          <w:b/>
        </w:rPr>
        <w:t xml:space="preserve">Cascade Pattern Comparison</w:t>
      </w:r>
      <w:r>
        <w:t xml:space="preserve">: British sequence Education→Technology→Finance (Britain achieved compulsory elementary education only with Forster Act 1870, 60+ years after Prussia; U.S. steel output exceeded Britain by 1880). American hypothesized sequence: Finance→Social→Manufacturing→Soft Power.</w:t>
      </w:r>
      <w:r>
        <w:t xml:space="preserve"> </w:t>
      </w:r>
      <w:r>
        <w:rPr>
          <w:bCs/>
          <w:b/>
        </w:rPr>
        <w:t xml:space="preserve">Rana Foroohar’s</w:t>
      </w:r>
      <w:r>
        <w:t xml:space="preserve"> </w:t>
      </w:r>
      <w:r>
        <w:rPr>
          <w:iCs/>
          <w:i/>
        </w:rPr>
        <w:t xml:space="preserve">Makers and Takers</w:t>
      </w:r>
      <w:r>
        <w:t xml:space="preserve"> </w:t>
      </w:r>
      <w:r>
        <w:t xml:space="preserve">(2016) documents transition from productive economy to balance-sheet engineering.</w:t>
      </w:r>
    </w:p>
    <w:p>
      <w:pPr>
        <w:pStyle w:val="BodyText"/>
      </w:pPr>
      <w:r>
        <w:rPr>
          <w:bCs/>
          <w:b/>
        </w:rPr>
        <w:t xml:space="preserve">Successor Positioning</w:t>
      </w:r>
      <w:r>
        <w:t xml:space="preserve">: By 1894, U.S. industrial output exceeded Britain’s; by 1906, U.S. GDP exceeded British Empire including colonies.</w:t>
      </w:r>
      <w:r>
        <w:t xml:space="preserve"> </w:t>
      </w:r>
      <w:r>
        <w:rPr>
          <w:bCs/>
          <w:b/>
        </w:rPr>
        <w:t xml:space="preserve">Eichengreen &amp; Flandreau</w:t>
      </w:r>
      <w:r>
        <w:t xml:space="preserve"> </w:t>
      </w:r>
      <w:r>
        <w:t xml:space="preserve">(2009,</w:t>
      </w:r>
      <w:r>
        <w:t xml:space="preserve"> </w:t>
      </w:r>
      <w:r>
        <w:rPr>
          <w:iCs/>
          <w:i/>
        </w:rPr>
        <w:t xml:space="preserve">European Review of Economic History</w:t>
      </w:r>
      <w:r>
        <w:t xml:space="preserve"> </w:t>
      </w:r>
      <w:r>
        <w:t xml:space="preserve">13(3):377-411) found dollar overtook sterling in the</w:t>
      </w:r>
      <w:r>
        <w:t xml:space="preserve"> </w:t>
      </w:r>
      <w:r>
        <w:rPr>
          <w:bCs/>
          <w:b/>
        </w:rPr>
        <w:t xml:space="preserve">mid-1920s</w:t>
      </w:r>
      <w:r>
        <w:t xml:space="preserve">, not the 1940s as previously assumed. China-U.S. comparison: PPP GDP China surpassed U.S. ~2014-2017 (IMF); military capacity gap ~59-60% (CEPR 2024); renminbi only ~3% of global reserves.</w:t>
      </w:r>
    </w:p>
    <w:bookmarkEnd w:id="259"/>
    <w:bookmarkStart w:id="260" w:name="american-vs-dutch-decline"/>
    <w:p>
      <w:pPr>
        <w:pStyle w:val="Heading3"/>
      </w:pPr>
      <w:r>
        <w:t xml:space="preserve">American vs Dutch Decline</w:t>
      </w:r>
    </w:p>
    <w:p>
      <w:pPr>
        <w:pStyle w:val="FirstParagraph"/>
      </w:pPr>
      <w:r>
        <w:rPr>
          <w:bCs/>
          <w:b/>
        </w:rPr>
        <w:t xml:space="preserve">Wisselbank Collapse Parallels to 2008 GFC</w:t>
      </w:r>
      <w:r>
        <w:t xml:space="preserve">: By 1783,</w:t>
      </w:r>
      <w:r>
        <w:t xml:space="preserve"> </w:t>
      </w:r>
      <w:r>
        <w:rPr>
          <w:bCs/>
          <w:b/>
        </w:rPr>
        <w:t xml:space="preserve">71%</w:t>
      </w:r>
      <w:r>
        <w:t xml:space="preserve"> </w:t>
      </w:r>
      <w:r>
        <w:t xml:space="preserve">of Wisselbank assets were in credit (loans to VOC). Reserve ratio plunged from ~100% to &lt;25%. Both involved over-extension of credit to favored entities; both revealed hidden insolvency in systemically important institutions; both marked turning points in financial hegemony.</w:t>
      </w:r>
    </w:p>
    <w:p>
      <w:pPr>
        <w:pStyle w:val="BodyText"/>
      </w:pPr>
      <w:r>
        <w:rPr>
          <w:bCs/>
          <w:b/>
        </w:rPr>
        <w:t xml:space="preserve">VOC Decline vs Corporate Financialization</w:t>
      </w:r>
      <w:r>
        <w:t xml:space="preserve">: VOC</w:t>
      </w:r>
      <w:r>
        <w:t xml:space="preserve"> </w:t>
      </w:r>
      <w:r>
        <w:t xml:space="preserve">“</w:t>
      </w:r>
      <w:r>
        <w:t xml:space="preserve">profitless growth</w:t>
      </w:r>
      <w:r>
        <w:t xml:space="preserve">”</w:t>
      </w:r>
      <w:r>
        <w:t xml:space="preserve"> </w:t>
      </w:r>
      <w:r>
        <w:t xml:space="preserve">after 1670s; failed to reinvest dividends. American parallel: S&amp;P 500 firms using ~41% of potentially investable income for shareholder payouts (</w:t>
      </w:r>
      <w:r>
        <w:rPr>
          <w:bCs/>
          <w:b/>
        </w:rPr>
        <w:t xml:space="preserve">Fried &amp; Wang</w:t>
      </w:r>
      <w:r>
        <w:t xml:space="preserve">, 2019).</w:t>
      </w:r>
      <w:r>
        <w:t xml:space="preserve"> </w:t>
      </w:r>
      <w:r>
        <w:rPr>
          <w:bCs/>
          <w:b/>
        </w:rPr>
        <w:t xml:space="preserve">William Lazonick</w:t>
      </w:r>
      <w:r>
        <w:t xml:space="preserve"> </w:t>
      </w:r>
      <w:r>
        <w:t xml:space="preserve">(2014, HBR): S&amp;P 500 firms paid &gt;90% of net income to shareholders.</w:t>
      </w:r>
    </w:p>
    <w:bookmarkEnd w:id="260"/>
    <w:bookmarkStart w:id="261" w:name="thesis-validation"/>
    <w:p>
      <w:pPr>
        <w:pStyle w:val="Heading3"/>
      </w:pPr>
      <w:r>
        <w:t xml:space="preserve">1694 Thesis Validation</w:t>
      </w:r>
    </w:p>
    <w:p>
      <w:pPr>
        <w:pStyle w:val="FirstParagraph"/>
      </w:pPr>
      <w:r>
        <w:rPr>
          <w:bCs/>
          <w:b/>
        </w:rPr>
        <w:t xml:space="preserve">North &amp; Weingast</w:t>
      </w:r>
      <w:r>
        <w:t xml:space="preserve"> </w:t>
      </w:r>
      <w:r>
        <w:t xml:space="preserve">(1989) demonstrated 1688 constitutional revolution PRECEDED 1694 Bank of England. Bank of England explicitly modeled on Bank of Amsterdam (Wisselbank)—</w:t>
      </w:r>
      <w:r>
        <w:rPr>
          <w:bCs/>
          <w:b/>
        </w:rPr>
        <w:t xml:space="preserve">BIS Working Paper 902</w:t>
      </w:r>
      <w:r>
        <w:t xml:space="preserve"> </w:t>
      </w:r>
      <w:r>
        <w:t xml:space="preserve">(2020) confirms:</w:t>
      </w:r>
      <w:r>
        <w:t xml:space="preserve"> </w:t>
      </w:r>
      <w:r>
        <w:t xml:space="preserve">“</w:t>
      </w:r>
      <w:r>
        <w:t xml:space="preserve">Was modelled on the Bank of Amsterdam.</w:t>
      </w:r>
      <w:r>
        <w:t xml:space="preserve">”</w:t>
      </w:r>
      <w:r>
        <w:t xml:space="preserve"> </w:t>
      </w:r>
      <w:r>
        <w:t xml:space="preserve">Financial innovation requires institutional foundation: credible commitment, independent judiciary, capital account openness, rule of law.</w:t>
      </w:r>
    </w:p>
    <w:p>
      <w:pPr>
        <w:pStyle w:val="BodyText"/>
      </w:pPr>
      <w:r>
        <w:rPr>
          <w:bCs/>
          <w:b/>
        </w:rPr>
        <w:t xml:space="preserve">China’s Institutional Gaps</w:t>
      </w:r>
      <w:r>
        <w:t xml:space="preserve">: AIIB (111 members, ~26% Chinese voting share); digital yuan (pilot 2020, major overhaul January 2026). Fundamental gaps per</w:t>
      </w:r>
      <w:r>
        <w:t xml:space="preserve"> </w:t>
      </w:r>
      <w:r>
        <w:rPr>
          <w:bCs/>
          <w:b/>
        </w:rPr>
        <w:t xml:space="preserve">Bruegel</w:t>
      </w:r>
      <w:r>
        <w:t xml:space="preserve"> </w:t>
      </w:r>
      <w:r>
        <w:t xml:space="preserve">(2023): not fully convertible, legal framework uncertain (</w:t>
      </w:r>
      <w:r>
        <w:t xml:space="preserve">“</w:t>
      </w:r>
      <w:r>
        <w:t xml:space="preserve">investors continue to lack confidence about rule of law</w:t>
      </w:r>
      <w:r>
        <w:t xml:space="preserve">”</w:t>
      </w:r>
      <w:r>
        <w:t xml:space="preserve">), limited offshore liquidity. Party control incompatible with institutional prerequisites for financial hegemony.</w:t>
      </w:r>
    </w:p>
    <w:p>
      <w:r>
        <w:pict>
          <v:rect style="width:0;height:1.5pt" o:hralign="center" o:hrstd="t" o:hr="t"/>
        </w:pict>
      </w:r>
    </w:p>
    <w:bookmarkEnd w:id="261"/>
    <w:bookmarkEnd w:id="262"/>
    <w:bookmarkStart w:id="263" w:name="key-scholarly-sources-summary"/>
    <w:p>
      <w:pPr>
        <w:pStyle w:val="Heading2"/>
      </w:pPr>
      <w:r>
        <w:t xml:space="preserve">Key Scholarly Sources Summary</w:t>
      </w:r>
    </w:p>
    <w:tbl>
      <w:tblPr>
        <w:tblStyle w:val="Table"/>
        <w:tblW w:type="pct" w:w="5000"/>
        <w:tblLook w:firstRow="1" w:lastRow="0" w:firstColumn="0" w:lastColumn="0" w:noHBand="0" w:noVBand="0" w:val="0020"/>
        <w:jc w:val="start"/>
      </w:tblPr>
      <w:tblGrid>
        <w:gridCol w:w="1498"/>
        <w:gridCol w:w="2354"/>
        <w:gridCol w:w="1284"/>
        <w:gridCol w:w="2782"/>
      </w:tblGrid>
      <w:tr>
        <w:trPr>
          <w:tblHeader w:val="true"/>
        </w:trPr>
        <w:tc>
          <w:tcPr/>
          <w:p>
            <w:pPr>
              <w:pStyle w:val="Compact"/>
              <w:jc w:val="left"/>
            </w:pPr>
            <w:r>
              <w:t xml:space="preserve">Topic</w:t>
            </w:r>
          </w:p>
        </w:tc>
        <w:tc>
          <w:tcPr/>
          <w:p>
            <w:pPr>
              <w:pStyle w:val="Compact"/>
              <w:jc w:val="left"/>
            </w:pPr>
            <w:r>
              <w:t xml:space="preserve">Author(s)</w:t>
            </w:r>
          </w:p>
        </w:tc>
        <w:tc>
          <w:tcPr/>
          <w:p>
            <w:pPr>
              <w:pStyle w:val="Compact"/>
              <w:jc w:val="left"/>
            </w:pPr>
            <w:r>
              <w:t xml:space="preserve">Year</w:t>
            </w:r>
          </w:p>
        </w:tc>
        <w:tc>
          <w:tcPr/>
          <w:p>
            <w:pPr>
              <w:pStyle w:val="Compact"/>
              <w:jc w:val="left"/>
            </w:pPr>
            <w:r>
              <w:t xml:space="preserve">Publication</w:t>
            </w:r>
          </w:p>
        </w:tc>
      </w:tr>
      <w:tr>
        <w:tc>
          <w:tcPr/>
          <w:p>
            <w:pPr>
              <w:pStyle w:val="Compact"/>
              <w:jc w:val="left"/>
            </w:pPr>
            <w:r>
              <w:t xml:space="preserve">Congressional polarization</w:t>
            </w:r>
          </w:p>
        </w:tc>
        <w:tc>
          <w:tcPr/>
          <w:p>
            <w:pPr>
              <w:pStyle w:val="Compact"/>
              <w:jc w:val="left"/>
            </w:pPr>
            <w:r>
              <w:t xml:space="preserve">McCarty, Poole, Rosenthal</w:t>
            </w:r>
          </w:p>
        </w:tc>
        <w:tc>
          <w:tcPr/>
          <w:p>
            <w:pPr>
              <w:pStyle w:val="Compact"/>
              <w:jc w:val="left"/>
            </w:pPr>
            <w:r>
              <w:t xml:space="preserve">2006, 2016</w:t>
            </w:r>
          </w:p>
        </w:tc>
        <w:tc>
          <w:tcPr/>
          <w:p>
            <w:pPr>
              <w:pStyle w:val="Compact"/>
              <w:jc w:val="left"/>
            </w:pPr>
            <w:r>
              <w:rPr>
                <w:iCs/>
                <w:i/>
              </w:rPr>
              <w:t xml:space="preserve">Polarized America</w:t>
            </w:r>
            <w:r>
              <w:t xml:space="preserve"> </w:t>
            </w:r>
            <w:r>
              <w:t xml:space="preserve">(MIT Press)</w:t>
            </w:r>
          </w:p>
        </w:tc>
      </w:tr>
      <w:tr>
        <w:tc>
          <w:tcPr/>
          <w:p>
            <w:pPr>
              <w:pStyle w:val="Compact"/>
              <w:jc w:val="left"/>
            </w:pPr>
            <w:r>
              <w:t xml:space="preserve">Credible commitment</w:t>
            </w:r>
          </w:p>
        </w:tc>
        <w:tc>
          <w:tcPr/>
          <w:p>
            <w:pPr>
              <w:pStyle w:val="Compact"/>
              <w:jc w:val="left"/>
            </w:pPr>
            <w:r>
              <w:t xml:space="preserve">North &amp; Weingast</w:t>
            </w:r>
          </w:p>
        </w:tc>
        <w:tc>
          <w:tcPr/>
          <w:p>
            <w:pPr>
              <w:pStyle w:val="Compact"/>
              <w:jc w:val="left"/>
            </w:pPr>
            <w:r>
              <w:t xml:space="preserve">1989</w:t>
            </w:r>
          </w:p>
        </w:tc>
        <w:tc>
          <w:tcPr/>
          <w:p>
            <w:pPr>
              <w:pStyle w:val="Compact"/>
              <w:jc w:val="left"/>
            </w:pPr>
            <w:r>
              <w:rPr>
                <w:iCs/>
                <w:i/>
              </w:rPr>
              <w:t xml:space="preserve">Journal of Economic History</w:t>
            </w:r>
          </w:p>
        </w:tc>
      </w:tr>
      <w:tr>
        <w:tc>
          <w:tcPr/>
          <w:p>
            <w:pPr>
              <w:pStyle w:val="Compact"/>
              <w:jc w:val="left"/>
            </w:pPr>
            <w:r>
              <w:t xml:space="preserve">Hegemonic cycles</w:t>
            </w:r>
          </w:p>
        </w:tc>
        <w:tc>
          <w:tcPr/>
          <w:p>
            <w:pPr>
              <w:pStyle w:val="Compact"/>
              <w:jc w:val="left"/>
            </w:pPr>
            <w:r>
              <w:t xml:space="preserve">Giovanni Arrighi</w:t>
            </w:r>
          </w:p>
        </w:tc>
        <w:tc>
          <w:tcPr/>
          <w:p>
            <w:pPr>
              <w:pStyle w:val="Compact"/>
              <w:jc w:val="left"/>
            </w:pPr>
            <w:r>
              <w:t xml:space="preserve">1994, 2007</w:t>
            </w:r>
          </w:p>
        </w:tc>
        <w:tc>
          <w:tcPr/>
          <w:p>
            <w:pPr>
              <w:pStyle w:val="Compact"/>
              <w:jc w:val="left"/>
            </w:pPr>
            <w:r>
              <w:rPr>
                <w:iCs/>
                <w:i/>
              </w:rPr>
              <w:t xml:space="preserve">Long Twentieth Century</w:t>
            </w:r>
            <w:r>
              <w:t xml:space="preserve">;</w:t>
            </w:r>
            <w:r>
              <w:t xml:space="preserve"> </w:t>
            </w:r>
            <w:r>
              <w:rPr>
                <w:iCs/>
                <w:i/>
              </w:rPr>
              <w:t xml:space="preserve">Adam Smith in Beijing</w:t>
            </w:r>
          </w:p>
        </w:tc>
      </w:tr>
      <w:tr>
        <w:tc>
          <w:tcPr/>
          <w:p>
            <w:pPr>
              <w:pStyle w:val="Compact"/>
              <w:jc w:val="left"/>
            </w:pPr>
            <w:r>
              <w:t xml:space="preserve">Complexity collapse</w:t>
            </w:r>
          </w:p>
        </w:tc>
        <w:tc>
          <w:tcPr/>
          <w:p>
            <w:pPr>
              <w:pStyle w:val="Compact"/>
              <w:jc w:val="left"/>
            </w:pPr>
            <w:r>
              <w:t xml:space="preserve">Joseph Tainter</w:t>
            </w:r>
          </w:p>
        </w:tc>
        <w:tc>
          <w:tcPr/>
          <w:p>
            <w:pPr>
              <w:pStyle w:val="Compact"/>
              <w:jc w:val="left"/>
            </w:pPr>
            <w:r>
              <w:t xml:space="preserve">1988</w:t>
            </w:r>
          </w:p>
        </w:tc>
        <w:tc>
          <w:tcPr/>
          <w:p>
            <w:pPr>
              <w:pStyle w:val="Compact"/>
              <w:jc w:val="left"/>
            </w:pPr>
            <w:r>
              <w:rPr>
                <w:iCs/>
                <w:i/>
              </w:rPr>
              <w:t xml:space="preserve">Collapse of Complex Societies</w:t>
            </w:r>
          </w:p>
        </w:tc>
      </w:tr>
      <w:tr>
        <w:tc>
          <w:tcPr/>
          <w:p>
            <w:pPr>
              <w:pStyle w:val="Compact"/>
              <w:jc w:val="left"/>
            </w:pPr>
            <w:r>
              <w:t xml:space="preserve">Dollar-sterling transition</w:t>
            </w:r>
          </w:p>
        </w:tc>
        <w:tc>
          <w:tcPr/>
          <w:p>
            <w:pPr>
              <w:pStyle w:val="Compact"/>
              <w:jc w:val="left"/>
            </w:pPr>
            <w:r>
              <w:t xml:space="preserve">Eichengreen &amp; Flandreau</w:t>
            </w:r>
          </w:p>
        </w:tc>
        <w:tc>
          <w:tcPr/>
          <w:p>
            <w:pPr>
              <w:pStyle w:val="Compact"/>
              <w:jc w:val="left"/>
            </w:pPr>
            <w:r>
              <w:t xml:space="preserve">2009</w:t>
            </w:r>
          </w:p>
        </w:tc>
        <w:tc>
          <w:tcPr/>
          <w:p>
            <w:pPr>
              <w:pStyle w:val="Compact"/>
              <w:jc w:val="left"/>
            </w:pPr>
            <w:r>
              <w:rPr>
                <w:iCs/>
                <w:i/>
              </w:rPr>
              <w:t xml:space="preserve">European Review of Economic History</w:t>
            </w:r>
          </w:p>
        </w:tc>
      </w:tr>
      <w:tr>
        <w:tc>
          <w:tcPr/>
          <w:p>
            <w:pPr>
              <w:pStyle w:val="Compact"/>
              <w:jc w:val="left"/>
            </w:pPr>
            <w:r>
              <w:t xml:space="preserve">Trade war impact</w:t>
            </w:r>
          </w:p>
        </w:tc>
        <w:tc>
          <w:tcPr/>
          <w:p>
            <w:pPr>
              <w:pStyle w:val="Compact"/>
              <w:jc w:val="left"/>
            </w:pPr>
            <w:r>
              <w:t xml:space="preserve">Amiti, Redding, Weinstein</w:t>
            </w:r>
          </w:p>
        </w:tc>
        <w:tc>
          <w:tcPr/>
          <w:p>
            <w:pPr>
              <w:pStyle w:val="Compact"/>
              <w:jc w:val="left"/>
            </w:pPr>
            <w:r>
              <w:t xml:space="preserve">2019</w:t>
            </w:r>
          </w:p>
        </w:tc>
        <w:tc>
          <w:tcPr/>
          <w:p>
            <w:pPr>
              <w:pStyle w:val="Compact"/>
              <w:jc w:val="left"/>
            </w:pPr>
            <w:r>
              <w:rPr>
                <w:iCs/>
                <w:i/>
              </w:rPr>
              <w:t xml:space="preserve">Journal of Economic Perspectives</w:t>
            </w:r>
          </w:p>
        </w:tc>
      </w:tr>
      <w:tr>
        <w:tc>
          <w:tcPr/>
          <w:p>
            <w:pPr>
              <w:pStyle w:val="Compact"/>
              <w:jc w:val="left"/>
            </w:pPr>
            <w:r>
              <w:t xml:space="preserve">Corporate financialization</w:t>
            </w:r>
          </w:p>
        </w:tc>
        <w:tc>
          <w:tcPr/>
          <w:p>
            <w:pPr>
              <w:pStyle w:val="Compact"/>
              <w:jc w:val="left"/>
            </w:pPr>
            <w:r>
              <w:t xml:space="preserve">Lazonick</w:t>
            </w:r>
          </w:p>
        </w:tc>
        <w:tc>
          <w:tcPr/>
          <w:p>
            <w:pPr>
              <w:pStyle w:val="Compact"/>
              <w:jc w:val="left"/>
            </w:pPr>
            <w:r>
              <w:t xml:space="preserve">2014</w:t>
            </w:r>
          </w:p>
        </w:tc>
        <w:tc>
          <w:tcPr/>
          <w:p>
            <w:pPr>
              <w:pStyle w:val="Compact"/>
              <w:jc w:val="left"/>
            </w:pPr>
            <w:r>
              <w:rPr>
                <w:iCs/>
                <w:i/>
              </w:rPr>
              <w:t xml:space="preserve">Harvard Business Review</w:t>
            </w:r>
          </w:p>
        </w:tc>
      </w:tr>
      <w:tr>
        <w:tc>
          <w:tcPr/>
          <w:p>
            <w:pPr>
              <w:pStyle w:val="Compact"/>
              <w:jc w:val="left"/>
            </w:pPr>
            <w:r>
              <w:t xml:space="preserve">British decline</w:t>
            </w:r>
          </w:p>
        </w:tc>
        <w:tc>
          <w:tcPr/>
          <w:p>
            <w:pPr>
              <w:pStyle w:val="Compact"/>
              <w:jc w:val="left"/>
            </w:pPr>
            <w:r>
              <w:t xml:space="preserve">Crafts</w:t>
            </w:r>
          </w:p>
        </w:tc>
        <w:tc>
          <w:tcPr/>
          <w:p>
            <w:pPr>
              <w:pStyle w:val="Compact"/>
              <w:jc w:val="left"/>
            </w:pPr>
            <w:r>
              <w:t xml:space="preserve">1998</w:t>
            </w:r>
          </w:p>
        </w:tc>
        <w:tc>
          <w:tcPr/>
          <w:p>
            <w:pPr>
              <w:pStyle w:val="Compact"/>
              <w:jc w:val="left"/>
            </w:pPr>
            <w:r>
              <w:rPr>
                <w:iCs/>
                <w:i/>
              </w:rPr>
              <w:t xml:space="preserve">Journal of Economic Perspectives</w:t>
            </w:r>
          </w:p>
        </w:tc>
      </w:tr>
      <w:tr>
        <w:tc>
          <w:tcPr/>
          <w:p>
            <w:pPr>
              <w:pStyle w:val="Compact"/>
              <w:jc w:val="left"/>
            </w:pPr>
            <w:r>
              <w:t xml:space="preserve">Empire patterns</w:t>
            </w:r>
          </w:p>
        </w:tc>
        <w:tc>
          <w:tcPr/>
          <w:p>
            <w:pPr>
              <w:pStyle w:val="Compact"/>
              <w:jc w:val="left"/>
            </w:pPr>
            <w:r>
              <w:t xml:space="preserve">Julian Go</w:t>
            </w:r>
          </w:p>
        </w:tc>
        <w:tc>
          <w:tcPr/>
          <w:p>
            <w:pPr>
              <w:pStyle w:val="Compact"/>
              <w:jc w:val="left"/>
            </w:pPr>
            <w:r>
              <w:t xml:space="preserve">2011</w:t>
            </w:r>
          </w:p>
        </w:tc>
        <w:tc>
          <w:tcPr/>
          <w:p>
            <w:pPr>
              <w:pStyle w:val="Compact"/>
              <w:jc w:val="left"/>
            </w:pPr>
            <w:r>
              <w:rPr>
                <w:iCs/>
                <w:i/>
              </w:rPr>
              <w:t xml:space="preserve">Patterns of Empire</w:t>
            </w:r>
            <w:r>
              <w:t xml:space="preserve"> </w:t>
            </w:r>
            <w:r>
              <w:t xml:space="preserve">(Cambridge)</w:t>
            </w:r>
          </w:p>
        </w:tc>
      </w:tr>
      <w:tr>
        <w:tc>
          <w:tcPr/>
          <w:p>
            <w:pPr>
              <w:pStyle w:val="Compact"/>
              <w:jc w:val="left"/>
            </w:pPr>
            <w:r>
              <w:t xml:space="preserve">Wisselbank</w:t>
            </w:r>
          </w:p>
        </w:tc>
        <w:tc>
          <w:tcPr/>
          <w:p>
            <w:pPr>
              <w:pStyle w:val="Compact"/>
              <w:jc w:val="left"/>
            </w:pPr>
            <w:r>
              <w:t xml:space="preserve">Quinn &amp; Roberds</w:t>
            </w:r>
          </w:p>
        </w:tc>
        <w:tc>
          <w:tcPr/>
          <w:p>
            <w:pPr>
              <w:pStyle w:val="Compact"/>
              <w:jc w:val="left"/>
            </w:pPr>
            <w:r>
              <w:t xml:space="preserve">2016, 2019</w:t>
            </w:r>
          </w:p>
        </w:tc>
        <w:tc>
          <w:tcPr/>
          <w:p>
            <w:pPr>
              <w:pStyle w:val="Compact"/>
              <w:jc w:val="left"/>
            </w:pPr>
            <w:r>
              <w:t xml:space="preserve">Fed publications</w:t>
            </w:r>
          </w:p>
        </w:tc>
      </w:tr>
    </w:tbl>
    <w:p>
      <w:r>
        <w:pict>
          <v:rect style="width:0;height:1.5pt" o:hralign="center" o:hrstd="t" o:hr="t"/>
        </w:pict>
      </w:r>
    </w:p>
    <w:bookmarkEnd w:id="263"/>
    <w:bookmarkStart w:id="264" w:name="confidence-levels"/>
    <w:p>
      <w:pPr>
        <w:pStyle w:val="Heading2"/>
      </w:pPr>
      <w:r>
        <w:t xml:space="preserve">Confidence Levels</w:t>
      </w:r>
    </w:p>
    <w:p>
      <w:pPr>
        <w:pStyle w:val="FirstParagraph"/>
      </w:pPr>
      <w:r>
        <w:rPr>
          <w:bCs/>
          <w:b/>
        </w:rPr>
        <w:t xml:space="preserve">HIGH confidence</w:t>
      </w:r>
      <w:r>
        <w:t xml:space="preserve"> </w:t>
      </w:r>
      <w:r>
        <w:t xml:space="preserve">(official sources, peer-reviewed): All court decisions, Federal Register data, Fed balance sheet figures, TARP/CHIPS disbursements, election/vote counts, death counts, DW-NOMINATE scores, COFER data.</w:t>
      </w:r>
    </w:p>
    <w:p>
      <w:pPr>
        <w:pStyle w:val="BodyText"/>
      </w:pPr>
      <w:r>
        <w:rPr>
          <w:bCs/>
          <w:b/>
        </w:rPr>
        <w:t xml:space="preserve">MEDIUM-HIGH confidence</w:t>
      </w:r>
      <w:r>
        <w:t xml:space="preserve">: Democracy indices (methodology consistent but perception-based), corporate financial data (company reports), military spending (SIPRI methodology).</w:t>
      </w:r>
    </w:p>
    <w:p>
      <w:pPr>
        <w:pStyle w:val="BodyText"/>
      </w:pPr>
      <w:r>
        <w:rPr>
          <w:bCs/>
          <w:b/>
        </w:rPr>
        <w:t xml:space="preserve">MEDIUM confidence</w:t>
      </w:r>
      <w:r>
        <w:t xml:space="preserve">: China semiconductor progress (estimates vary), AI job displacement (attribution difficult), DOGE savings claims (disputed).</w:t>
      </w:r>
    </w:p>
    <w:p>
      <w:pPr>
        <w:pStyle w:val="BodyText"/>
      </w:pPr>
      <w:r>
        <w:rPr>
          <w:bCs/>
          <w:b/>
        </w:rPr>
        <w:t xml:space="preserve">Contested in literature</w:t>
      </w:r>
      <w:r>
        <w:t xml:space="preserve">: Short-termism magnitude (Lazonick vs. Fried/Wang debate); North/Weingast critiques (Clark 1996, Murphy 2009); precise dating of hegemonic transitions.</w:t>
      </w:r>
    </w:p>
    <w:p>
      <w:pPr>
        <w:pStyle w:val="BodyText"/>
      </w:pPr>
      <w:r>
        <w:t xml:space="preserve">This research compendium provides the quantitative foundation and scholarly apparatus for expanding Session 4 to 35K+ words with bulletproof PhD-level depth across all domains and periods.</w:t>
      </w:r>
    </w:p>
    <w:bookmarkEnd w:id="264"/>
    <w:bookmarkEnd w:id="2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2026-01-17T11:33:02Z</dcterms:created>
  <dcterms:modified xsi:type="dcterms:W3CDTF">2026-01-17T11:33:02Z</dcterms:modified>
</cp:coreProperties>
</file>

<file path=docProps/custom.xml><?xml version="1.0" encoding="utf-8"?>
<Properties xmlns="http://schemas.openxmlformats.org/officeDocument/2006/custom-properties" xmlns:vt="http://schemas.openxmlformats.org/officeDocument/2006/docPropsVTypes"/>
</file>