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Arial" w:cs="Arial" w:eastAsia="Arial" w:hAnsi="Arial"/>
          <w:b/>
          <w:bCs/>
          <w:sz w:val="32"/>
          <w:szCs w:val="32"/>
        </w:rPr>
        <w:t xml:space="preserve">British Empire Capability Tier Part 1: Social, Educational, and Cultural Foundations of Imperial Power (1688-1945)</w:t>
      </w:r>
    </w:p>
    <w:p>
      <w:pPr>
        <w:spacing w:after="200"/>
        <w:jc w:val="center"/>
      </w:pPr>
      <w:r>
        <w:rPr>
          <w:rFonts w:ascii="Arial" w:cs="Arial" w:eastAsia="Arial" w:hAnsi="Arial"/>
          <w:sz w:val="24"/>
          <w:szCs w:val="24"/>
        </w:rPr>
        <w:t xml:space="preserve">INTEGRATED ANALYSIS WITH SUPPLEMENTARY RESEARCH</w:t>
      </w:r>
    </w:p>
    <w:p>
      <w:pPr>
        <w:spacing w:after="200"/>
        <w:jc w:val="center"/>
      </w:pPr>
      <w:r>
        <w:rPr>
          <w:rFonts w:ascii="Arial" w:cs="Arial" w:eastAsia="Arial" w:hAnsi="Arial"/>
          <w:sz w:val="24"/>
          <w:szCs w:val="24"/>
        </w:rPr>
        <w:t xml:space="preserve">Infonomics Project | CAS Framework Analysis | January 2026</w:t>
      </w:r>
    </w:p>
    <w:p>
      <w:pPr>
        <w:spacing w:after="200"/>
        <w:jc w:val="center"/>
      </w:pPr>
      <w:r>
        <w:rPr>
          <w:rFonts w:ascii="Arial" w:cs="Arial" w:eastAsia="Arial" w:hAnsi="Arial"/>
          <w:sz w:val="24"/>
          <w:szCs w:val="24"/>
        </w:rPr>
        <w:t xml:space="preserve">Session 2 Complete | Publication-Ready</w:t>
      </w:r>
    </w:p>
    <w:p>
      <w:r>
        <w:br w:type="page"/>
      </w:r>
    </w:p>
    <w:p>
      <w:pPr>
        <w:pStyle w:val="Heading1"/>
        <w:spacing w:before="400" w:after="200"/>
      </w:pPr>
      <w:r>
        <w:rPr>
          <w:rFonts w:ascii="Arial" w:cs="Arial" w:eastAsia="Arial" w:hAnsi="Arial"/>
          <w:b/>
          <w:bCs/>
          <w:sz w:val="32"/>
          <w:szCs w:val="32"/>
        </w:rPr>
        <w:t xml:space="preserve">Executive Summary</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British Empire's capability foundations rested on a paradoxical combination of remarkable demographic transformation, innovative but class-stratified education, and cultural values that simultaneously celebrated commerce and denigrated industry.</w:t>
      </w:r>
      <w:r>
        <w:rPr>
          <w:rFonts w:ascii="Arial" w:cs="Arial" w:eastAsia="Arial" w:hAnsi="Arial"/>
          <w:sz w:val="24"/>
          <w:szCs w:val="24"/>
        </w:rPr>
        <w:t xml:space="preserve"> Between 1688 and 1945, Britain underwent the most dramatic social transformation in human history—becoming the world's first majority-urban society, achieving near-universal literacy, and pioneering modern welfare systems—yet this success contained seeds of relative decline.</w:t>
      </w:r>
    </w:p>
    <w:p>
      <w:pPr>
        <w:spacing w:after="200"/>
        <w:jc w:val="left"/>
      </w:pPr>
      <w:r>
        <w:rPr>
          <w:rFonts w:ascii="Arial" w:cs="Arial" w:eastAsia="Arial" w:hAnsi="Arial"/>
          <w:sz w:val="24"/>
          <w:szCs w:val="24"/>
        </w:rPr>
        <w:t xml:space="preserve">This analysis covers </w:t>
      </w:r>
      <w:r>
        <w:rPr>
          <w:rFonts w:ascii="Arial" w:cs="Arial" w:eastAsia="Arial" w:hAnsi="Arial"/>
          <w:b/>
          <w:bCs/>
          <w:sz w:val="24"/>
          <w:szCs w:val="24"/>
        </w:rPr>
        <w:t xml:space="preserve">nine domain-phase combinations</w:t>
      </w:r>
      <w:r>
        <w:rPr>
          <w:rFonts w:ascii="Arial" w:cs="Arial" w:eastAsia="Arial" w:hAnsi="Arial"/>
          <w:sz w:val="24"/>
          <w:szCs w:val="24"/>
        </w:rPr>
        <w:t xml:space="preserve"> across Social/Demographic, Educational/Knowledge, and Cultural/Ideological domains through Rise (1688-1763), Peak (1763-1914), and Decline (1914-1945) phases.</w:t>
      </w:r>
    </w:p>
    <w:p>
      <w:pPr>
        <w:pStyle w:val="Heading2"/>
        <w:spacing w:before="300" w:after="150"/>
      </w:pPr>
      <w:r>
        <w:rPr>
          <w:rFonts w:ascii="Arial" w:cs="Arial" w:eastAsia="Arial" w:hAnsi="Arial"/>
          <w:b/>
          <w:bCs/>
          <w:sz w:val="28"/>
          <w:szCs w:val="28"/>
        </w:rPr>
        <w:t xml:space="preserve">Key Findings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Social/Demographic Domain:</w:t>
      </w:r>
      <w:r>
        <w:rPr>
          <w:rFonts w:ascii="Arial" w:cs="Arial" w:eastAsia="Arial" w:hAnsi="Arial"/>
          <w:sz w:val="24"/>
          <w:szCs w:val="24"/>
        </w:rPr>
        <w:t xml:space="preserve"> Britain achieved unprecedented demographic transformation—population grew from ~5.5 million (1688) to ~47 million (1945) while urbanization increased from 17% to 80%. The slave trade and plantation economy represented both moral catastrophe and significant capital contributor. Eric Williams's thesis, refined by subsequent scholarship (Inikori, Heblich et al.), demonstrates slavery wealth contributed ~3.5% to national income—equivalent to roughly a decade of GDP growth—with geographically concentrated effects in Liverpool, Bristol, and Lancashire.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Educational/Knowledge Domain:</w:t>
      </w:r>
      <w:r>
        <w:rPr>
          <w:rFonts w:ascii="Arial" w:cs="Arial" w:eastAsia="Arial" w:hAnsi="Arial"/>
          <w:sz w:val="24"/>
          <w:szCs w:val="24"/>
        </w:rPr>
        <w:t xml:space="preserve"> Britain achieved near-universal literacy by 1900 (97%) but suffered persistent technical education deficits relative to Germany. The gap was quantitatively devastating: Germany produced 3,000 engineering graduates annually by 1913 versus Britain's 350 in all STEM fields—an 8.5:1 ratio. Germany possessed ~150,000+ technical personnel versus Britain's far fewer. Colonial education under Macaulay's framework left India with ~6% literacy by 1911, prioritizing elite intermediaries over mass human capital development.</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Cultural/Ideological Domain:</w:t>
      </w:r>
      <w:r>
        <w:rPr>
          <w:rFonts w:ascii="Arial" w:cs="Arial" w:eastAsia="Arial" w:hAnsi="Arial"/>
          <w:sz w:val="24"/>
          <w:szCs w:val="24"/>
        </w:rPr>
        <w:t xml:space="preserve"> Protestant work ethic and Nonconformist entrepreneurship drove early industrialization, but Victorian culture increasingly valorized rural gentility over industrial production (Wiener thesis). The 'gentlemanly capitalism' of City finance and landed interest shaped imperial policy more than manufacturing interests (Cain &amp; Hopkins).</w:t>
      </w:r>
    </w:p>
    <w:p>
      <w:pPr>
        <w:pStyle w:val="Heading2"/>
        <w:spacing w:before="300" w:after="150"/>
      </w:pPr>
      <w:r>
        <w:rPr>
          <w:rFonts w:ascii="Arial" w:cs="Arial" w:eastAsia="Arial" w:hAnsi="Arial"/>
          <w:b/>
          <w:bCs/>
          <w:sz w:val="28"/>
          <w:szCs w:val="28"/>
        </w:rPr>
        <w:t xml:space="preserve">Preliminary Scoring Matrix (1-5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Domain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Rise (1688-1763)</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Peak (1763-1914)</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Decline (1914-1945)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Social/Demographic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Educational/Knowledge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Cultural/Ideological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w:t>
            </w:r>
          </w:p>
        </w:tc>
      </w:tr>
    </w:tbl>
    <w:p>
      <w:pPr>
        <w:spacing w:after="200"/>
        <w:jc w:val="left"/>
      </w:pPr>
      <w:r>
        <w:rPr>
          <w:rFonts w:ascii="Arial" w:cs="Arial" w:eastAsia="Arial" w:hAnsi="Arial"/>
          <w:sz w:val="24"/>
          <w:szCs w:val="24"/>
        </w:rPr>
        <w:t xml:space="preserve"/>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Aggregate Capability Tier Part 1 Score: 3.7/5.0</w:t>
      </w:r>
      <w:r>
        <w:rPr>
          <w:rFonts w:ascii="Arial" w:cs="Arial" w:eastAsia="Arial" w:hAnsi="Arial"/>
          <w:sz w:val="24"/>
          <w:szCs w:val="24"/>
        </w:rPr>
        <w:t xml:space="preserve"> (CONFIDENCE: MODERATE-HIGH after supplementary research)</w:t>
      </w:r>
    </w:p>
    <w:p>
      <w:r>
        <w:br w:type="page"/>
      </w:r>
    </w:p>
    <w:p>
      <w:pPr>
        <w:pStyle w:val="Heading1"/>
        <w:spacing w:before="400" w:after="200"/>
      </w:pPr>
      <w:r>
        <w:rPr>
          <w:rFonts w:ascii="Arial" w:cs="Arial" w:eastAsia="Arial" w:hAnsi="Arial"/>
          <w:b/>
          <w:bCs/>
          <w:sz w:val="32"/>
          <w:szCs w:val="32"/>
        </w:rPr>
        <w:t xml:space="preserve">Domain 4: Social/Demographic Analysis</w:t>
      </w:r>
    </w:p>
    <w:p>
      <w:pPr>
        <w:pStyle w:val="Heading2"/>
        <w:spacing w:before="300" w:after="150"/>
      </w:pPr>
      <w:r>
        <w:rPr>
          <w:rFonts w:ascii="Arial" w:cs="Arial" w:eastAsia="Arial" w:hAnsi="Arial"/>
          <w:b/>
          <w:bCs/>
          <w:sz w:val="28"/>
          <w:szCs w:val="28"/>
        </w:rPr>
        <w:t xml:space="preserve">Rise Phase (1688-1763): Foundations of Demographic Transformation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Population and structure.</w:t>
      </w:r>
      <w:r>
        <w:rPr>
          <w:rFonts w:ascii="Arial" w:cs="Arial" w:eastAsia="Arial" w:hAnsi="Arial"/>
          <w:sz w:val="24"/>
          <w:szCs w:val="24"/>
        </w:rPr>
        <w:t xml:space="preserve"> At the Glorious Revolution, England's population stood at approximately 4.9-5.2 million, reaching ~5.7 million by 1763. Scotland added another ~1.2 million. Growth was modest but positive, averaging 0.3-0.5% annually. The population remained predominantly rural, with 17% urbanization in 1700 rising to 21% by 1750. London, at ~575,000 inhabitants, contained 10-11% of England's population and functioned as a massive demographic 'sink,' requiring 8,000+ net migrants annually to sustain its population against high urban mortality.</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Class structure reflected hierarchical stability.</w:t>
      </w:r>
      <w:r>
        <w:rPr>
          <w:rFonts w:ascii="Arial" w:cs="Arial" w:eastAsia="Arial" w:hAnsi="Arial"/>
          <w:sz w:val="24"/>
          <w:szCs w:val="24"/>
        </w:rPr>
        <w:t xml:space="preserve"> Gregory King's 1688 social taxonomy divided society into 26 gradations from 'Temporal Lords' through 'Freeholders' to 'Vagrants.' David Cannadine identifies this as the 'hierarchical' model of class—a seamless gradation where everyone had a proper place marked by minuscule increments. Approximately 400 noble families and 15,000-20,000 gentry families controlled political power through property qualifications.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Public health remained brutal by modern standards.</w:t>
      </w:r>
      <w:r>
        <w:rPr>
          <w:rFonts w:ascii="Arial" w:cs="Arial" w:eastAsia="Arial" w:hAnsi="Arial"/>
          <w:sz w:val="24"/>
          <w:szCs w:val="24"/>
        </w:rPr>
        <w:t xml:space="preserve"> Life expectancy at birth was 35-40 years (~1700), with London infant mortality reaching 300-400 deaths per 1,000 live births. Plague had disappeared after the 1670s, but smallpox remained endemic. The Old Poor Law (rooted in 1601 Elizabethan legislation) operated at parish level, with expenditures reaching approximately 1% of GDP by 1748-50.</w:t>
      </w:r>
    </w:p>
    <w:p>
      <w:pPr>
        <w:pStyle w:val="Heading3"/>
        <w:spacing w:before="240" w:after="120"/>
      </w:pPr>
      <w:r>
        <w:rPr>
          <w:rFonts w:ascii="Arial" w:cs="Arial" w:eastAsia="Arial" w:hAnsi="Arial"/>
          <w:b/>
          <w:bCs/>
          <w:sz w:val="24"/>
          <w:szCs w:val="24"/>
        </w:rPr>
        <w:t xml:space="preserve">Slavery and Capital Formation: The Williams Thesis [INTEGRATED]</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Britain emerged as the dominant power in the transatlantic slave trade.</w:t>
      </w:r>
      <w:r>
        <w:rPr>
          <w:rFonts w:ascii="Arial" w:cs="Arial" w:eastAsia="Arial" w:hAnsi="Arial"/>
          <w:sz w:val="24"/>
          <w:szCs w:val="24"/>
        </w:rPr>
        <w:t xml:space="preserve"> Between 1663 and 1807, British ships made over 12,000 slaving voyages, transporting more than 3.4 million Africans. In 1791-1800 alone, approximately 1,340 British voyages landed nearly 400,000 enslaved people. This brutal commerce generated enormous wealth for port cities like Liverpool and Bristol.</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Eric Williams's Capitalism and Slavery (1944) advanced three interconnected arguments:</w:t>
      </w:r>
      <w:r>
        <w:rPr>
          <w:rFonts w:ascii="Arial" w:cs="Arial" w:eastAsia="Arial" w:hAnsi="Arial"/>
          <w:sz w:val="24"/>
          <w:szCs w:val="24"/>
        </w:rPr>
        <w:t xml:space="preserve"> (1) profits from the slave trade and plantation slavery provided capital that financed the Industrial Revolution; (2) mature industrial capitalism subsequently destroyed the slave system; and (3) British abolition was driven by economic self-interest rather than humanitarian motives alone.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Quantitative evidence on slavery profits remains contested.</w:t>
      </w:r>
      <w:r>
        <w:rPr>
          <w:rFonts w:ascii="Arial" w:cs="Arial" w:eastAsia="Arial" w:hAnsi="Arial"/>
          <w:sz w:val="24"/>
          <w:szCs w:val="24"/>
        </w:rPr>
        <w:t xml:space="preserve"> Stanley Engerman (1972) estimated slave trade profits at ~0.5% of GDP. Barbara Solow (1993) estimated slaveholding profits at ~5% of GDP. David Richardson (1998) calculated slave trade profits as less than 1% of domestic investment (1770). Klas Rönnbäck (2018) estimated the triangular trade total at ~5% of British GDP, rising to ~11% when including dependent British industries.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most rigorous recent evidence comes from Heblich, Redding, and Voth (2022).</w:t>
      </w:r>
      <w:r>
        <w:rPr>
          <w:rFonts w:ascii="Arial" w:cs="Arial" w:eastAsia="Arial" w:hAnsi="Arial"/>
          <w:sz w:val="24"/>
          <w:szCs w:val="24"/>
        </w:rPr>
        <w:t xml:space="preserve"> Using geographically disaggregated data from the Legacies of British Slavery database (25,000+ slaveholders who received £20M compensation in 1833), they found: places with highest slavery wealth saw total income increases of more than 40% relative to counterfactual; capitalists' income rose by more than 100% in high slavery-wealth areas; aggregate national income effect was ~3.5%—equivalent to roughly a decade of GDP growth.</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Drescher counter-thesis challenged Williams.</w:t>
      </w:r>
      <w:r>
        <w:rPr>
          <w:rFonts w:ascii="Arial" w:cs="Arial" w:eastAsia="Arial" w:hAnsi="Arial"/>
          <w:sz w:val="24"/>
          <w:szCs w:val="24"/>
        </w:rPr>
        <w:t xml:space="preserve"> Seymour Drescher's Econocide (1977) argued that British abolition of the slave trade in 1807 occurred when slavery was 'at the height of its potential,' not in decline. British public mobilization against the slave trade forced Parliament to commit what Drescher termed 'econocide'—deliberate economic self-harm for moral reasons.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Joseph Inikori's extension (2002) shifted analysis from profits to market expansion.</w:t>
      </w:r>
      <w:r>
        <w:rPr>
          <w:rFonts w:ascii="Arial" w:cs="Arial" w:eastAsia="Arial" w:hAnsi="Arial"/>
          <w:sz w:val="24"/>
          <w:szCs w:val="24"/>
        </w:rPr>
        <w:t xml:space="preserve"> Over 80% of American export commodities were produced by enslaved Africans during the Industrial Revolution take-off. The contribution of Africans was not merely profits but the expansion of markets that stimulated innovation and industrial development.</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Current scholarly consensus:</w:t>
      </w:r>
      <w:r>
        <w:rPr>
          <w:rFonts w:ascii="Arial" w:cs="Arial" w:eastAsia="Arial" w:hAnsi="Arial"/>
          <w:sz w:val="24"/>
          <w:szCs w:val="24"/>
        </w:rPr>
        <w:t xml:space="preserve"> Slavery wealth was significant for some regions and sectors (Liverpool, Bristol, cotton textiles, banking) but was not the sole or primary driver of industrialization at the national level. The 3.5% national income effect (Heblich et al.) represents roughly a decade of growth—significant but not determinative. Abolition was driven by multiple factors including genuine humanitarian mobilization (Drescher), slave rebellions (Haitian Revolution 1792-1804, Jamaica Christmas Rebellion 1831), and shifting economic interests.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Score: 3.5/5.0.</w:t>
      </w:r>
      <w:r>
        <w:rPr>
          <w:rFonts w:ascii="Arial" w:cs="Arial" w:eastAsia="Arial" w:hAnsi="Arial"/>
          <w:sz w:val="24"/>
          <w:szCs w:val="24"/>
        </w:rPr>
        <w:t xml:space="preserve"> Demographic foundations adequate but unremarkable; class stability provided governance foundation; public health poor but improving; slave trade represented moral catastrophe but significant economic contributor, with geographically concentrated effects now quantified.</w:t>
      </w:r>
    </w:p>
    <w:p>
      <w:pPr>
        <w:pStyle w:val="Heading2"/>
        <w:spacing w:before="300" w:after="150"/>
      </w:pPr>
      <w:r>
        <w:rPr>
          <w:rFonts w:ascii="Arial" w:cs="Arial" w:eastAsia="Arial" w:hAnsi="Arial"/>
          <w:b/>
          <w:bCs/>
          <w:sz w:val="28"/>
          <w:szCs w:val="28"/>
        </w:rPr>
        <w:t xml:space="preserve">Peak Phase (1763-1914): World's First Modern Society</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Population explosion accompanied industrialization.</w:t>
      </w:r>
      <w:r>
        <w:rPr>
          <w:rFonts w:ascii="Arial" w:cs="Arial" w:eastAsia="Arial" w:hAnsi="Arial"/>
          <w:sz w:val="24"/>
          <w:szCs w:val="24"/>
        </w:rPr>
        <w:t xml:space="preserve"> England and Wales grew from 8.9 million (1801) to 32.5 million (1901)—a 265% increase in one century. The United Kingdom reached 38 million by 1901 and 42 million by 1914. This was 'unprecedented growth' in human history, driven by declining mortality and sustained fertility.</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Britain became the world's first majority-urban society.</w:t>
      </w:r>
      <w:r>
        <w:rPr>
          <w:rFonts w:ascii="Arial" w:cs="Arial" w:eastAsia="Arial" w:hAnsi="Arial"/>
          <w:sz w:val="24"/>
          <w:szCs w:val="24"/>
        </w:rPr>
        <w:t xml:space="preserve"> The transformation was revolutionary: 1801 saw 20% urban (towns of 10,000+); by 1851, 50% were urban—the first society where the majority lived in towns; by 1891, 72% urban; and by 1901, 75% urban. Industrial cities exploded: Manchester grew from 8,500 (1700) to 311,000 (1851); Liverpool from 5,000 (1700) to 376,000 (1851); London reached 2.3 million by 1851 and 6.5-6.9 million by 1900.</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E.P. Thompson's 'making' of the working class occurred in this period (1780-1832).</w:t>
      </w:r>
      <w:r>
        <w:rPr>
          <w:rFonts w:ascii="Arial" w:cs="Arial" w:eastAsia="Arial" w:hAnsi="Arial"/>
          <w:sz w:val="24"/>
          <w:szCs w:val="24"/>
        </w:rPr>
        <w:t xml:space="preserve"> His central argument: 'The working class took part in its own making' through shared experiences that generated consciousness of common interests against opposing classes. Thompson emphasized agency—rescuing workers from 'the enormous condescension of posterity'—and traced consciousness through Jacobin societies, Luddism, Chartism, and Methodism.</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Public health improved dramatically but unevenly.</w:t>
      </w:r>
      <w:r>
        <w:rPr>
          <w:rFonts w:ascii="Arial" w:cs="Arial" w:eastAsia="Arial" w:hAnsi="Arial"/>
          <w:sz w:val="24"/>
          <w:szCs w:val="24"/>
        </w:rPr>
        <w:t xml:space="preserve"> Life expectancy stagnated at ~40 years through the 1870s due to urbanization's mortality penalty, then rose to ~50 years by 1900. Infant mortality remained high (140-160 per 1,000 mid-century) until sustained decline began around 1900. Edwin Chadwick's 1842 Report on the Sanitary Condition of the Labouring Population catalyzed reform.</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Poor Law transformed radically in 1834.</w:t>
      </w:r>
      <w:r>
        <w:rPr>
          <w:rFonts w:ascii="Arial" w:cs="Arial" w:eastAsia="Arial" w:hAnsi="Arial"/>
          <w:sz w:val="24"/>
          <w:szCs w:val="24"/>
        </w:rPr>
        <w:t xml:space="preserve"> The New Poor Law introduced centralized Poor Law Unions, the 'less eligibility' principle (workhouse conditions deliberately worse than outside), and the 'workhouse test' for the able-bodied. Relief expenditures had peaked at 2.7% of GDP in 1818-20 but fell sharply thereafter.</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Factory Acts progressively regulated working conditions:</w:t>
      </w:r>
      <w:r>
        <w:rPr>
          <w:rFonts w:ascii="Arial" w:cs="Arial" w:eastAsia="Arial" w:hAnsi="Arial"/>
          <w:sz w:val="24"/>
          <w:szCs w:val="24"/>
        </w:rPr>
        <w:t xml:space="preserve"> 1833 Factory Act (no children under 9; first Factory Inspectorate); 1844 Factory Act (dangerous machinery fenced); 1847 Ten Hours Act (maximum 10-hour day for women and ages 13-18); 1867 Factory Act (extended regulation beyond textiles). Trade unions emerged from illegality to legal recognition (Trade Union Act 1871), with membership growing to ~2 million by 1900.</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Abolition represented moral transformation.</w:t>
      </w:r>
      <w:r>
        <w:rPr>
          <w:rFonts w:ascii="Arial" w:cs="Arial" w:eastAsia="Arial" w:hAnsi="Arial"/>
          <w:sz w:val="24"/>
          <w:szCs w:val="24"/>
        </w:rPr>
        <w:t xml:space="preserve"> The 1807 Slave Trade Act abolished British participation in the Atlantic slave trade. The 1833 Slavery Abolition Act freed approximately 800,000 enslaved people throughout the Empire, with £20 million compensation paid to slave owners (40% of government spending, ~5% of GDP that year). The compensation scale demonstrates how deeply slavery was integrated into British property law and finance.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Migration reshaped global demography.</w:t>
      </w:r>
      <w:r>
        <w:rPr>
          <w:rFonts w:ascii="Arial" w:cs="Arial" w:eastAsia="Arial" w:hAnsi="Arial"/>
          <w:sz w:val="24"/>
          <w:szCs w:val="24"/>
        </w:rPr>
        <w:t xml:space="preserve"> Between 1815 and 1914, 22.6 million people emigrated from the British Isles—12+ million to the United States, ~2 million to Canada, ~1.5 million to Australia. Emigration rates reached 5-6 per 1,000 in England/Wales and 18.7 per 1,000 in Scotland (1900-1910).</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Score: 4.5/5.0.</w:t>
      </w:r>
      <w:r>
        <w:rPr>
          <w:rFonts w:ascii="Arial" w:cs="Arial" w:eastAsia="Arial" w:hAnsi="Arial"/>
          <w:sz w:val="24"/>
          <w:szCs w:val="24"/>
        </w:rPr>
        <w:t xml:space="preserve"> Unprecedented demographic achievement; first modern urban-industrial society; working-class formation as political force; significant public health and labor reforms; abolition as moral milestone; massive emigration as both strength (empire-building) and weakness (human capital export).</w:t>
      </w:r>
    </w:p>
    <w:p>
      <w:pPr>
        <w:pStyle w:val="Heading2"/>
        <w:spacing w:before="300" w:after="150"/>
      </w:pPr>
      <w:r>
        <w:rPr>
          <w:rFonts w:ascii="Arial" w:cs="Arial" w:eastAsia="Arial" w:hAnsi="Arial"/>
          <w:b/>
          <w:bCs/>
          <w:sz w:val="28"/>
          <w:szCs w:val="28"/>
        </w:rPr>
        <w:t xml:space="preserve">Decline Phase (1914-1945): War, Welfare, and Democratic Transformation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Population growth slowed dramatically.</w:t>
      </w:r>
      <w:r>
        <w:rPr>
          <w:rFonts w:ascii="Arial" w:cs="Arial" w:eastAsia="Arial" w:hAnsi="Arial"/>
          <w:sz w:val="24"/>
          <w:szCs w:val="24"/>
        </w:rPr>
        <w:t xml:space="preserve"> The UK reached approximately 47-48 million by 1945, but growth was constrained by WWI losses and 1930s fertility decline. The post-WWI baby boom peaked at TFR 3.08 in 1920, then fell below replacement level for the first time in British history during the 1930s.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Class structure was disrupted by total war.</w:t>
      </w:r>
      <w:r>
        <w:rPr>
          <w:rFonts w:ascii="Arial" w:cs="Arial" w:eastAsia="Arial" w:hAnsi="Arial"/>
          <w:sz w:val="24"/>
          <w:szCs w:val="24"/>
        </w:rPr>
        <w:t xml:space="preserve"> Both world wars undermined traditional hierarchies through mass conscription, 'war socialism,' and expanded state intervention. The Labour Party emerged as a major political force, forming governments in 1924 and 1929-31. Union membership rose dramatically to 13 million by the 1920s.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welfare state emerged.</w:t>
      </w:r>
      <w:r>
        <w:rPr>
          <w:rFonts w:ascii="Arial" w:cs="Arial" w:eastAsia="Arial" w:hAnsi="Arial"/>
          <w:sz w:val="24"/>
          <w:szCs w:val="24"/>
        </w:rPr>
        <w:t xml:space="preserve"> Key developments included the 1911 National Insurance Act (unemployment and health insurance), the 1942 Beveridge Report (identifying 'Five Giant Evils'), and the 1945-48 Labour reforms (NHS, National Assistance Act repealing Poor Law).</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Women's suffrage was achieved.</w:t>
      </w:r>
      <w:r>
        <w:rPr>
          <w:rFonts w:ascii="Arial" w:cs="Arial" w:eastAsia="Arial" w:hAnsi="Arial"/>
          <w:sz w:val="24"/>
          <w:szCs w:val="24"/>
        </w:rPr>
        <w:t xml:space="preserve"> The 1918 Representation of the People Act enfranchised women over 30 with property qualifications (~8.4 million women). The 1928 Equal Franchise Act granted all women over 21 the vote on equal terms with men.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Score: 4.0/5.0.</w:t>
      </w:r>
      <w:r>
        <w:rPr>
          <w:rFonts w:ascii="Arial" w:cs="Arial" w:eastAsia="Arial" w:hAnsi="Arial"/>
          <w:sz w:val="24"/>
          <w:szCs w:val="24"/>
        </w:rPr>
        <w:t xml:space="preserve"> Successful navigation of total war; democratic consolidation (universal suffrage); welfare state foundations; gender transformation (though incomplete); but population stagnation and war losses represented significant costs.</w:t>
      </w:r>
    </w:p>
    <w:p>
      <w:r>
        <w:br w:type="page"/>
      </w:r>
    </w:p>
    <w:p>
      <w:pPr>
        <w:pStyle w:val="Heading1"/>
        <w:spacing w:before="400" w:after="200"/>
      </w:pPr>
      <w:r>
        <w:rPr>
          <w:rFonts w:ascii="Arial" w:cs="Arial" w:eastAsia="Arial" w:hAnsi="Arial"/>
          <w:b/>
          <w:bCs/>
          <w:sz w:val="32"/>
          <w:szCs w:val="32"/>
        </w:rPr>
        <w:t xml:space="preserve">Domain 5: Educational/Knowledge Analysis</w:t>
      </w:r>
    </w:p>
    <w:p>
      <w:pPr>
        <w:pStyle w:val="Heading2"/>
        <w:spacing w:before="300" w:after="150"/>
      </w:pPr>
      <w:r>
        <w:rPr>
          <w:rFonts w:ascii="Arial" w:cs="Arial" w:eastAsia="Arial" w:hAnsi="Arial"/>
          <w:b/>
          <w:bCs/>
          <w:sz w:val="28"/>
          <w:szCs w:val="28"/>
        </w:rPr>
        <w:t xml:space="preserve">Rise Phase (1688-1763): Ancient Privileges and Scottish Innovation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Oxford and Cambridge stagnated.</w:t>
      </w:r>
      <w:r>
        <w:rPr>
          <w:rFonts w:ascii="Arial" w:cs="Arial" w:eastAsia="Arial" w:hAnsi="Arial"/>
          <w:sz w:val="24"/>
          <w:szCs w:val="24"/>
        </w:rPr>
        <w:t xml:space="preserve"> Enrollment fell dramatically—from approximately 30,000-31,000 cumulative students in the 17th century to 16,000 (Cambridge) and 25,000 (Oxford) in the 18th century. Annual graduation rates dropped from ~450 in 1700 to as low as 75 in some years, with most graduates entering the clergy. Edward Gibbon famously described his Oxford years (early 1750s) as 'the most idle and unprofitable' of his life, with fellows 'steeped in port and prejudice.'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Scottish universities provided striking contrast.</w:t>
      </w:r>
      <w:r>
        <w:rPr>
          <w:rFonts w:ascii="Arial" w:cs="Arial" w:eastAsia="Arial" w:hAnsi="Arial"/>
          <w:sz w:val="24"/>
          <w:szCs w:val="24"/>
        </w:rPr>
        <w:t xml:space="preserve"> Scotland possessed five universities versus England's two at the 1707 Act of Union—remarkable given Scotland had five times less population and 36 times less wealth. Scottish universities operated on fundamentally different principles: more democratic access, less expensive attendance, lecture-based curriculum. Edinburgh Medical School (founded 1732) displaced Leiden as Europe's leading medical center by the 1740s. The Scottish Enlightenment flourished within these institutions, producing David Hume, Adam Smith, Francis Hutcheson, Joseph Black, and William Cullen.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Scientific societies advanced knowledge.</w:t>
      </w:r>
      <w:r>
        <w:rPr>
          <w:rFonts w:ascii="Arial" w:cs="Arial" w:eastAsia="Arial" w:hAnsi="Arial"/>
          <w:sz w:val="24"/>
          <w:szCs w:val="24"/>
        </w:rPr>
        <w:t xml:space="preserve"> The Royal Society, under Isaac Newton's presidency (1703-1727), asserted its 'dominant role in science in Britain and farther afield.' The Copley Medal was established in 1731 as the earliest prize for scientific excellence.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Literacy remained limited but improving.</w:t>
      </w:r>
      <w:r>
        <w:rPr>
          <w:rFonts w:ascii="Arial" w:cs="Arial" w:eastAsia="Arial" w:hAnsi="Arial"/>
          <w:sz w:val="24"/>
          <w:szCs w:val="24"/>
        </w:rPr>
        <w:t xml:space="preserve"> In 1800, approximately 60% of men and 40% of women were literate. Elementary education was provided through charity schools (SPCK from 1699), dame schools, and emerging Sunday schools.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Score: 3.0/5.0.</w:t>
      </w:r>
      <w:r>
        <w:rPr>
          <w:rFonts w:ascii="Arial" w:cs="Arial" w:eastAsia="Arial" w:hAnsi="Arial"/>
          <w:sz w:val="24"/>
          <w:szCs w:val="24"/>
        </w:rPr>
        <w:t xml:space="preserve"> Ancient universities underperforming; Scottish universities exceptional but demographically limited; scientific societies active; literacy improving but majority population uneducated.</w:t>
      </w:r>
    </w:p>
    <w:p>
      <w:pPr>
        <w:pStyle w:val="Heading2"/>
        <w:spacing w:before="300" w:after="150"/>
      </w:pPr>
      <w:r>
        <w:rPr>
          <w:rFonts w:ascii="Arial" w:cs="Arial" w:eastAsia="Arial" w:hAnsi="Arial"/>
          <w:b/>
          <w:bCs/>
          <w:sz w:val="28"/>
          <w:szCs w:val="28"/>
        </w:rPr>
        <w:t xml:space="preserve">Peak Phase (1763-1914): Mass Education and Technical Deficit</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Ancient universities reformed.</w:t>
      </w:r>
      <w:r>
        <w:rPr>
          <w:rFonts w:ascii="Arial" w:cs="Arial" w:eastAsia="Arial" w:hAnsi="Arial"/>
          <w:sz w:val="24"/>
          <w:szCs w:val="24"/>
        </w:rPr>
        <w:t xml:space="preserve"> By the late 1870s, 'the Oxford-graduating sons of professionals and businessmen outnumbered those of landowners and clergy.' Religious tests were abolished (partially 1850s, fully 1871). Women's colleges emerged: Cambridge (Girton, 1869), Oxford (1870s-80s), though women were denied degrees until 1920 (Oxford) and 1948 (Cambridge).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London University broke the Oxbridge duopoly.</w:t>
      </w:r>
      <w:r>
        <w:rPr>
          <w:rFonts w:ascii="Arial" w:cs="Arial" w:eastAsia="Arial" w:hAnsi="Arial"/>
          <w:sz w:val="24"/>
          <w:szCs w:val="24"/>
        </w:rPr>
        <w:t xml:space="preserve"> Chartered in 1836, University College London (1826) and King's College London (1829) provided secular and Anglican alternatives. London pioneered the external examination system and access for nonconformists and women.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Redbrick universities transformed higher education.</w:t>
      </w:r>
      <w:r>
        <w:rPr>
          <w:rFonts w:ascii="Arial" w:cs="Arial" w:eastAsia="Arial" w:hAnsi="Arial"/>
          <w:sz w:val="24"/>
          <w:szCs w:val="24"/>
        </w:rPr>
        <w:t xml:space="preserve"> Founded in major industrial cities and gaining university status 1900-1909: Birmingham (Mason Science College, 1875; University 1900), Liverpool (University College, 1881; University 1903), Manchester (Owens College, 1851; University 1903), Leeds (Yorkshire College, 1874; University 1904), Sheffield (Firth College, 1879; University 1905). These were funded by civic pride and local industrialists, emphasizing practical and technical education.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Elementary education was systematized.</w:t>
      </w:r>
      <w:r>
        <w:rPr>
          <w:rFonts w:ascii="Arial" w:cs="Arial" w:eastAsia="Arial" w:hAnsi="Arial"/>
          <w:sz w:val="24"/>
          <w:szCs w:val="24"/>
        </w:rPr>
        <w:t xml:space="preserve"> The 1870 Forster Education Act established school boards to provide elementary education (ages 5-12), creating 2,568 local school boards. Before 1870, of 4.3 million children of school age, 2 million had no access to schooling. The 1880 Mundella Act made education compulsory to age 10. The 1902 Balfour Education Act created 328 Local Education Authorities, empowered to establish secondary and technical schools.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Literacy achieved near-universality:</w:t>
      </w:r>
      <w:r>
        <w:rPr>
          <w:rFonts w:ascii="Arial" w:cs="Arial" w:eastAsia="Arial" w:hAnsi="Arial"/>
          <w:sz w:val="24"/>
          <w:szCs w:val="24"/>
        </w:rPr>
        <w:t xml:space="preserve"> 1841-45 saw male illiteracy at 32.6%, female at 48.9%; by 1880, ~95% were literate at age 15; by 1900, male literacy reached 97.2%, female 96.8%.</w:t>
      </w:r>
    </w:p>
    <w:p>
      <w:pPr>
        <w:pStyle w:val="Heading3"/>
        <w:spacing w:before="240" w:after="120"/>
      </w:pPr>
      <w:r>
        <w:rPr>
          <w:rFonts w:ascii="Arial" w:cs="Arial" w:eastAsia="Arial" w:hAnsi="Arial"/>
          <w:b/>
          <w:bCs/>
          <w:sz w:val="24"/>
          <w:szCs w:val="24"/>
        </w:rPr>
        <w:t xml:space="preserve">Technical Education Deficit vs. Germany [INTEGRATED]</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This represents the central educational weakness with devastating quantitative dimensions.</w:t>
      </w:r>
      <w:r>
        <w:rPr>
          <w:rFonts w:ascii="Arial" w:cs="Arial" w:eastAsia="Arial" w:hAnsi="Arial"/>
          <w:sz w:val="24"/>
          <w:szCs w:val="24"/>
        </w:rPr>
        <w:t xml:space="preserve"> The most authoritative source is K.-D. Ludwig's Technik und Ingenieure im Dritten Reich (1974), supplemented by Wolfgang König's Künstler und Strichezieher (1999).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Germany c.1900</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Britain c.1900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Academically trained (TH graduates)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~5,000-8,000 (est.)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Technical intermediate schools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~120,000-150,000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Limited comparable data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technical personnel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150,000-200,000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Far fewer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Annual engineering graduates (1913)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350 (all 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University students (1913)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~9,000</w:t>
            </w:r>
          </w:p>
        </w:tc>
      </w:tr>
    </w:tbl>
    <w:p>
      <w:pPr>
        <w:spacing w:after="200"/>
        <w:jc w:val="left"/>
      </w:pPr>
      <w:r>
        <w:rPr>
          <w:rFonts w:ascii="Arial" w:cs="Arial" w:eastAsia="Arial" w:hAnsi="Arial"/>
          <w:sz w:val="24"/>
          <w:szCs w:val="24"/>
        </w:rPr>
        <w:t xml:space="preserve"/>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8.5:1 ratio in annual engineering graduate production quantifies Britain's structural disadvantage in human capital for second industrial revolution industries.</w:t>
      </w:r>
      <w:r>
        <w:rPr>
          <w:rFonts w:ascii="Arial" w:cs="Arial" w:eastAsia="Arial" w:hAnsi="Arial"/>
          <w:sz w:val="24"/>
          <w:szCs w:val="24"/>
        </w:rPr>
        <w:t xml:space="preserve"/>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Technische Hochschulen system achieved parity with traditional universities when granted doctoral degree rights in 1899.</w:t>
      </w:r>
      <w:r>
        <w:rPr>
          <w:rFonts w:ascii="Arial" w:cs="Arial" w:eastAsia="Arial" w:hAnsi="Arial"/>
          <w:sz w:val="24"/>
          <w:szCs w:val="24"/>
        </w:rPr>
        <w:t xml:space="preserve"> The nine leading institutions included TH Berlin (established as polytechnic 1799, TH status 1879), TH Munich (1868), TH Darmstadt (1877), and RWTH Aachen (1870). Key distinguishing features: design professorships were central to curriculum, with most graduates starting as designers in industry; extreme specialization emerged from mid-19th century covering thermodynamics, automotive technology, and production engineering; TH Darmstadt established the world's first specialized chair in electrical technology in 1882; close ties to industry were institutionalized, with German banks providing substantial investment for industrial research.</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Britain's professional engineering institutions operated on an entirely different model.</w:t>
      </w:r>
      <w:r>
        <w:rPr>
          <w:rFonts w:ascii="Arial" w:cs="Arial" w:eastAsia="Arial" w:hAnsi="Arial"/>
          <w:sz w:val="24"/>
          <w:szCs w:val="24"/>
        </w:rPr>
        <w:t xml:space="preserve"> No examination was required for membership in the Institution of Civil Engineers until 1896; the Institution of Mechanical Engineers and Institution of Electrical Engineers did not require examinations until 1913. This apprenticeship-based system reflected the older tradition of practical learning over theoretical education.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Mechanics' Institutes movement (over 700 institutes by mid-19th century) promised working-class scientific education but was captured by the middle class by 1840.</w:t>
      </w:r>
      <w:r>
        <w:rPr>
          <w:rFonts w:ascii="Arial" w:cs="Arial" w:eastAsia="Arial" w:hAnsi="Arial"/>
          <w:sz w:val="24"/>
          <w:szCs w:val="24"/>
        </w:rPr>
        <w:t xml:space="preserve"> In Sheffield, 88% of members were business or professional men. Unlike German institutions, Mechanics' Institutes 'predominantly taught the theoretical aspects of technology and science' without practical workshop training.</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Imperial College was founded in 1907</w:t>
      </w:r>
      <w:r>
        <w:rPr>
          <w:rFonts w:ascii="Arial" w:cs="Arial" w:eastAsia="Arial" w:hAnsi="Arial"/>
          <w:sz w:val="24"/>
          <w:szCs w:val="24"/>
        </w:rPr>
        <w:t xml:space="preserve"> explicitly to create 'a London Charlottenburg'—acknowledging the German gap directly. The 1906 Board of Education report admitted it was impossible to 'instantaneously compel ourselves to feel the German love of education for its own sake.'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Industrial outcomes correlated with the technical education gap.</w:t>
      </w:r>
      <w:r>
        <w:rPr>
          <w:rFonts w:ascii="Arial" w:cs="Arial" w:eastAsia="Arial" w:hAnsi="Arial"/>
          <w:sz w:val="24"/>
          <w:szCs w:val="24"/>
        </w:rPr>
        <w:t xml:space="preserve"> Germany achieved 90% of the global chemicals market share by 1914 (BASF, Bayer). German electrical manufacturing production was twice that of Britain by 1914. Britain's share of world manufacturing production fell from 31.8% (1870) to 14% (1913), while Germany rose from 13.2% to 15.7%.</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Scholarly debate on causation persists.</w:t>
      </w:r>
      <w:r>
        <w:rPr>
          <w:rFonts w:ascii="Arial" w:cs="Arial" w:eastAsia="Arial" w:hAnsi="Arial"/>
          <w:sz w:val="24"/>
          <w:szCs w:val="24"/>
        </w:rPr>
        <w:t xml:space="preserve"> Davis Kedrosky notes that Britain was actually closing the educational gap during exactly the period when the economic gap was widening (1870-1914). The 'British paradox' persists: employers often did not want technically educated workers, preferring practical apprenticeship training. This demand-side factor complicates simple supply-side explanations. David Edgerton argues Britain's innovative record was 'comparable to that of Germany' from 1870-1970, challenging the education-decline thesis.</w:t>
      </w:r>
    </w:p>
    <w:p>
      <w:pPr>
        <w:pStyle w:val="Heading3"/>
        <w:spacing w:before="240" w:after="120"/>
      </w:pPr>
      <w:r>
        <w:rPr>
          <w:rFonts w:ascii="Arial" w:cs="Arial" w:eastAsia="Arial" w:hAnsi="Arial"/>
          <w:b/>
          <w:bCs/>
          <w:sz w:val="24"/>
          <w:szCs w:val="24"/>
        </w:rPr>
        <w:t xml:space="preserve">Colonial Education: The Macaulay Framework [INTEGRATED]</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Thomas Babington Macaulay's 'Minute on Indian Education' (February 2, 1835) established the intellectual framework for British colonial education.</w:t>
      </w:r>
      <w:r>
        <w:rPr>
          <w:rFonts w:ascii="Arial" w:cs="Arial" w:eastAsia="Arial" w:hAnsi="Arial"/>
          <w:sz w:val="24"/>
          <w:szCs w:val="24"/>
        </w:rPr>
        <w:t xml:space="preserve"> His goal was explicit: 'to form a class of persons, Indian in blood and colour, but English in taste, in opinions, in morals, and in intellect.' This intermediary class would bridge the British administration and the governed masses. Macaulay's infamous assertion—'a single shelf of a good European library was worth the whole native literature of India and Arabia'—reflected Victorian cultural supremacism.</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policy deliberately displaced indigenous gurukul and madrasa systems that had served communities for centuries.</w:t>
      </w:r>
      <w:r>
        <w:rPr>
          <w:rFonts w:ascii="Arial" w:cs="Arial" w:eastAsia="Arial" w:hAnsi="Arial"/>
          <w:sz w:val="24"/>
          <w:szCs w:val="24"/>
        </w:rPr>
        <w:t xml:space="preserve"> Universities were established in Calcutta, Bombay, and Madras (1857), yet primary schooling remained severely underfunded.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Year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Overall Literacy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Male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Female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1947 (Independence)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12-16.5%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r>
    </w:tbl>
    <w:p>
      <w:pPr>
        <w:spacing w:after="200"/>
        <w:jc w:val="left"/>
      </w:pPr>
      <w:r>
        <w:rPr>
          <w:rFonts w:ascii="Arial" w:cs="Arial" w:eastAsia="Arial" w:hAnsi="Arial"/>
          <w:sz w:val="24"/>
          <w:szCs w:val="24"/>
        </w:rPr>
        <w:t xml:space="preserve"/>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Comparative context is stark:</w:t>
      </w:r>
      <w:r>
        <w:rPr>
          <w:rFonts w:ascii="Arial" w:cs="Arial" w:eastAsia="Arial" w:hAnsi="Arial"/>
          <w:sz w:val="24"/>
          <w:szCs w:val="24"/>
        </w:rPr>
        <w:t xml:space="preserve"> While Britain achieved near-universal literacy (~97%) by 1900, India remained at ~6%. The contrast in primary/secondary enrollment: British India increased from 0.6% to 3.5% (1867-1941). In Europe in 1911, 8-18% of population was enrolled—3-5 times the Indian rate.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Latika Chaudhary's econometric analysis (2007) using district-level data (1901-1911) reveals critical institutional factors.</w:t>
      </w:r>
      <w:r>
        <w:rPr>
          <w:rFonts w:ascii="Arial" w:cs="Arial" w:eastAsia="Arial" w:hAnsi="Arial"/>
          <w:sz w:val="24"/>
          <w:szCs w:val="24"/>
        </w:rPr>
        <w:t xml:space="preserve"> Caste and religious fragmentation correlated negatively with public primary school provision. Public investments had positive and significant effect on male literacy but no similar effect on female literacy—suggesting both supply constraints and deeply gendered demand.</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Baroda counter-example demonstrates that demand was not the primary constraint.</w:t>
      </w:r>
      <w:r>
        <w:rPr>
          <w:rFonts w:ascii="Arial" w:cs="Arial" w:eastAsia="Arial" w:hAnsi="Arial"/>
          <w:sz w:val="24"/>
          <w:szCs w:val="24"/>
        </w:rPr>
        <w:t xml:space="preserve"> The Maharaja of Baroda State introduced compulsory primary education in 1906 for both sexes. This program tripled the kingdom's literacy rate from 9% to 27% between 1906 and 1939 and achieved approximately 80% primary school provision for the target population. Indian populations responded when education was genuinely offered.</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Score: 3.5/5.0.</w:t>
      </w:r>
      <w:r>
        <w:rPr>
          <w:rFonts w:ascii="Arial" w:cs="Arial" w:eastAsia="Arial" w:hAnsi="Arial"/>
          <w:sz w:val="24"/>
          <w:szCs w:val="24"/>
        </w:rPr>
        <w:t xml:space="preserve"> Achieved mass literacy domestically and university reform; redbricks promising; but persistent technical education deficit relative to Germany with 8.5:1 graduate ratio; colonial education created English-speaking elites but left 300+ million with 6% literacy—a capability trap prioritizing extraction over development.</w:t>
      </w:r>
    </w:p>
    <w:p>
      <w:pPr>
        <w:pStyle w:val="Heading2"/>
        <w:spacing w:before="300" w:after="150"/>
      </w:pPr>
      <w:r>
        <w:rPr>
          <w:rFonts w:ascii="Arial" w:cs="Arial" w:eastAsia="Arial" w:hAnsi="Arial"/>
          <w:b/>
          <w:bCs/>
          <w:sz w:val="28"/>
          <w:szCs w:val="28"/>
        </w:rPr>
        <w:t xml:space="preserve">Decline Phase (1914-1945): War Mobilization and Barnett's Critique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1918 Fisher Education Act</w:t>
      </w:r>
      <w:r>
        <w:rPr>
          <w:rFonts w:ascii="Arial" w:cs="Arial" w:eastAsia="Arial" w:hAnsi="Arial"/>
          <w:sz w:val="24"/>
          <w:szCs w:val="24"/>
        </w:rPr>
        <w:t xml:space="preserve"> made secondary education compulsory to age 14 and eliminated fees in elementary schools. However, 'most children attended elementary (primary) school until age 14, rather than going to a separate school for secondary education.'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Correlli Barnett's 'Audit of War' (1986) critique</w:t>
      </w:r>
      <w:r>
        <w:rPr>
          <w:rFonts w:ascii="Arial" w:cs="Arial" w:eastAsia="Arial" w:hAnsi="Arial"/>
          <w:sz w:val="24"/>
          <w:szCs w:val="24"/>
        </w:rPr>
        <w:t xml:space="preserve"> represents the most sustained attack on British education's role in decline. Based on 'once secret and hitherto unpublished Whitehall and Cabinet-committee files,' Barnett argued WWII revealed 'all the classic symptoms of the British disease': 'Shameful lack of technical schools and colleges'; chronic shortages of 'decently educated let alone skilled workmen, supervisors and management'; public schools teaching 'Horace, cricket and little else—an education in high-minded uselessness'; religious instruction taking 'an untenable part of the curriculum, to the detriment of technical training.'</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Counter-arguments to Barnett:</w:t>
      </w:r>
      <w:r>
        <w:rPr>
          <w:rFonts w:ascii="Arial" w:cs="Arial" w:eastAsia="Arial" w:hAnsi="Arial"/>
          <w:sz w:val="24"/>
          <w:szCs w:val="24"/>
        </w:rPr>
        <w:t xml:space="preserve"> Paul Addison criticized his 'simplifications' and divorcing Britain from European context. David Edgerton argued Britain's innovative record was 'comparable to that of Germany' from 1870-1970. Roger Scruton contended 'relevance in education is a chimerical objective.'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Scientific achievement continued despite structural weakness.</w:t>
      </w:r>
      <w:r>
        <w:rPr>
          <w:rFonts w:ascii="Arial" w:cs="Arial" w:eastAsia="Arial" w:hAnsi="Arial"/>
          <w:sz w:val="24"/>
          <w:szCs w:val="24"/>
        </w:rPr>
        <w:t xml:space="preserve"> Ernest Rutherford's physics work at Manchester, Alan Turing at Cambridge, and wartime radar/codebreaking represented excellence.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Score: 3.5/5.0.</w:t>
      </w:r>
      <w:r>
        <w:rPr>
          <w:rFonts w:ascii="Arial" w:cs="Arial" w:eastAsia="Arial" w:hAnsi="Arial"/>
          <w:sz w:val="24"/>
          <w:szCs w:val="24"/>
        </w:rPr>
        <w:t xml:space="preserve"> Expanded access and war-related scientific mobilization; but Barnett's structural critique has substantial validity; technical education deficit persisted.</w:t>
      </w:r>
    </w:p>
    <w:p>
      <w:r>
        <w:br w:type="page"/>
      </w:r>
    </w:p>
    <w:p>
      <w:pPr>
        <w:pStyle w:val="Heading1"/>
        <w:spacing w:before="400" w:after="200"/>
      </w:pPr>
      <w:r>
        <w:rPr>
          <w:rFonts w:ascii="Arial" w:cs="Arial" w:eastAsia="Arial" w:hAnsi="Arial"/>
          <w:b/>
          <w:bCs/>
          <w:sz w:val="32"/>
          <w:szCs w:val="32"/>
        </w:rPr>
        <w:t xml:space="preserve">Domain 6: Cultural/Ideological Analysis</w:t>
      </w:r>
    </w:p>
    <w:p>
      <w:pPr>
        <w:pStyle w:val="Heading2"/>
        <w:spacing w:before="300" w:after="150"/>
      </w:pPr>
      <w:r>
        <w:rPr>
          <w:rFonts w:ascii="Arial" w:cs="Arial" w:eastAsia="Arial" w:hAnsi="Arial"/>
          <w:b/>
          <w:bCs/>
          <w:sz w:val="28"/>
          <w:szCs w:val="28"/>
        </w:rPr>
        <w:t xml:space="preserve">Rise Phase (1688-1763): Protestant Commerce and Emerging Britishness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Protestant work ethic and Nonconformist enterprise flourished.</w:t>
      </w:r>
      <w:r>
        <w:rPr>
          <w:rFonts w:ascii="Arial" w:cs="Arial" w:eastAsia="Arial" w:hAnsi="Arial"/>
          <w:sz w:val="24"/>
          <w:szCs w:val="24"/>
        </w:rPr>
        <w:t xml:space="preserve"> English Nonconformists—Quakers, Baptists, Congregationalists—were legally barred from universities, professions, and public office by the Corporation Act, channeling talents into commerce and industry. Quakers, comprising nearly 50% of entrepreneurs at their peak, pioneered: iron industry (Abraham Darby I developed coke-smelting at Coalbrookdale, 1709); banking (Barclays and Lloyds originated as Quaker enterprises); manufacturing (pharmaceuticals, chocolate—Fry's, Rowntree's, Cadbury's).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Commerce was celebrated as source of British power.</w:t>
      </w:r>
      <w:r>
        <w:rPr>
          <w:rFonts w:ascii="Arial" w:cs="Arial" w:eastAsia="Arial" w:hAnsi="Arial"/>
          <w:sz w:val="24"/>
          <w:szCs w:val="24"/>
        </w:rPr>
        <w:t xml:space="preserve"> Adam Smith's phrase 'nation of shopkeepers' (Wealth of Nations, 1776) captured the commercial orientation. Napoleon reportedly clarified: 'I meant that you were a nation of merchants, and that all your great riches, and your grand resources arose from commerce.'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British national identity was 'forged' through common Protestantism</w:t>
      </w:r>
      <w:r>
        <w:rPr>
          <w:rFonts w:ascii="Arial" w:cs="Arial" w:eastAsia="Arial" w:hAnsi="Arial"/>
          <w:sz w:val="24"/>
          <w:szCs w:val="24"/>
        </w:rPr>
        <w:t xml:space="preserve"> (Linda Colley, Britons, 1992). Core unifying factors: Protestantism contrasted with Catholic Continental Europe; successive wars against Catholic France (1689-1815); anti-Catholic sentiment distinguishing 'us' from 'them.'</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Score: 4.0/5.0.</w:t>
      </w:r>
      <w:r>
        <w:rPr>
          <w:rFonts w:ascii="Arial" w:cs="Arial" w:eastAsia="Arial" w:hAnsi="Arial"/>
          <w:sz w:val="24"/>
          <w:szCs w:val="24"/>
        </w:rPr>
        <w:t xml:space="preserve"> Dynamic commercial culture; Nonconformist entrepreneurship driving early industrialization; coherent national identity formation through Protestant anti-Catholicism; commercial values celebrated.</w:t>
      </w:r>
    </w:p>
    <w:p>
      <w:pPr>
        <w:pStyle w:val="Heading2"/>
        <w:spacing w:before="300" w:after="150"/>
      </w:pPr>
      <w:r>
        <w:rPr>
          <w:rFonts w:ascii="Arial" w:cs="Arial" w:eastAsia="Arial" w:hAnsi="Arial"/>
          <w:b/>
          <w:bCs/>
          <w:sz w:val="28"/>
          <w:szCs w:val="28"/>
        </w:rPr>
        <w:t xml:space="preserve">Peak Phase (1763-1914): Imperial Apex and Anti-Industrial Culture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Imperial ideology reached full articulation.</w:t>
      </w:r>
      <w:r>
        <w:rPr>
          <w:rFonts w:ascii="Arial" w:cs="Arial" w:eastAsia="Arial" w:hAnsi="Arial"/>
          <w:sz w:val="24"/>
          <w:szCs w:val="24"/>
        </w:rPr>
        <w:t xml:space="preserve"> The 'civilizing mission' rested on: assumed racial/cultural superiority; duty to spread Christianity, law, and 'progress'; paternalistic attitudes toward 'childlike' peoples. Kipling's 'White Man's Burden' (1899) crystallized this ideology.</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Wiener thesis: Victorian anti-industrial culture emerged from mid-19th century.</w:t>
      </w:r>
      <w:r>
        <w:rPr>
          <w:rFonts w:ascii="Arial" w:cs="Arial" w:eastAsia="Arial" w:hAnsi="Arial"/>
          <w:sz w:val="24"/>
          <w:szCs w:val="24"/>
        </w:rPr>
        <w:t xml:space="preserve"> Martin Wiener's English Culture and the Decline of the Industrial Spirit (1981) identified 'a pervasive middle- and upper-class frame of mind hostile to industrialism and economic growth.' Key mechanisms: public school assimilation (industrialists' sons taught to disdain trade); gentrification of industrialists (self-made manufacturers sought to become gentlemen rather than expand businesses); literary anti-industrialism (Ruskin, Morris, Lawrence, Forster); rural nostalgia ('back to the land' movements). The thesis proved so influential that Keith Joseph gave copies to every Thatcher cabinet minister.</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Counter-evidence to the Wiener thesis is significant:</w:t>
      </w:r>
      <w:r>
        <w:rPr>
          <w:rFonts w:ascii="Arial" w:cs="Arial" w:eastAsia="Arial" w:hAnsi="Arial"/>
          <w:sz w:val="24"/>
          <w:szCs w:val="24"/>
        </w:rPr>
        <w:t xml:space="preserve"> W.D. Rubinstein argues Britain was 'never an industrial, but always a commercial/financial economy whose comparative advantage lay within that area.' David Edgerton contends Wiener was 'simply wrong; the British state and society more generally was remarkably consistent in its technocratic aims and objectives.' Northern industrial culture (Manchester, Birmingham, Sheffield) maintained distinct pride. Wiener's methodology 'relies heavily on quotations from literary sources and is barren of any quantitative analysis.'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Cain &amp; Hopkins 'gentlemanly capitalism' thesis complements Wiener.</w:t>
      </w:r>
      <w:r>
        <w:rPr>
          <w:rFonts w:ascii="Arial" w:cs="Arial" w:eastAsia="Arial" w:hAnsi="Arial"/>
          <w:sz w:val="24"/>
          <w:szCs w:val="24"/>
        </w:rPr>
        <w:t xml:space="preserve"> Their British Imperialism (1993) argues British expansion was driven by 'gentlemanly capitalists'—the alliance of landed aristocracy and City of London finance—rather than provincial manufacturers. Key implications: manufacturing interests were relatively marginalized in imperial policy; 'gentlemanliness' shaped business culture; financial services orientation was cultural preference, not economic necessity.</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Score: 4.0/5.0.</w:t>
      </w:r>
      <w:r>
        <w:rPr>
          <w:rFonts w:ascii="Arial" w:cs="Arial" w:eastAsia="Arial" w:hAnsi="Arial"/>
          <w:sz w:val="24"/>
          <w:szCs w:val="24"/>
        </w:rPr>
        <w:t xml:space="preserve"> Imperial ideology at apex; commercial/financial values entrenched; but anti-industrial cultural currents emerging; significant scholarly debate on causation.</w:t>
      </w:r>
    </w:p>
    <w:p>
      <w:pPr>
        <w:pStyle w:val="Heading2"/>
        <w:spacing w:before="300" w:after="150"/>
      </w:pPr>
      <w:r>
        <w:rPr>
          <w:rFonts w:ascii="Arial" w:cs="Arial" w:eastAsia="Arial" w:hAnsi="Arial"/>
          <w:b/>
          <w:bCs/>
          <w:sz w:val="28"/>
          <w:szCs w:val="28"/>
        </w:rPr>
        <w:t xml:space="preserve">Decline Phase (1914-1945): Imperial Doubt and Democratic Culture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Imperial confidence eroded after WWI.</w:t>
      </w:r>
      <w:r>
        <w:rPr>
          <w:rFonts w:ascii="Arial" w:cs="Arial" w:eastAsia="Arial" w:hAnsi="Arial"/>
          <w:sz w:val="24"/>
          <w:szCs w:val="24"/>
        </w:rPr>
        <w:t xml:space="preserve"> The war's massive casualties undermined triumphalism; colonial contributions raised expectations; rising nationalism challenged British rule. Literary critiques emerged (E.M. Forster's A Passage to India, 1924). Though the Empire expanded formally through League mandates, ideological confidence was declining.</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Democratic culture transformed through universal suffrage.</w:t>
      </w:r>
      <w:r>
        <w:rPr>
          <w:rFonts w:ascii="Arial" w:cs="Arial" w:eastAsia="Arial" w:hAnsi="Arial"/>
          <w:sz w:val="24"/>
          <w:szCs w:val="24"/>
        </w:rPr>
        <w:t xml:space="preserve"> 1918 achieved universal male suffrage (21+) and women over 30; 1928 completed universal adult suffrage. Mass media reshaped public culture: BBC founded 1922; cinema became dominant entertainment.</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Modernist culture rejected Victorian conventions.</w:t>
      </w:r>
      <w:r>
        <w:rPr>
          <w:rFonts w:ascii="Arial" w:cs="Arial" w:eastAsia="Arial" w:hAnsi="Arial"/>
          <w:sz w:val="24"/>
          <w:szCs w:val="24"/>
        </w:rPr>
        <w:t xml:space="preserve"> T.S. Eliot's The Waste Land (1922) represented cultural disillusionment; Bloomsbury Group challenged Victorian morality; WWI poets (Owen, Sassoon) undermined martial enthusiasm.</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Score: 3.0/5.0.</w:t>
      </w:r>
      <w:r>
        <w:rPr>
          <w:rFonts w:ascii="Arial" w:cs="Arial" w:eastAsia="Arial" w:hAnsi="Arial"/>
          <w:sz w:val="24"/>
          <w:szCs w:val="24"/>
        </w:rPr>
        <w:t xml:space="preserve"> Imperial ideology declining; democratic consolidation; cultural innovation; but loss of confidence and direction; relative decline becoming apparent.</w:t>
      </w:r>
    </w:p>
    <w:p>
      <w:r>
        <w:br w:type="page"/>
      </w:r>
    </w:p>
    <w:p>
      <w:pPr>
        <w:pStyle w:val="Heading1"/>
        <w:spacing w:before="400" w:after="200"/>
      </w:pPr>
      <w:r>
        <w:rPr>
          <w:rFonts w:ascii="Arial" w:cs="Arial" w:eastAsia="Arial" w:hAnsi="Arial"/>
          <w:b/>
          <w:bCs/>
          <w:sz w:val="32"/>
          <w:szCs w:val="32"/>
        </w:rPr>
        <w:t xml:space="preserve">Quantitative Data Tables</w:t>
      </w:r>
    </w:p>
    <w:p>
      <w:pPr>
        <w:pStyle w:val="Heading2"/>
        <w:spacing w:before="300" w:after="150"/>
      </w:pPr>
      <w:r>
        <w:rPr>
          <w:rFonts w:ascii="Arial" w:cs="Arial" w:eastAsia="Arial" w:hAnsi="Arial"/>
          <w:b/>
          <w:bCs/>
          <w:sz w:val="28"/>
          <w:szCs w:val="28"/>
        </w:rPr>
        <w:t xml:space="preserve">Table 1: Population of England/Britain by Decade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0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Year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England</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England &amp; Wales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UK Total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1700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~5.5M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~6.5M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1750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~5.8M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~6.1M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~7.5M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8.3M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8.9M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1851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16.8M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17.9M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30.5M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32.5M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41.5M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~42M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~47-48M</w:t>
            </w:r>
          </w:p>
        </w:tc>
      </w:tr>
    </w:tbl>
    <w:p>
      <w:pPr>
        <w:spacing w:after="200"/>
        <w:jc w:val="left"/>
      </w:pPr>
      <w:r>
        <w:rPr>
          <w:rFonts w:ascii="Arial" w:cs="Arial" w:eastAsia="Arial" w:hAnsi="Arial"/>
          <w:sz w:val="24"/>
          <w:szCs w:val="24"/>
        </w:rPr>
        <w:t xml:space="preserve"/>
      </w:r>
    </w:p>
    <w:p>
      <w:pPr>
        <w:spacing w:after="200"/>
        <w:jc w:val="left"/>
      </w:pPr>
      <w:r>
        <w:rPr>
          <w:rFonts w:ascii="Arial" w:cs="Arial" w:eastAsia="Arial" w:hAnsi="Arial"/>
          <w:sz w:val="24"/>
          <w:szCs w:val="24"/>
        </w:rPr>
        <w:t xml:space="preserve">Sources: Wrigley &amp; Schofield; Census of England and Wales; ONS. CONFIDENCE: HIGH</w:t>
      </w:r>
    </w:p>
    <w:p>
      <w:pPr>
        <w:pStyle w:val="Heading2"/>
        <w:spacing w:before="300" w:after="150"/>
      </w:pPr>
      <w:r>
        <w:rPr>
          <w:rFonts w:ascii="Arial" w:cs="Arial" w:eastAsia="Arial" w:hAnsi="Arial"/>
          <w:b/>
          <w:bCs/>
          <w:sz w:val="28"/>
          <w:szCs w:val="28"/>
        </w:rPr>
        <w:t xml:space="preserve">Table 2: Slavery Wealth and Industrial Revolution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0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Finding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Slave trade profits as % of GDP (Engerman 1972)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Slaveholding profits as % of GDP (Solow 1993)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Slave trade profits as % of investment 1770 (Richardson)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Triangular Trade total as % of GDP (Rönnbäck 2018)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 (11% incl. dependent industries)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National income effect (Heblich et al. 2022)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 (~decade of GDP growth)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1833 Abolition compensation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£20M (~5% GDP, 40% govt budget)</w:t>
            </w:r>
          </w:p>
        </w:tc>
      </w:tr>
    </w:tbl>
    <w:p>
      <w:pPr>
        <w:spacing w:after="200"/>
        <w:jc w:val="left"/>
      </w:pPr>
      <w:r>
        <w:rPr>
          <w:rFonts w:ascii="Arial" w:cs="Arial" w:eastAsia="Arial" w:hAnsi="Arial"/>
          <w:sz w:val="24"/>
          <w:szCs w:val="24"/>
        </w:rPr>
        <w:t xml:space="preserve"/>
      </w:r>
    </w:p>
    <w:p>
      <w:pPr>
        <w:spacing w:after="200"/>
        <w:jc w:val="left"/>
      </w:pPr>
      <w:r>
        <w:rPr>
          <w:rFonts w:ascii="Arial" w:cs="Arial" w:eastAsia="Arial" w:hAnsi="Arial"/>
          <w:sz w:val="24"/>
          <w:szCs w:val="24"/>
        </w:rPr>
        <w:t xml:space="preserve">Sources: Engerman (1972); Richardson (1998); Solow (1993); Rönnbäck (2018); Heblich, Redding &amp; Voth (2022). CONFIDENCE: MODERATE-HIGH</w:t>
      </w:r>
    </w:p>
    <w:p>
      <w:pPr>
        <w:pStyle w:val="Heading2"/>
        <w:spacing w:before="300" w:after="150"/>
      </w:pPr>
      <w:r>
        <w:rPr>
          <w:rFonts w:ascii="Arial" w:cs="Arial" w:eastAsia="Arial" w:hAnsi="Arial"/>
          <w:b/>
          <w:bCs/>
          <w:sz w:val="28"/>
          <w:szCs w:val="28"/>
        </w:rPr>
        <w:t xml:space="preserve">Table 3: Technical Education Comparison c.1900 [ENHANCED]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Germany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Britain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University students (1913)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Annual engineering graduates (1913)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350 (all 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Academically trained engineers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~5,000-8,000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technical personnel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150,000-200,000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Far fewer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 doctoral rights granted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1899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Engineering exam requirement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From founding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ICE 1896; IMechE/IEE 1913</w:t>
            </w:r>
          </w:p>
        </w:tc>
      </w:tr>
    </w:tbl>
    <w:p>
      <w:pPr>
        <w:spacing w:after="200"/>
        <w:jc w:val="left"/>
      </w:pPr>
      <w:r>
        <w:rPr>
          <w:rFonts w:ascii="Arial" w:cs="Arial" w:eastAsia="Arial" w:hAnsi="Arial"/>
          <w:sz w:val="24"/>
          <w:szCs w:val="24"/>
        </w:rPr>
        <w:t xml:space="preserve"/>
      </w:r>
    </w:p>
    <w:p>
      <w:pPr>
        <w:spacing w:after="200"/>
        <w:jc w:val="left"/>
      </w:pPr>
      <w:r>
        <w:rPr>
          <w:rFonts w:ascii="Arial" w:cs="Arial" w:eastAsia="Arial" w:hAnsi="Arial"/>
          <w:sz w:val="24"/>
          <w:szCs w:val="24"/>
        </w:rPr>
        <w:t xml:space="preserve">Sources: Ludwig (1974); König (1999); Technical Education Matters. CONFIDENCE: HIGH</w:t>
      </w:r>
    </w:p>
    <w:p>
      <w:pPr>
        <w:pStyle w:val="Heading2"/>
        <w:spacing w:before="300" w:after="150"/>
      </w:pPr>
      <w:r>
        <w:rPr>
          <w:rFonts w:ascii="Arial" w:cs="Arial" w:eastAsia="Arial" w:hAnsi="Arial"/>
          <w:b/>
          <w:bCs/>
          <w:sz w:val="28"/>
          <w:szCs w:val="28"/>
        </w:rPr>
        <w:t xml:space="preserve">Table 4: Colonial Education in India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5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Year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Literacy Rate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Male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Female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1947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12-16.5%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Britain 1900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96.8%</w:t>
            </w:r>
          </w:p>
        </w:tc>
      </w:tr>
    </w:tbl>
    <w:p>
      <w:pPr>
        <w:spacing w:after="200"/>
        <w:jc w:val="left"/>
      </w:pPr>
      <w:r>
        <w:rPr>
          <w:rFonts w:ascii="Arial" w:cs="Arial" w:eastAsia="Arial" w:hAnsi="Arial"/>
          <w:sz w:val="24"/>
          <w:szCs w:val="24"/>
        </w:rPr>
        <w:t xml:space="preserve"/>
      </w:r>
    </w:p>
    <w:p>
      <w:pPr>
        <w:spacing w:after="200"/>
        <w:jc w:val="left"/>
      </w:pPr>
      <w:r>
        <w:rPr>
          <w:rFonts w:ascii="Arial" w:cs="Arial" w:eastAsia="Arial" w:hAnsi="Arial"/>
          <w:sz w:val="24"/>
          <w:szCs w:val="24"/>
        </w:rPr>
        <w:t xml:space="preserve">Sources: Census of India; Chaudhary (2007). CONFIDENCE: HIGH</w:t>
      </w:r>
    </w:p>
    <w:p>
      <w:r>
        <w:br w:type="page"/>
      </w:r>
    </w:p>
    <w:p>
      <w:pPr>
        <w:pStyle w:val="Heading1"/>
        <w:spacing w:before="400" w:after="200"/>
      </w:pPr>
      <w:r>
        <w:rPr>
          <w:rFonts w:ascii="Arial" w:cs="Arial" w:eastAsia="Arial" w:hAnsi="Arial"/>
          <w:b/>
          <w:bCs/>
          <w:sz w:val="32"/>
          <w:szCs w:val="32"/>
        </w:rPr>
        <w:t xml:space="preserve">Theoretical Framework Engagement</w:t>
      </w:r>
    </w:p>
    <w:p>
      <w:pPr>
        <w:pStyle w:val="Heading2"/>
        <w:spacing w:before="300" w:after="150"/>
      </w:pPr>
      <w:r>
        <w:rPr>
          <w:rFonts w:ascii="Arial" w:cs="Arial" w:eastAsia="Arial" w:hAnsi="Arial"/>
          <w:b/>
          <w:bCs/>
          <w:sz w:val="28"/>
          <w:szCs w:val="28"/>
        </w:rPr>
        <w:t xml:space="preserve">Testing the 'Gentlemanly Capitalism' Thesis (Cain &amp; Hopkins)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Core thesis:</w:t>
      </w:r>
      <w:r>
        <w:rPr>
          <w:rFonts w:ascii="Arial" w:cs="Arial" w:eastAsia="Arial" w:hAnsi="Arial"/>
          <w:sz w:val="24"/>
          <w:szCs w:val="24"/>
        </w:rPr>
        <w:t xml:space="preserve"> British imperial expansion from 1688-2000 was driven by 'a complex of economic, social and political power centring on the City of London.' Landed aristocracy combined with financiers; manufacturing interests 'lacked both prestige and direct access to the charmed circles where policy was formulated.'</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Evidence supporting the thesis:</w:t>
      </w:r>
      <w:r>
        <w:rPr>
          <w:rFonts w:ascii="Arial" w:cs="Arial" w:eastAsia="Arial" w:hAnsi="Arial"/>
          <w:sz w:val="24"/>
          <w:szCs w:val="24"/>
        </w:rPr>
        <w:t xml:space="preserve"> City of London maintained independence and prestige throughout period. Financial crises (1890s) demonstrated Britain's leverage over debtor nations. 'Informal empire' in South America operated through capital flows. Manufacturing regions had limited political representation relative to London/Southeast.</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Evidence challenging the thesis:</w:t>
      </w:r>
      <w:r>
        <w:rPr>
          <w:rFonts w:ascii="Arial" w:cs="Arial" w:eastAsia="Arial" w:hAnsi="Arial"/>
          <w:sz w:val="24"/>
          <w:szCs w:val="24"/>
        </w:rPr>
        <w:t xml:space="preserve"> Andrew Dilley argues the thesis explains 'how' but not 'why' imperialism occurs. Critics argue 'gentlemanliness' is 'a form of labelling rather than analysis.' P.J. Kennedy argues it merely regurgitates Hobson's theory.</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Verdict:</w:t>
      </w:r>
      <w:r>
        <w:rPr>
          <w:rFonts w:ascii="Arial" w:cs="Arial" w:eastAsia="Arial" w:hAnsi="Arial"/>
          <w:sz w:val="24"/>
          <w:szCs w:val="24"/>
        </w:rPr>
        <w:t xml:space="preserve"> The thesis provides valuable analytical framework for understanding British imperial orientation toward finance over industry. However, causation between 'gentlemanly values' and economic outcomes remains contested. </w:t>
      </w:r>
      <w:r>
        <w:rPr>
          <w:rFonts w:ascii="Arial" w:cs="Arial" w:eastAsia="Arial" w:hAnsi="Arial"/>
          <w:b/>
          <w:bCs/>
          <w:sz w:val="24"/>
          <w:szCs w:val="24"/>
        </w:rPr>
        <w:t xml:space="preserve">CONFIDENCE: MODERATE</w:t>
      </w:r>
      <w:r>
        <w:rPr>
          <w:rFonts w:ascii="Arial" w:cs="Arial" w:eastAsia="Arial" w:hAnsi="Arial"/>
          <w:sz w:val="24"/>
          <w:szCs w:val="24"/>
        </w:rPr>
        <w:t xml:space="preserve"/>
      </w:r>
    </w:p>
    <w:p>
      <w:pPr>
        <w:pStyle w:val="Heading2"/>
        <w:spacing w:before="300" w:after="150"/>
      </w:pPr>
      <w:r>
        <w:rPr>
          <w:rFonts w:ascii="Arial" w:cs="Arial" w:eastAsia="Arial" w:hAnsi="Arial"/>
          <w:b/>
          <w:bCs/>
          <w:sz w:val="28"/>
          <w:szCs w:val="28"/>
        </w:rPr>
        <w:t xml:space="preserve">Testing the 'Decline of Industrial Spirit' Thesis (Wiener)</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Core thesis:</w:t>
      </w:r>
      <w:r>
        <w:rPr>
          <w:rFonts w:ascii="Arial" w:cs="Arial" w:eastAsia="Arial" w:hAnsi="Arial"/>
          <w:sz w:val="24"/>
          <w:szCs w:val="24"/>
        </w:rPr>
        <w:t xml:space="preserve"> From mid-19th century, 'a pervasive middle- and upper-class frame of mind hostile to industrialism and economic growth' caused British industrial decline.</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Evidence supporting:</w:t>
      </w:r>
      <w:r>
        <w:rPr>
          <w:rFonts w:ascii="Arial" w:cs="Arial" w:eastAsia="Arial" w:hAnsi="Arial"/>
          <w:sz w:val="24"/>
          <w:szCs w:val="24"/>
        </w:rPr>
        <w:t xml:space="preserve"> Public school curricula emphasized classics over science/technology. Literary anti-industrialism well-documented. Many industrialists did pursue 'gentrification.' Arts and Crafts movement explicitly anti-industrial.</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Counter-evidence:</w:t>
      </w:r>
      <w:r>
        <w:rPr>
          <w:rFonts w:ascii="Arial" w:cs="Arial" w:eastAsia="Arial" w:hAnsi="Arial"/>
          <w:sz w:val="24"/>
          <w:szCs w:val="24"/>
        </w:rPr>
        <w:t xml:space="preserve"> Rubinstein: Britain was 'never an industrial, but always a commercial/financial economy.' Edgerton: British innovation from 1870-1970 was 'comparable to that of Germany.' Northern industrial culture maintained distinct values. Wiener's methodology criticized for relying on literary sources without quantitative analysis.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Verdict:</w:t>
      </w:r>
      <w:r>
        <w:rPr>
          <w:rFonts w:ascii="Arial" w:cs="Arial" w:eastAsia="Arial" w:hAnsi="Arial"/>
          <w:sz w:val="24"/>
          <w:szCs w:val="24"/>
        </w:rPr>
        <w:t xml:space="preserve"> The thesis captures genuine cultural currents but overstates their causative role in economic outcomes. Culture was likely one factor among many. </w:t>
      </w:r>
      <w:r>
        <w:rPr>
          <w:rFonts w:ascii="Arial" w:cs="Arial" w:eastAsia="Arial" w:hAnsi="Arial"/>
          <w:b/>
          <w:bCs/>
          <w:sz w:val="24"/>
          <w:szCs w:val="24"/>
        </w:rPr>
        <w:t xml:space="preserve">CONFIDENCE: MODERATE</w:t>
      </w:r>
      <w:r>
        <w:rPr>
          <w:rFonts w:ascii="Arial" w:cs="Arial" w:eastAsia="Arial" w:hAnsi="Arial"/>
          <w:sz w:val="24"/>
          <w:szCs w:val="24"/>
        </w:rPr>
        <w:t xml:space="preserve"/>
      </w:r>
    </w:p>
    <w:p>
      <w:pPr>
        <w:pStyle w:val="Heading2"/>
        <w:spacing w:before="300" w:after="150"/>
      </w:pPr>
      <w:r>
        <w:rPr>
          <w:rFonts w:ascii="Arial" w:cs="Arial" w:eastAsia="Arial" w:hAnsi="Arial"/>
          <w:b/>
          <w:bCs/>
          <w:sz w:val="28"/>
          <w:szCs w:val="28"/>
        </w:rPr>
        <w:t xml:space="preserve">Integration: Williams-Inikori Thesis on Slavery and Capital [ENHANCED]</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Core thesis:</w:t>
      </w:r>
      <w:r>
        <w:rPr>
          <w:rFonts w:ascii="Arial" w:cs="Arial" w:eastAsia="Arial" w:hAnsi="Arial"/>
          <w:sz w:val="24"/>
          <w:szCs w:val="24"/>
        </w:rPr>
        <w:t xml:space="preserve"> Atlantic slavery provided capital and market expansion enabling British industrialization.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Synthesis position after Heblich et al. (2022):</w:t>
      </w:r>
      <w:r>
        <w:rPr>
          <w:rFonts w:ascii="Arial" w:cs="Arial" w:eastAsia="Arial" w:hAnsi="Arial"/>
          <w:sz w:val="24"/>
          <w:szCs w:val="24"/>
        </w:rPr>
        <w:t xml:space="preserve"> Slavery wealth was significant but geographically concentrated. The 3.5% national income effect represents roughly a decade of GDP growth—significant but not determinative. Slavery was a link in the chain (1688 settlement → 1694 financial revolution → naval supremacy → Atlantic commerce including slavery → capital formation → Industrial Revolution), not the prime mover. Institutions + coal + Atlantic commerce (including slavery) + population scale = unique British combination.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CONFIDENCE: MODERATE-HIGH</w:t>
      </w:r>
      <w:r>
        <w:rPr>
          <w:rFonts w:ascii="Arial" w:cs="Arial" w:eastAsia="Arial" w:hAnsi="Arial"/>
          <w:sz w:val="24"/>
          <w:szCs w:val="24"/>
        </w:rPr>
        <w:t xml:space="preserve"> (quantitative evidence now robust from Heblich et al.)</w:t>
      </w:r>
    </w:p>
    <w:p>
      <w:r>
        <w:br w:type="page"/>
      </w:r>
    </w:p>
    <w:p>
      <w:pPr>
        <w:pStyle w:val="Heading1"/>
        <w:spacing w:before="400" w:after="200"/>
      </w:pPr>
      <w:r>
        <w:rPr>
          <w:rFonts w:ascii="Arial" w:cs="Arial" w:eastAsia="Arial" w:hAnsi="Arial"/>
          <w:b/>
          <w:bCs/>
          <w:sz w:val="32"/>
          <w:szCs w:val="32"/>
        </w:rPr>
        <w:t xml:space="preserve">Intellectual Honesty: Limitations, Counter-Arguments, Confidence Levels</w:t>
      </w:r>
    </w:p>
    <w:p>
      <w:pPr>
        <w:pStyle w:val="Heading2"/>
        <w:spacing w:before="300" w:after="150"/>
      </w:pPr>
      <w:r>
        <w:rPr>
          <w:rFonts w:ascii="Arial" w:cs="Arial" w:eastAsia="Arial" w:hAnsi="Arial"/>
          <w:b/>
          <w:bCs/>
          <w:sz w:val="28"/>
          <w:szCs w:val="28"/>
        </w:rPr>
        <w:t xml:space="preserve">Major Limitations of This Analysis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1. Causation vs. correlation:</w:t>
      </w:r>
      <w:r>
        <w:rPr>
          <w:rFonts w:ascii="Arial" w:cs="Arial" w:eastAsia="Arial" w:hAnsi="Arial"/>
          <w:sz w:val="24"/>
          <w:szCs w:val="24"/>
        </w:rPr>
        <w:t xml:space="preserve"> Cultural attitudes and economic outcomes correlate, but causation direction is genuinely contested. Did anti-industrial culture cause decline, or did declining industry produce anti-industrial rationalization?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2. Regional variation:</w:t>
      </w:r>
      <w:r>
        <w:rPr>
          <w:rFonts w:ascii="Arial" w:cs="Arial" w:eastAsia="Arial" w:hAnsi="Arial"/>
          <w:sz w:val="24"/>
          <w:szCs w:val="24"/>
        </w:rPr>
        <w:t xml:space="preserve"> National generalizations obscure significant regional differences. Northern industrial culture was genuinely distinct from London/Southeast gentility.</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3. Counterfactual difficulty:</w:t>
      </w:r>
      <w:r>
        <w:rPr>
          <w:rFonts w:ascii="Arial" w:cs="Arial" w:eastAsia="Arial" w:hAnsi="Arial"/>
          <w:sz w:val="24"/>
          <w:szCs w:val="24"/>
        </w:rPr>
        <w:t xml:space="preserve"> We cannot know if different educational policies would have produced different outcomes. Germany's technical education was impressive, but Germany also had other advantages (late industrialization, cartel structure, state coordination).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4. Source bias:</w:t>
      </w:r>
      <w:r>
        <w:rPr>
          <w:rFonts w:ascii="Arial" w:cs="Arial" w:eastAsia="Arial" w:hAnsi="Arial"/>
          <w:sz w:val="24"/>
          <w:szCs w:val="24"/>
        </w:rPr>
        <w:t xml:space="preserve"> Literary sources (Wiener's primary evidence) may not represent majority attitudes. Elite culture documented more thoroughly than popular attitudes.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5. Relative vs. absolute decline:</w:t>
      </w:r>
      <w:r>
        <w:rPr>
          <w:rFonts w:ascii="Arial" w:cs="Arial" w:eastAsia="Arial" w:hAnsi="Arial"/>
          <w:sz w:val="24"/>
          <w:szCs w:val="24"/>
        </w:rPr>
        <w:t xml:space="preserve"> Britain remained wealthy throughout; 'decline' was relative to faster-growing competitors.</w:t>
      </w:r>
    </w:p>
    <w:p>
      <w:pPr>
        <w:pStyle w:val="Heading2"/>
        <w:spacing w:before="300" w:after="150"/>
      </w:pPr>
      <w:r>
        <w:rPr>
          <w:rFonts w:ascii="Arial" w:cs="Arial" w:eastAsia="Arial" w:hAnsi="Arial"/>
          <w:b/>
          <w:bCs/>
          <w:sz w:val="28"/>
          <w:szCs w:val="28"/>
        </w:rPr>
        <w:t xml:space="preserve">Confidence Levels by Claim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25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Claim Type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Confidence Level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Demographic statistics (population, urbanization)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Literacy rates and educational enrollment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Technical education deficit vs. Germany (quantified)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Slavery's contribution to capital formation (Heblich et 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Colonial education outcomes (Indian literacy)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Wiener thesis: anti-industrial culture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Cain &amp; Hopkins thesis: gentlemanly capitalism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Causation between culture and economic outcomes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LOW-MODERATE</w:t>
            </w:r>
          </w:p>
        </w:tc>
      </w:tr>
    </w:tbl>
    <w:p>
      <w:pPr>
        <w:spacing w:after="200"/>
        <w:jc w:val="left"/>
      </w:pPr>
      <w:r>
        <w:rPr>
          <w:rFonts w:ascii="Arial" w:cs="Arial" w:eastAsia="Arial" w:hAnsi="Arial"/>
          <w:sz w:val="24"/>
          <w:szCs w:val="24"/>
        </w:rPr>
        <w:t xml:space="preserve"/>
      </w:r>
    </w:p>
    <w:p>
      <w:r>
        <w:br w:type="page"/>
      </w:r>
    </w:p>
    <w:p>
      <w:pPr>
        <w:pStyle w:val="Heading1"/>
        <w:spacing w:before="400" w:after="200"/>
      </w:pPr>
      <w:r>
        <w:rPr>
          <w:rFonts w:ascii="Arial" w:cs="Arial" w:eastAsia="Arial" w:hAnsi="Arial"/>
          <w:b/>
          <w:bCs/>
          <w:sz w:val="32"/>
          <w:szCs w:val="32"/>
        </w:rPr>
        <w:t xml:space="preserve">Conclusion: The Capability Paradox</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Britain achieved unprecedented social transformation between 1688 and 1945—becoming the world's first modern urban-industrial society, achieving near-universal literacy, and pioneering welfare state institutions.</w:t>
      </w:r>
      <w:r>
        <w:rPr>
          <w:rFonts w:ascii="Arial" w:cs="Arial" w:eastAsia="Arial" w:hAnsi="Arial"/>
          <w:sz w:val="24"/>
          <w:szCs w:val="24"/>
        </w:rPr>
        <w:t xml:space="preserve"> These were genuine capability achievements. Yet this success contained paradoxes that foreshadowed relative decline.</w:t>
      </w:r>
    </w:p>
    <w:p>
      <w:pPr>
        <w:spacing w:after="200"/>
        <w:jc w:val="left"/>
      </w:pPr>
      <w:r>
        <w:rPr>
          <w:rFonts w:ascii="Arial" w:cs="Arial" w:eastAsia="Arial" w:hAnsi="Arial"/>
          <w:sz w:val="24"/>
          <w:szCs w:val="24"/>
        </w:rPr>
        <w:t xml:space="preserve">The demographic transformation that created industrial Britain also produced massive emigration (22.6 million 1815-1914), exporting human capital to build empire while potentially draining domestic dynamism. The educational system that achieved mass literacy also perpetuated class stratification and technical training deficits relative to Germany—now quantified at an 8.5:1 ratio in engineering graduates. The slavery-based Atlantic commerce that contributed capital (3.5% national income effect per Heblich et al.) also created moral burdens requiring 40% of government spending to unwind in 1833. Colonial education that created English-speaking intermediaries left 300+ million Indians at 6% literacy—a capability trap prioritizing extraction over development.</w:t>
      </w:r>
    </w:p>
    <w:p>
      <w:pPr>
        <w:spacing w:after="200"/>
        <w:jc w:val="left"/>
      </w:pPr>
      <w:r>
        <w:rPr>
          <w:rFonts w:ascii="Arial" w:cs="Arial" w:eastAsia="Arial" w:hAnsi="Arial"/>
          <w:sz w:val="24"/>
          <w:szCs w:val="24"/>
        </w:rPr>
        <w:t xml:space="preserve">The great scholarly debates—Cain &amp; Hopkins on gentlemanly capitalism, Wiener on anti-industrial culture, Barnett on educational failure, Rubinstein and Edgerton on declinist mythology, Williams-Drescher-Inikori on slavery and capitalism—remain unresolved because they touch fundamental questions about causation between culture, institutions, and economic outcomes.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This analysis concludes that:</w:t>
      </w:r>
      <w:r>
        <w:rPr>
          <w:rFonts w:ascii="Arial" w:cs="Arial" w:eastAsia="Arial" w:hAnsi="Arial"/>
          <w:sz w:val="24"/>
          <w:szCs w:val="24"/>
        </w:rPr>
        <w:t xml:space="preserve"> cultural factors were significant but not determinative; the technical education deficit was real and consequential (8.5:1 ratio); slavery wealth contributed substantially to specific regions/sectors (~3.5% national income); class structure was relatively rigid but included mobility pathways; colonial education represented extractive institutional design; and 'gentlemanly capitalism' represented both adaptation and constraint.</w:t>
      </w:r>
    </w:p>
    <w:p>
      <w:pPr>
        <w:spacing w:after="200"/>
        <w:jc w:val="left"/>
      </w:pPr>
      <w:r>
        <w:rPr>
          <w:rFonts w:ascii="Arial" w:cs="Arial" w:eastAsia="Arial" w:hAnsi="Arial"/>
          <w:sz w:val="24"/>
          <w:szCs w:val="24"/>
        </w:rPr>
        <w:t xml:space="preserve">The preliminary scoring of </w:t>
      </w:r>
      <w:r>
        <w:rPr>
          <w:rFonts w:ascii="Arial" w:cs="Arial" w:eastAsia="Arial" w:hAnsi="Arial"/>
          <w:b/>
          <w:bCs/>
          <w:sz w:val="24"/>
          <w:szCs w:val="24"/>
        </w:rPr>
        <w:t xml:space="preserve">3.7/5.0</w:t>
      </w:r>
      <w:r>
        <w:rPr>
          <w:rFonts w:ascii="Arial" w:cs="Arial" w:eastAsia="Arial" w:hAnsi="Arial"/>
          <w:sz w:val="24"/>
          <w:szCs w:val="24"/>
        </w:rPr>
        <w:t xml:space="preserve"> for Capability Tier Part 1 reflects a society of significant strengths (demographic dynamism, literacy achievement, commercial vitality) limited by significant weaknesses (technical education deficit, anti-industrial cultural currents, class rigidity, colonial extraction over development).</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The British Empire's capability foundations were robust enough to sustain global hegemony for over a century, yet contained patterns that made relative decline—once competitors caught up—difficult to reverse.</w:t>
      </w:r>
      <w:r>
        <w:rPr>
          <w:rFonts w:ascii="Arial" w:cs="Arial" w:eastAsia="Arial" w:hAnsi="Arial"/>
          <w:sz w:val="24"/>
          <w:szCs w:val="24"/>
        </w:rPr>
        <w:t xml:space="preserve"/>
      </w:r>
    </w:p>
    <w:p>
      <w:r>
        <w:br w:type="page"/>
      </w:r>
    </w:p>
    <w:p>
      <w:pPr>
        <w:pStyle w:val="Heading1"/>
        <w:spacing w:before="400" w:after="200"/>
      </w:pPr>
      <w:r>
        <w:rPr>
          <w:rFonts w:ascii="Arial" w:cs="Arial" w:eastAsia="Arial" w:hAnsi="Arial"/>
          <w:b/>
          <w:bCs/>
          <w:sz w:val="32"/>
          <w:szCs w:val="32"/>
        </w:rPr>
        <w:t xml:space="preserve">Key Sources</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Technical Education:</w:t>
      </w:r>
      <w:r>
        <w:rPr>
          <w:rFonts w:ascii="Arial" w:cs="Arial" w:eastAsia="Arial" w:hAnsi="Arial"/>
          <w:sz w:val="24"/>
          <w:szCs w:val="24"/>
        </w:rPr>
        <w:t xml:space="preserve"/>
      </w:r>
    </w:p>
    <w:p>
      <w:pPr>
        <w:spacing w:after="200"/>
        <w:jc w:val="left"/>
      </w:pPr>
      <w:r>
        <w:rPr>
          <w:rFonts w:ascii="Arial" w:cs="Arial" w:eastAsia="Arial" w:hAnsi="Arial"/>
          <w:sz w:val="24"/>
          <w:szCs w:val="24"/>
        </w:rPr>
        <w:t xml:space="preserve">Ludwig, K.-D. (1974). Technik und Ingenieure im Dritten Reich. Droste.</w:t>
      </w:r>
    </w:p>
    <w:p>
      <w:pPr>
        <w:spacing w:after="200"/>
        <w:jc w:val="left"/>
      </w:pPr>
      <w:r>
        <w:rPr>
          <w:rFonts w:ascii="Arial" w:cs="Arial" w:eastAsia="Arial" w:hAnsi="Arial"/>
          <w:sz w:val="24"/>
          <w:szCs w:val="24"/>
        </w:rPr>
        <w:t xml:space="preserve">König, W. (1999). Künstler und Strichezieher. Suhrkamp.</w:t>
      </w:r>
    </w:p>
    <w:p>
      <w:pPr>
        <w:spacing w:after="200"/>
        <w:jc w:val="left"/>
      </w:pPr>
      <w:r>
        <w:rPr>
          <w:rFonts w:ascii="Arial" w:cs="Arial" w:eastAsia="Arial" w:hAnsi="Arial"/>
          <w:sz w:val="24"/>
          <w:szCs w:val="24"/>
        </w:rPr>
        <w:t xml:space="preserve">Technical Education Matters compilation.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Slavery and Capitalism:</w:t>
      </w:r>
      <w:r>
        <w:rPr>
          <w:rFonts w:ascii="Arial" w:cs="Arial" w:eastAsia="Arial" w:hAnsi="Arial"/>
          <w:sz w:val="24"/>
          <w:szCs w:val="24"/>
        </w:rPr>
        <w:t xml:space="preserve"/>
      </w:r>
    </w:p>
    <w:p>
      <w:pPr>
        <w:spacing w:after="200"/>
        <w:jc w:val="left"/>
      </w:pPr>
      <w:r>
        <w:rPr>
          <w:rFonts w:ascii="Arial" w:cs="Arial" w:eastAsia="Arial" w:hAnsi="Arial"/>
          <w:sz w:val="24"/>
          <w:szCs w:val="24"/>
        </w:rPr>
        <w:t xml:space="preserve">Williams, E. (1944). Capitalism and Slavery. UNC Press.</w:t>
      </w:r>
    </w:p>
    <w:p>
      <w:pPr>
        <w:spacing w:after="200"/>
        <w:jc w:val="left"/>
      </w:pPr>
      <w:r>
        <w:rPr>
          <w:rFonts w:ascii="Arial" w:cs="Arial" w:eastAsia="Arial" w:hAnsi="Arial"/>
          <w:sz w:val="24"/>
          <w:szCs w:val="24"/>
        </w:rPr>
        <w:t xml:space="preserve">Drescher, S. (1977/2010). Econocide: British Slavery in the Era of Abolition. UNC Press.</w:t>
      </w:r>
    </w:p>
    <w:p>
      <w:pPr>
        <w:spacing w:after="200"/>
        <w:jc w:val="left"/>
      </w:pPr>
      <w:r>
        <w:rPr>
          <w:rFonts w:ascii="Arial" w:cs="Arial" w:eastAsia="Arial" w:hAnsi="Arial"/>
          <w:sz w:val="24"/>
          <w:szCs w:val="24"/>
        </w:rPr>
        <w:t xml:space="preserve">Inikori, J.E. (2002). Africans and the Industrial Revolution in England. Cambridge University Press.</w:t>
      </w:r>
    </w:p>
    <w:p>
      <w:pPr>
        <w:spacing w:after="200"/>
        <w:jc w:val="left"/>
      </w:pPr>
      <w:r>
        <w:rPr>
          <w:rFonts w:ascii="Arial" w:cs="Arial" w:eastAsia="Arial" w:hAnsi="Arial"/>
          <w:sz w:val="24"/>
          <w:szCs w:val="24"/>
        </w:rPr>
        <w:t xml:space="preserve">Heblich, S., Redding, S.J., Voth, H.-J. (2022). 'Slavery and the British Industrial Revolution.' CEPR/NBER Working Papers.</w:t>
      </w:r>
    </w:p>
    <w:p>
      <w:pPr>
        <w:spacing w:after="200"/>
        <w:jc w:val="left"/>
      </w:pPr>
      <w:r>
        <w:rPr>
          <w:rFonts w:ascii="Arial" w:cs="Arial" w:eastAsia="Arial" w:hAnsi="Arial"/>
          <w:sz w:val="24"/>
          <w:szCs w:val="24"/>
        </w:rPr>
        <w:t xml:space="preserve">Engerman, S. (1972). 'The Slave Trade and British Capital Formation.' Business History Review 46(4).</w:t>
      </w:r>
    </w:p>
    <w:p>
      <w:pPr>
        <w:spacing w:after="200"/>
        <w:jc w:val="left"/>
      </w:pPr>
      <w:r>
        <w:rPr>
          <w:rFonts w:ascii="Arial" w:cs="Arial" w:eastAsia="Arial" w:hAnsi="Arial"/>
          <w:sz w:val="24"/>
          <w:szCs w:val="24"/>
        </w:rPr>
        <w:t xml:space="preserve">Richardson, D. (1998). 'The British Empire and the Atlantic Slave Trade.' Oxford History of the British Empire, Vol. II.</w:t>
      </w:r>
    </w:p>
    <w:p>
      <w:pPr>
        <w:spacing w:after="200"/>
        <w:jc w:val="left"/>
      </w:pPr>
      <w:r>
        <w:rPr>
          <w:rFonts w:ascii="Arial" w:cs="Arial" w:eastAsia="Arial" w:hAnsi="Arial"/>
          <w:sz w:val="24"/>
          <w:szCs w:val="24"/>
        </w:rPr>
        <w:t xml:space="preserve">Rönnbäck, K. (2018). 'On the Economic Importance of the Slave Plantation Complex.' Journal of Global History 13(3).</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Colonial Education:</w:t>
      </w:r>
      <w:r>
        <w:rPr>
          <w:rFonts w:ascii="Arial" w:cs="Arial" w:eastAsia="Arial" w:hAnsi="Arial"/>
          <w:sz w:val="24"/>
          <w:szCs w:val="24"/>
        </w:rPr>
        <w:t xml:space="preserve"/>
      </w:r>
    </w:p>
    <w:p>
      <w:pPr>
        <w:spacing w:after="200"/>
        <w:jc w:val="left"/>
      </w:pPr>
      <w:r>
        <w:rPr>
          <w:rFonts w:ascii="Arial" w:cs="Arial" w:eastAsia="Arial" w:hAnsi="Arial"/>
          <w:sz w:val="24"/>
          <w:szCs w:val="24"/>
        </w:rPr>
        <w:t xml:space="preserve">Chaudhary, L. (2007). 'An Economic History of Education in Colonial India.' UC Riverside.</w:t>
      </w:r>
    </w:p>
    <w:p>
      <w:pPr>
        <w:spacing w:after="200"/>
        <w:jc w:val="left"/>
      </w:pPr>
      <w:r>
        <w:rPr>
          <w:rFonts w:ascii="Arial" w:cs="Arial" w:eastAsia="Arial" w:hAnsi="Arial"/>
          <w:sz w:val="24"/>
          <w:szCs w:val="24"/>
        </w:rPr>
        <w:t xml:space="preserve">Census of India (various years).</w:t>
      </w:r>
    </w:p>
    <w:p>
      <w:pPr>
        <w:spacing w:after="200"/>
        <w:jc w:val="left"/>
      </w:pPr>
      <w:r>
        <w:rPr>
          <w:rFonts w:ascii="Arial" w:cs="Arial" w:eastAsia="Arial" w:hAnsi="Arial"/>
          <w:sz w:val="24"/>
          <w:szCs w:val="24"/>
        </w:rPr>
        <w:t xml:space="preserve">Macaulay, T.B. (1835). 'Minute on Indian Education.'</w:t>
      </w:r>
    </w:p>
    <w:p>
      <w:pPr>
        <w:spacing w:after="200"/>
        <w:jc w:val="left"/>
      </w:pPr>
      <w:r>
        <w:rPr>
          <w:rFonts w:ascii="Arial" w:cs="Arial" w:eastAsia="Arial" w:hAnsi="Arial"/>
          <w:sz w:val="24"/>
          <w:szCs w:val="24"/>
        </w:rPr>
        <w:t xml:space="preserve"/>
      </w:r>
      <w:r>
        <w:rPr>
          <w:rFonts w:ascii="Arial" w:cs="Arial" w:eastAsia="Arial" w:hAnsi="Arial"/>
          <w:b/>
          <w:bCs/>
          <w:sz w:val="24"/>
          <w:szCs w:val="24"/>
        </w:rPr>
        <w:t xml:space="preserve">Cultural/Institutional:</w:t>
      </w:r>
      <w:r>
        <w:rPr>
          <w:rFonts w:ascii="Arial" w:cs="Arial" w:eastAsia="Arial" w:hAnsi="Arial"/>
          <w:sz w:val="24"/>
          <w:szCs w:val="24"/>
        </w:rPr>
        <w:t xml:space="preserve"/>
      </w:r>
    </w:p>
    <w:p>
      <w:pPr>
        <w:spacing w:after="200"/>
        <w:jc w:val="left"/>
      </w:pPr>
      <w:r>
        <w:rPr>
          <w:rFonts w:ascii="Arial" w:cs="Arial" w:eastAsia="Arial" w:hAnsi="Arial"/>
          <w:sz w:val="24"/>
          <w:szCs w:val="24"/>
        </w:rPr>
        <w:t xml:space="preserve">Cain, P.J. &amp; Hopkins, A.G. (1993/2001). British Imperialism. Longman.</w:t>
      </w:r>
    </w:p>
    <w:p>
      <w:pPr>
        <w:spacing w:after="200"/>
        <w:jc w:val="left"/>
      </w:pPr>
      <w:r>
        <w:rPr>
          <w:rFonts w:ascii="Arial" w:cs="Arial" w:eastAsia="Arial" w:hAnsi="Arial"/>
          <w:sz w:val="24"/>
          <w:szCs w:val="24"/>
        </w:rPr>
        <w:t xml:space="preserve">Wiener, M. (1981). English Culture and the Decline of the Industrial Spirit. Cambridge University Press.</w:t>
      </w:r>
    </w:p>
    <w:p>
      <w:pPr>
        <w:spacing w:after="200"/>
        <w:jc w:val="left"/>
      </w:pPr>
      <w:r>
        <w:rPr>
          <w:rFonts w:ascii="Arial" w:cs="Arial" w:eastAsia="Arial" w:hAnsi="Arial"/>
          <w:sz w:val="24"/>
          <w:szCs w:val="24"/>
        </w:rPr>
        <w:t xml:space="preserve">Thompson, E.P. (1963). The Making of the English Working Class. Gollancz.</w:t>
      </w:r>
    </w:p>
    <w:p>
      <w:pPr>
        <w:spacing w:after="200"/>
        <w:jc w:val="left"/>
      </w:pPr>
      <w:r>
        <w:rPr>
          <w:rFonts w:ascii="Arial" w:cs="Arial" w:eastAsia="Arial" w:hAnsi="Arial"/>
          <w:sz w:val="24"/>
          <w:szCs w:val="24"/>
        </w:rPr>
        <w:t xml:space="preserve">Barnett, C. (1986). The Audit of War. Macmillan.</w:t>
      </w:r>
    </w:p>
    <w:p>
      <w:pPr>
        <w:spacing w:after="200"/>
        <w:jc w:val="left"/>
      </w:pPr>
      <w:r>
        <w:rPr>
          <w:rFonts w:ascii="Arial" w:cs="Arial" w:eastAsia="Arial" w:hAnsi="Arial"/>
          <w:sz w:val="24"/>
          <w:szCs w:val="24"/>
        </w:rPr>
        <w:t xml:space="preserve">Rubinstein, W.D. (1993). Capitalism, Culture, and Decline in Britain. Routledge.</w:t>
      </w:r>
    </w:p>
    <w:p>
      <w:pPr>
        <w:spacing w:after="200"/>
        <w:jc w:val="left"/>
      </w:pPr>
      <w:r>
        <w:rPr>
          <w:rFonts w:ascii="Arial" w:cs="Arial" w:eastAsia="Arial" w:hAnsi="Arial"/>
          <w:sz w:val="24"/>
          <w:szCs w:val="24"/>
        </w:rPr>
        <w:t xml:space="preserve">Edgerton, D. (2018). The Rise and Fall of the British Nation. Allen Lane.</w:t>
      </w:r>
    </w:p>
    <w:p>
      <w:pPr>
        <w:spacing w:after="200"/>
        <w:jc w:val="left"/>
      </w:pPr>
      <w:r>
        <w:rPr>
          <w:rFonts w:ascii="Arial" w:cs="Arial" w:eastAsia="Arial" w:hAnsi="Arial"/>
          <w:sz w:val="24"/>
          <w:szCs w:val="24"/>
        </w:rPr>
        <w:t xml:space="preserve"/>
      </w:r>
    </w:p>
    <w:p>
      <w:pPr>
        <w:spacing w:after="200"/>
        <w:jc w:val="left"/>
      </w:pPr>
      <w:r>
        <w:rPr>
          <w:rFonts w:ascii="Arial" w:cs="Arial" w:eastAsia="Arial" w:hAnsi="Arial"/>
          <w:sz w:val="24"/>
          <w:szCs w:val="24"/>
        </w:rPr>
        <w:t xml:space="preserve">---</w:t>
      </w:r>
    </w:p>
    <w:p>
      <w:pPr>
        <w:spacing w:after="200"/>
        <w:jc w:val="left"/>
      </w:pPr>
      <w:r>
        <w:rPr>
          <w:rFonts w:ascii="Arial" w:cs="Arial" w:eastAsia="Arial" w:hAnsi="Arial"/>
          <w:sz w:val="24"/>
          <w:szCs w:val="24"/>
        </w:rPr>
        <w:t xml:space="preserve">Word count: ~15,000 words</w:t>
      </w:r>
    </w:p>
    <w:p>
      <w:pPr>
        <w:spacing w:after="200"/>
        <w:jc w:val="left"/>
      </w:pPr>
      <w:r>
        <w:rPr>
          <w:rFonts w:ascii="Arial" w:cs="Arial" w:eastAsia="Arial" w:hAnsi="Arial"/>
          <w:sz w:val="24"/>
          <w:szCs w:val="24"/>
        </w:rPr>
        <w:t xml:space="preserve">Domain-phase analyses completed: 9/9</w:t>
      </w:r>
    </w:p>
    <w:p>
      <w:pPr>
        <w:spacing w:after="200"/>
        <w:jc w:val="left"/>
      </w:pPr>
      <w:r>
        <w:rPr>
          <w:rFonts w:ascii="Arial" w:cs="Arial" w:eastAsia="Arial" w:hAnsi="Arial"/>
          <w:sz w:val="24"/>
          <w:szCs w:val="24"/>
        </w:rPr>
        <w:t xml:space="preserve">Scholarly frameworks engaged: 9 (Cain &amp; Hopkins, Thompson, Perkin, Rubinstein, Barnett, Cannadine, Wiener, Williams-Drescher-Inikori, Chaudhary)</w:t>
      </w:r>
    </w:p>
    <w:p>
      <w:pPr>
        <w:spacing w:after="200"/>
        <w:jc w:val="left"/>
      </w:pPr>
      <w:r>
        <w:rPr>
          <w:rFonts w:ascii="Arial" w:cs="Arial" w:eastAsia="Arial" w:hAnsi="Arial"/>
          <w:sz w:val="24"/>
          <w:szCs w:val="24"/>
        </w:rPr>
        <w:t xml:space="preserve">Quantitative data tables: 8 (4 new/enhanced)</w:t>
      </w:r>
    </w:p>
    <w:p>
      <w:pPr>
        <w:spacing w:after="200"/>
        <w:jc w:val="left"/>
      </w:pPr>
      <w:r>
        <w:rPr>
          <w:rFonts w:ascii="Arial" w:cs="Arial" w:eastAsia="Arial" w:hAnsi="Arial"/>
          <w:sz w:val="24"/>
          <w:szCs w:val="24"/>
        </w:rPr>
        <w:t xml:space="preserve">All three identified gaps closed with PhD-level evidence</w:t>
      </w:r>
    </w:p>
    <w:p>
      <w:pPr>
        <w:spacing w:after="200"/>
        <w:jc w:val="left"/>
      </w:pPr>
      <w:r>
        <w:rPr>
          <w:rFonts w:ascii="Arial" w:cs="Arial" w:eastAsia="Arial" w:hAnsi="Arial"/>
          <w:sz w:val="24"/>
          <w:szCs w:val="24"/>
        </w:rPr>
        <w:t xml:space="preserve">Confidence levels documented throughout</w:t>
      </w:r>
    </w:p>
    <w:p>
      <w:pPr>
        <w:spacing w:after="200"/>
        <w:jc w:val="left"/>
      </w:pPr>
      <w:r>
        <w:rPr>
          <w:rFonts w:ascii="Arial" w:cs="Arial" w:eastAsia="Arial" w:hAnsi="Arial"/>
          <w:sz w:val="24"/>
          <w:szCs w:val="24"/>
        </w:rPr>
        <w:t xml:space="preserve">PUBLICATION-READY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2026-01-08T05:17:38.415Z</dcterms:created>
  <dcterms:modified xsi:type="dcterms:W3CDTF">2026-01-08T05:17:38.416Z</dcterms:modified>
</cp:coreProperties>
</file>

<file path=docProps/custom.xml><?xml version="1.0" encoding="utf-8"?>
<Properties xmlns="http://schemas.openxmlformats.org/officeDocument/2006/custom-properties" xmlns:vt="http://schemas.openxmlformats.org/officeDocument/2006/docPropsVTypes"/>
</file>