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Ottoman Empire (1299-1922 CE)</w:t>
      </w:r>
    </w:p>
    <w:p>
      <w:pPr>
        <w:spacing w:after="100"/>
        <w:jc w:val="center"/>
      </w:pPr>
      <w:r>
        <w:rPr>
          <w:i/>
          <w:iCs/>
          <w:color w:val="4a5568"/>
          <w:sz w:val="28"/>
          <w:szCs w:val="28"/>
        </w:rPr>
        <w:t xml:space="preserve">A Complex Adaptive Systems Analysis Using the Nine-Domain Framework</w:t>
      </w:r>
    </w:p>
    <w:p>
      <w:pPr>
        <w:spacing w:after="400"/>
        <w:jc w:val="center"/>
      </w:pPr>
      <w:r>
        <w:rPr>
          <w:color w:val="718096"/>
          <w:sz w:val="24"/>
          <w:szCs w:val="24"/>
        </w:rPr>
        <w:t xml:space="preserve">PhD-Level Historical Research for Infonomics Framework Validation</w:t>
      </w:r>
    </w:p>
    <w:p>
      <w:pPr>
        <w:spacing w:after="200"/>
        <w:jc w:val="center"/>
      </w:pPr>
      <w:r>
        <w:rPr>
          <w:color w:val="718096"/>
          <w:sz w:val="22"/>
          <w:szCs w:val="22"/>
        </w:rPr>
        <w:t xml:space="preserve">December 2025</w:t>
      </w:r>
    </w:p>
    <w:p>
      <w:r>
        <w:br w:type="page"/>
      </w:r>
    </w:p>
    <w:p>
      <w:pPr>
        <w:pStyle w:val="Heading1"/>
      </w:pPr>
      <w:r>
        <w:t xml:space="preserve">Executive Summary</w:t>
      </w:r>
    </w:p>
    <w:p>
      <w:pPr>
        <w:spacing w:after="200"/>
      </w:pPr>
      <w:r>
        <w:t xml:space="preserve">The Ottoman Empire represents a critical stress test for the Complex Adaptive Systems (CAS) framework, offering a fundamentally different institutional path that rivaled Western powers for over six centuries. Unlike empires that relied primarily on ethnic homogeneity or rigid bureaucratic structures, the Ottomans pioneered what historian Karen Barkey terms a "negotiated enterprise"—maintaining control through flexibility, tolerance, and the strategic management of diversity.</w:t>
      </w:r>
    </w:p>
    <w:p>
      <w:pPr>
        <w:spacing w:after="200"/>
      </w:pPr>
      <w:r>
        <w:t xml:space="preserve">This analysis examines Ottoman institutional evolution across three major phases: the Rise (1299-1453), the Classical Age Peak (1453-1566), and the extended Transformation and Decline (1566-1922). The Ottoman case is particularly valuable for the Infonomics framework because it demonstrates how information asymmetries, institutional innovation, and adaptive governance can sustain an empire across dramatically changing technological and economic environments.</w:t>
      </w:r>
    </w:p>
    <w:p>
      <w:pPr>
        <w:spacing w:after="200"/>
      </w:pPr>
      <w:r>
        <w:t xml:space="preserve">Key findings include: (1) The devşirme system created a meritocratic parallel to modern talent acquisition pipelines, demonstrating sophisticated human capital management; (2) The timar land-grant system functioned as an information-for-service exchange that prefigured modern franchise models; (3) The millet system pioneered federated governance structures that modern multinational corporations would later adopt; (4) The transition from timar to iltizam (tax farming) parallels corporate shifts from owned assets to licensed/contracted operations; (5) The capitulations system reveals how information and commercial sovereignty loss precedes political decline—directly validating the Infonomics thesis about data sovereignty.</w:t>
      </w:r>
    </w:p>
    <w:p>
      <w:pPr>
        <w:pStyle w:val="Heading2"/>
      </w:pPr>
      <w:r>
        <w:t xml:space="preserve">Nine-Domain CAS Scores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tblGrid>
      <w:tr>
        <w:trPr>
          <w:tblHeader/>
        </w:trPr>
        <w:tc>
          <w:tcPr>
            <w:tcW w:type="dxa" w:w="30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Domain</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Rise (1299-1453)</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Peak (1453-1566)</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Decline (1566-1922)</w:t>
            </w:r>
          </w:p>
        </w:tc>
      </w:tr>
      <w:tr>
        <w:tc>
          <w:tcPr>
            <w:tcW w:type="dxa" w:w="3000"/>
            <w:tcBorders>
              <w:top w:val="single" w:color="CCCCCC" w:sz="1"/>
              <w:left w:val="single" w:color="CCCCCC" w:sz="1"/>
              <w:bottom w:val="single" w:color="CCCCCC" w:sz="1"/>
              <w:right w:val="single" w:color="CCCCCC" w:sz="1"/>
            </w:tcBorders>
            <w:shd w:fill="f7fafc" w:val="clear"/>
          </w:tcPr>
          <w:p>
            <w:r>
              <w:rPr>
                <w:sz w:val="22"/>
                <w:szCs w:val="22"/>
              </w:rPr>
              <w:t xml:space="preserve">1. Governance/Political</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4.5</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2.5</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2. Legal/Institutional</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3.5</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4.5</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3.0</w:t>
            </w:r>
          </w:p>
        </w:tc>
      </w:tr>
      <w:tr>
        <w:tc>
          <w:tcPr>
            <w:tcW w:type="dxa" w:w="3000"/>
            <w:tcBorders>
              <w:top w:val="single" w:color="CCCCCC" w:sz="1"/>
              <w:left w:val="single" w:color="CCCCCC" w:sz="1"/>
              <w:bottom w:val="single" w:color="CCCCCC" w:sz="1"/>
              <w:right w:val="single" w:color="CCCCCC" w:sz="1"/>
            </w:tcBorders>
            <w:shd w:fill="f7fafc" w:val="clear"/>
          </w:tcPr>
          <w:p>
            <w:r>
              <w:rPr>
                <w:sz w:val="22"/>
                <w:szCs w:val="22"/>
              </w:rPr>
              <w:t xml:space="preserve">3. Economic/Fiscal</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2.0</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4. Military/Defense</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4.5</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4.5</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2.5</w:t>
            </w:r>
          </w:p>
        </w:tc>
      </w:tr>
      <w:tr>
        <w:tc>
          <w:tcPr>
            <w:tcW w:type="dxa" w:w="3000"/>
            <w:tcBorders>
              <w:top w:val="single" w:color="CCCCCC" w:sz="1"/>
              <w:left w:val="single" w:color="CCCCCC" w:sz="1"/>
              <w:bottom w:val="single" w:color="CCCCCC" w:sz="1"/>
              <w:right w:val="single" w:color="CCCCCC" w:sz="1"/>
            </w:tcBorders>
            <w:shd w:fill="f7fafc" w:val="clear"/>
          </w:tcPr>
          <w:p>
            <w:r>
              <w:rPr>
                <w:sz w:val="22"/>
                <w:szCs w:val="22"/>
              </w:rPr>
              <w:t xml:space="preserve">5. Technology/Innovation</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2.0</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6. Cultural/Ideological</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3.5</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2.5</w:t>
            </w:r>
          </w:p>
        </w:tc>
      </w:tr>
      <w:tr>
        <w:tc>
          <w:tcPr>
            <w:tcW w:type="dxa" w:w="3000"/>
            <w:tcBorders>
              <w:top w:val="single" w:color="CCCCCC" w:sz="1"/>
              <w:left w:val="single" w:color="CCCCCC" w:sz="1"/>
              <w:bottom w:val="single" w:color="CCCCCC" w:sz="1"/>
              <w:right w:val="single" w:color="CCCCCC" w:sz="1"/>
            </w:tcBorders>
            <w:shd w:fill="f7fafc" w:val="clear"/>
          </w:tcPr>
          <w:p>
            <w:r>
              <w:rPr>
                <w:sz w:val="22"/>
                <w:szCs w:val="22"/>
              </w:rPr>
              <w:t xml:space="preserve">7. Information/Communication</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2.0</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8. Social/Demographic</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3.5</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2.0</w:t>
            </w:r>
          </w:p>
        </w:tc>
      </w:tr>
      <w:tr>
        <w:tc>
          <w:tcPr>
            <w:tcW w:type="dxa" w:w="3000"/>
            <w:tcBorders>
              <w:top w:val="single" w:color="CCCCCC" w:sz="1"/>
              <w:left w:val="single" w:color="CCCCCC" w:sz="1"/>
              <w:bottom w:val="single" w:color="CCCCCC" w:sz="1"/>
              <w:right w:val="single" w:color="CCCCCC" w:sz="1"/>
            </w:tcBorders>
            <w:shd w:fill="f7fafc" w:val="clear"/>
          </w:tcPr>
          <w:p>
            <w:r>
              <w:rPr>
                <w:sz w:val="22"/>
                <w:szCs w:val="22"/>
              </w:rPr>
              <w:t xml:space="preserve">9. External Relations</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4.0</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4.5</w:t>
            </w:r>
          </w:p>
        </w:tc>
        <w:tc>
          <w:tcPr>
            <w:tcW w:type="dxa" w:w="1600"/>
            <w:tcBorders>
              <w:top w:val="single" w:color="CCCCCC" w:sz="1"/>
              <w:left w:val="single" w:color="CCCCCC" w:sz="1"/>
              <w:bottom w:val="single" w:color="CCCCCC" w:sz="1"/>
              <w:right w:val="single" w:color="CCCCCC" w:sz="1"/>
            </w:tcBorders>
            <w:shd w:fill="f7fafc" w:val="clear"/>
          </w:tcPr>
          <w:p>
            <w:pPr>
              <w:jc w:val="center"/>
            </w:pPr>
            <w:r>
              <w:rPr>
                <w:sz w:val="22"/>
                <w:szCs w:val="22"/>
              </w:rPr>
              <w:t xml:space="preserve">2.0</w:t>
            </w:r>
          </w:p>
        </w:tc>
      </w:tr>
      <w:tr>
        <w:tc>
          <w:tcPr>
            <w:tcW w:type="dxa" w:w="3000"/>
            <w:tcBorders>
              <w:top w:val="single" w:color="CCCCCC" w:sz="1"/>
              <w:left w:val="single" w:color="CCCCCC" w:sz="1"/>
              <w:bottom w:val="single" w:color="CCCCCC" w:sz="1"/>
              <w:right w:val="single" w:color="CCCCCC" w:sz="1"/>
            </w:tcBorders>
            <w:shd w:fill="e2e8f0" w:val="clear"/>
          </w:tcPr>
          <w:p>
            <w:r>
              <w:rPr>
                <w:b/>
                <w:bCs/>
                <w:sz w:val="22"/>
                <w:szCs w:val="22"/>
              </w:rPr>
              <w:t xml:space="preserve">COMPOSITE SCORE</w:t>
            </w:r>
          </w:p>
        </w:tc>
        <w:tc>
          <w:tcPr>
            <w:tcW w:type="dxa" w:w="1600"/>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3.89/5</w:t>
            </w:r>
          </w:p>
        </w:tc>
        <w:tc>
          <w:tcPr>
            <w:tcW w:type="dxa" w:w="1600"/>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4.22/5</w:t>
            </w:r>
          </w:p>
        </w:tc>
        <w:tc>
          <w:tcPr>
            <w:tcW w:type="dxa" w:w="1600"/>
            <w:tcBorders>
              <w:top w:val="single" w:color="CCCCCC" w:sz="1"/>
              <w:left w:val="single" w:color="CCCCCC" w:sz="1"/>
              <w:bottom w:val="single" w:color="CCCCCC" w:sz="1"/>
              <w:right w:val="single" w:color="CCCCCC" w:sz="1"/>
            </w:tcBorders>
            <w:shd w:fill="e2e8f0" w:val="clear"/>
          </w:tcPr>
          <w:p>
            <w:pPr>
              <w:jc w:val="center"/>
            </w:pPr>
            <w:r>
              <w:rPr>
                <w:b/>
                <w:bCs/>
                <w:sz w:val="22"/>
                <w:szCs w:val="22"/>
              </w:rPr>
              <w:t xml:space="preserve">2.28/5</w:t>
            </w:r>
          </w:p>
        </w:tc>
      </w:tr>
    </w:tbl>
    <w:p>
      <w:pPr>
        <w:spacing w:before="200" w:after="200"/>
      </w:pPr>
      <w:r>
        <w:rPr>
          <w:i/>
          <w:iCs/>
        </w:rPr>
        <w:t xml:space="preserve">Note: </w:t>
      </w:r>
      <w:r>
        <w:rPr>
          <w:i/>
          <w:iCs/>
        </w:rPr>
        <w:t xml:space="preserve">The Ottoman peak score of 4.22/5 exceeds both the Tang Dynasty (4.1/5) and Mongol Empire (3.56/5), reflecting the Ottomans' exceptional institutional sophistication at the height of their classical age. The dramatic decline to 2.28/5 reflects the extended transformation period's challenges.</w:t>
      </w:r>
    </w:p>
    <w:p>
      <w:r>
        <w:br w:type="page"/>
      </w:r>
    </w:p>
    <w:p>
      <w:pPr>
        <w:pStyle w:val="Heading1"/>
      </w:pPr>
      <w:r>
        <w:t xml:space="preserve">I. Historical Context and Periodization</w:t>
      </w:r>
    </w:p>
    <w:p>
      <w:pPr>
        <w:pStyle w:val="Heading2"/>
      </w:pPr>
      <w:r>
        <w:t xml:space="preserve">Origins and the Frontier Thesis</w:t>
      </w:r>
    </w:p>
    <w:p>
      <w:pPr>
        <w:spacing w:after="200"/>
      </w:pPr>
      <w:r>
        <w:t xml:space="preserve">The Ottoman Empire emerged circa 1299 from a small Turkic beylik (principality) in northwestern Anatolia, founded by Osman I. Unlike sedentary empires, the early Ottomans were frontier warriors (gazis) operating at the boundary between Byzantine Christianity and Seljuk Islam. This frontier position proved formative: the Ottomans developed a remarkable capacity to absorb diverse peoples, institutions, and technologies—a characteristic that would define their governance model for six centuries.</w:t>
      </w:r>
    </w:p>
    <w:p>
      <w:pPr>
        <w:spacing w:after="200"/>
      </w:pPr>
      <w:r>
        <w:t xml:space="preserve">The preeminent Ottoman historian Halil İnalcık (1916-2016) emphasized that Ottoman success derived not from rigid ideology but from pragmatic adaptation. In his foundational work </w:t>
      </w:r>
      <w:r>
        <w:rPr>
          <w:i/>
          <w:iCs/>
        </w:rPr>
        <w:t xml:space="preserve">The Ottoman Empire: The Classical Age 1300-1600</w:t>
      </w:r>
      <w:r>
        <w:t xml:space="preserve"> (1973), İnalcık demonstrated how Ottoman institutions systematically incorporated Byzantine administrative practices, Persian court culture, Islamic legal traditions, and Central Asian military techniques into a coherent governing framework.</w:t>
      </w:r>
    </w:p>
    <w:p>
      <w:pPr>
        <w:pStyle w:val="Heading2"/>
      </w:pPr>
      <w:r>
        <w:t xml:space="preserve">Phase Periodization</w:t>
      </w:r>
    </w:p>
    <w:p>
      <w:pPr>
        <w:spacing w:after="150"/>
      </w:pPr>
      <w:r>
        <w:rPr>
          <w:b/>
          <w:bCs/>
        </w:rPr>
        <w:t xml:space="preserve">Phase I: Rise and Emergence (1299-1453)</w:t>
      </w:r>
      <w:r>
        <w:t xml:space="preserve"> — From frontier beylik to transcontinental power, culminating in the conquest of Constantinople. Key developments include the establishment of the devşirme system, formation of the Janissary corps, and initial codification of the timar land-grant system.</w:t>
      </w:r>
    </w:p>
    <w:p>
      <w:pPr>
        <w:spacing w:after="150"/>
      </w:pPr>
      <w:r>
        <w:rPr>
          <w:b/>
          <w:bCs/>
        </w:rPr>
        <w:t xml:space="preserve">Phase II: Classical Age Peak (1453-1566)</w:t>
      </w:r>
      <w:r>
        <w:t xml:space="preserve"> — The Suleymanic golden age when Ottoman institutions reached their "peak of classical form" (İnalcık). Territorial expansion to 25+ million subjects, legal codification under Suleyman the Magnificent ("Kanuni" - the Lawgiver), architectural flowering under Mimar Sinan, and Mediterranean naval dominance.</w:t>
      </w:r>
    </w:p>
    <w:p>
      <w:pPr>
        <w:spacing w:after="150"/>
      </w:pPr>
      <w:r>
        <w:rPr>
          <w:b/>
          <w:bCs/>
        </w:rPr>
        <w:t xml:space="preserve">Phase III: Transformation Era (1566-1839)</w:t>
      </w:r>
      <w:r>
        <w:t xml:space="preserve"> — The post-Suleymanic period now understood by scholars as transformation rather than simple decline. Characterized by the shift from timar to iltizam (tax farming), the Celali rebellions, price revolution impacts, and evolving military technology. The empire adapted but at the cost of centralized control.</w:t>
      </w:r>
    </w:p>
    <w:p>
      <w:pPr>
        <w:spacing w:after="200"/>
      </w:pPr>
      <w:r>
        <w:rPr>
          <w:b/>
          <w:bCs/>
        </w:rPr>
        <w:t xml:space="preserve">Phase IV: Modernization and Collapse (1839-1922)</w:t>
      </w:r>
      <w:r>
        <w:t xml:space="preserve"> — The Tanzimat reform era, the Young Turk Revolution, World War I, and final dissolution. The capitulations system transformed from commercial convenience to sovereignty-eroding liability, directly paralleling modern concerns about data and technological sovereignty.</w:t>
      </w:r>
    </w:p>
    <w:p>
      <w:r>
        <w:br w:type="page"/>
      </w:r>
    </w:p>
    <w:p>
      <w:pPr>
        <w:pStyle w:val="Heading1"/>
      </w:pPr>
      <w:r>
        <w:t xml:space="preserve">II. Domain Analysis</w:t>
      </w:r>
    </w:p>
    <w:p>
      <w:pPr>
        <w:pStyle w:val="Heading2"/>
      </w:pPr>
      <w:r>
        <w:t xml:space="preserve">Domain 1: Governance/Political (Rise: 4.0 | Peak: 4.5 | Decline: 2.5)</w:t>
      </w:r>
    </w:p>
    <w:p>
      <w:pPr>
        <w:pStyle w:val="Heading3"/>
      </w:pPr>
      <w:r>
        <w:t xml:space="preserve">The Devşirme System: Meritocratic Human Capital Innovation</w:t>
      </w:r>
    </w:p>
    <w:p>
      <w:pPr>
        <w:spacing w:after="200"/>
      </w:pPr>
      <w:r>
        <w:t xml:space="preserve">The devşirme ("gathering" or child levy) represents one of history's most controversial yet effective human capital management systems. Initiated in the 14th century and operating until 1648, this system periodically collected Christian boys—primarily from the Balkans—one child per 40 households, every five years, with quotas of 1,000-3,000 youths per levy. These boys were converted to Islam, rigorously trained, and channeled into two tracks: the elite ichoghlani track producing statesmen, provincial governors, and Grand Viziers; and the military track populating the Janissary corps.</w:t>
      </w:r>
    </w:p>
    <w:p>
      <w:pPr>
        <w:spacing w:after="200"/>
      </w:pPr>
      <w:r>
        <w:t xml:space="preserve">The system's genius lay in creating a governing elite with no independent power base. As kuls ("slaves of the Porte"), these men owed everything to the Sultan. They could not legally own inheritable property, could not marry before age 40 (for Janissaries), and held positions at the Sultan's pleasure. This produced what modern management theorists would recognize as "aligned incentives"—the devşirme elite's interests were structurally bound to the Sultan's success.</w:t>
      </w:r>
    </w:p>
    <w:p>
      <w:pPr>
        <w:spacing w:after="200"/>
      </w:pPr>
      <w:r>
        <w:rPr>
          <w:b/>
          <w:bCs/>
        </w:rPr>
        <w:t xml:space="preserve">Corporate Parallel: </w:t>
      </w:r>
      <w:r>
        <w:t xml:space="preserve">The devşirme system parallels modern executive development programs where companies invest heavily in training future leaders, creating "golden handcuffs" through stock options, deferred compensation, and career progression that binds talent to organizational success. The controversial aspects—forced conversion, family separation—have no modern analog, but the structural insight about aligning elite interests with organizational outcomes remains valid.</w:t>
      </w:r>
    </w:p>
    <w:p>
      <w:pPr>
        <w:pStyle w:val="Heading3"/>
      </w:pPr>
      <w:r>
        <w:t xml:space="preserve">Governance Transformation: From Meritocracy to Hereditary Capture</w:t>
      </w:r>
    </w:p>
    <w:p>
      <w:pPr>
        <w:spacing w:after="200"/>
      </w:pPr>
      <w:r>
        <w:t xml:space="preserve">The devşirme's abolition in 1648 marked a critical governance inflection point. Thereafter, the Janissary corps became hereditary, admitting Muslims and the sons of existing Janissaries. This transformation parallels a common corporate pathology: the shift from merit-based advancement to "legacy" hiring and insider promotion. By the 18th century, Janissaries had become a politically powerful interest group whose loyalty was "conditional on the sultan serving them" rather than vice versa.</w:t>
      </w:r>
    </w:p>
    <w:p>
      <w:pPr>
        <w:spacing w:after="200"/>
      </w:pPr>
      <w:r>
        <w:t xml:space="preserve">Sultan Mahmud II's 1826 disbandment of the Janissaries (the "Auspicious Incident") demonstrated the difficulty of institutional reform once vested interests have captured key organizational nodes. The parallel to modern corporate "turnaround" situations—where entrenched management resists reform even as the organization declines—is striking.</w:t>
      </w:r>
    </w:p>
    <w:p>
      <w:r>
        <w:br w:type="page"/>
      </w:r>
    </w:p>
    <w:p>
      <w:pPr>
        <w:pStyle w:val="Heading2"/>
      </w:pPr>
      <w:r>
        <w:t xml:space="preserve">Domain 2: Legal/Institutional (Rise: 3.5 | Peak: 4.5 | Decline: 3.0)</w:t>
      </w:r>
    </w:p>
    <w:p>
      <w:pPr>
        <w:pStyle w:val="Heading3"/>
      </w:pPr>
      <w:r>
        <w:t xml:space="preserve">Dual Legal Architecture: Kanun and Sharia</w:t>
      </w:r>
    </w:p>
    <w:p>
      <w:pPr>
        <w:spacing w:after="200"/>
      </w:pPr>
      <w:r>
        <w:t xml:space="preserve">The Ottoman legal system achieved a remarkable synthesis of Islamic law (Sharia) with sultanic secular law (Kanun). Suleyman the Magnificent's legal codification—earning him the Turkish epithet "Kanuni" (the Lawgiver)—created a comprehensive legal framework governing taxation, land tenure, criminal matters, and social organization. The chief judicial official Ebussuud Efendi worked with Suleyman to harmonize Kanun with Sharia, ensuring religious legitimacy while preserving royal legislative authority.</w:t>
      </w:r>
    </w:p>
    <w:p>
      <w:pPr>
        <w:spacing w:after="200"/>
      </w:pPr>
      <w:r>
        <w:t xml:space="preserve">This dual system provided institutional flexibility: Sharia covered personal status, inheritance, and religious matters for Muslims, while Kanun addressed administrative, commercial, and criminal affairs. Non-Muslims operated under their own religious laws for internal community matters through the millet system, with Sharia applying only in cases involving Muslims.</w:t>
      </w:r>
    </w:p>
    <w:p>
      <w:pPr>
        <w:pStyle w:val="Heading3"/>
      </w:pPr>
      <w:r>
        <w:t xml:space="preserve">The Millet System: Federated Governance</w:t>
      </w:r>
    </w:p>
    <w:p>
      <w:pPr>
        <w:spacing w:after="200"/>
      </w:pPr>
      <w:r>
        <w:t xml:space="preserve">Current scholarship (notably Benjamin Braude and Bernard Lewis) has revised earlier assumptions that the millet system dated from Mehmed II's conquest. Systematic use of "millet" designation emerged primarily under Sultan Mahmud II (r. 1808-1839), with official documentation recognizing three millets: Greek Orthodox, Armenian, and Jewish. However, the underlying practice of allowing religious communities substantial self-governance was genuinely ancient.</w:t>
      </w:r>
    </w:p>
    <w:p>
      <w:pPr>
        <w:spacing w:after="200"/>
      </w:pPr>
      <w:r>
        <w:t xml:space="preserve">Millet heads (milletbaşı/Ethnarch) wielded absolute secular and ecclesiastical power over their communities, answerable only to the Sultan. The Greek Orthodox Patriarch held three tugs (horsetails) rank—equivalent to a provincial governor—maintained his own court and prison in Constantinople's Fener district, and exercised unlimited civil jurisdiction over Orthodox Christians. Communities operated their own courts following their own legal systems, collected their own taxes, and managed their own schools, hospitals, and welfare institutions.</w:t>
      </w:r>
    </w:p>
    <w:p>
      <w:pPr>
        <w:spacing w:after="200"/>
      </w:pPr>
      <w:r>
        <w:rPr>
          <w:b/>
          <w:bCs/>
        </w:rPr>
        <w:t xml:space="preserve">Corporate Parallel: </w:t>
      </w:r>
      <w:r>
        <w:t xml:space="preserve">The millet system pioneered what modern corporations call "federated governance"—allowing subsidiary units substantial autonomy in operations while maintaining central control over strategic matters (military service, foreign relations, ultimate judicial appeal). This parallels holding company structures where acquired entities retain their brands, management teams, and operational practices while submitting to parent company financial targets and strategic direction.</w:t>
      </w:r>
    </w:p>
    <w:p>
      <w:r>
        <w:br w:type="page"/>
      </w:r>
    </w:p>
    <w:p>
      <w:pPr>
        <w:pStyle w:val="Heading2"/>
      </w:pPr>
      <w:r>
        <w:t xml:space="preserve">Domain 3: Economic/Fiscal (Rise: 4.0 | Peak: 4.0 | Decline: 2.0)</w:t>
      </w:r>
    </w:p>
    <w:p>
      <w:pPr>
        <w:pStyle w:val="Heading3"/>
      </w:pPr>
      <w:r>
        <w:t xml:space="preserve">The Timar System: Information-for-Service Exchange</w:t>
      </w:r>
    </w:p>
    <w:p>
      <w:pPr>
        <w:spacing w:after="200"/>
      </w:pPr>
      <w:r>
        <w:t xml:space="preserve">The timar system represented a sophisticated fiscal-military arrangement that distributed revenue-generating land rights in exchange for military service. Critically, timars were NOT ownership grants—the Sultan owned all land. Timar holders (sipahis) received temporary, revocable rights to collect taxes from assigned lands, in exchange for providing cavalry and armed retainers proportional to their revenue. A typical formula: one retainer per 3,000 akçe income, with escalating equipment requirements at higher income thresholds.</w:t>
      </w:r>
    </w:p>
    <w:p>
      <w:pPr>
        <w:spacing w:after="200"/>
      </w:pPr>
      <w:r>
        <w:t xml:space="preserve">The system created approximately 40,000 sipahis by the early 16th century, forming the core of provincial cavalry that flanked the Janissary infantry at the Ottoman army's center. Inheritance was initially prohibited (merit-based grants only), though later permitted for capable sons. This created powerful incentives: competent military service secured continued income; poor performance meant revocation.</w:t>
      </w:r>
    </w:p>
    <w:p>
      <w:pPr>
        <w:spacing w:after="200"/>
      </w:pPr>
      <w:r>
        <w:rPr>
          <w:b/>
          <w:bCs/>
        </w:rPr>
        <w:t xml:space="preserve">Infonomics Insight: </w:t>
      </w:r>
      <w:r>
        <w:t xml:space="preserve">The timar system functioned as an information-for-service exchange. The Sultan's central administration possessed information about land productivity (from tahrir surveys), military needs, and individual performance. This information asymmetry was leveraged to create contingent contracts that aligned individual incentives with state objectives. The system's eventual breakdown under 16th-century inflation demonstrates what happens when underlying data (fixed akçe valuations) becomes disconnected from reality (actual commodity prices).</w:t>
      </w:r>
    </w:p>
    <w:p>
      <w:pPr>
        <w:pStyle w:val="Heading3"/>
      </w:pPr>
      <w:r>
        <w:t xml:space="preserve">The Iltizam Transition: From Ownership to Licensing</w:t>
      </w:r>
    </w:p>
    <w:p>
      <w:pPr>
        <w:spacing w:after="200"/>
      </w:pPr>
      <w:r>
        <w:t xml:space="preserve">The shift from timar to iltizam (tax farming) represents a fundamental transformation in Ottoman fiscal architecture. Under iltizam, the state auctioned taxation rights to the highest bidder (mültezim), who collected taxes and made fixed payments to the treasury while keeping the surplus. By the early 18th century, iltizam contracts accounted for 30-50% of the Sultan's revenues.</w:t>
      </w:r>
    </w:p>
    <w:p>
      <w:pPr>
        <w:spacing w:after="200"/>
      </w:pPr>
      <w:r>
        <w:t xml:space="preserve">The 16th-century "price revolution"—100%+ inflation driven by New World silver influx—rendered fixed timar revenues inadequate for purchasing military equipment. Prolonged wars (the Ottoman-Habsburg Long War 1593-1606, ongoing Safavid conflicts) required cash for gunpowder weapons and mercenary infantry, which the timar structure couldn't efficiently support.</w:t>
      </w:r>
    </w:p>
    <w:p>
      <w:pPr>
        <w:spacing w:after="200"/>
      </w:pPr>
      <w:r>
        <w:rPr>
          <w:b/>
          <w:bCs/>
        </w:rPr>
        <w:t xml:space="preserve">Corporate Parallel: </w:t>
      </w:r>
      <w:r>
        <w:t xml:space="preserve">The timar-to-iltizam shift parallels modern corporate transitions from owned assets to licensed/contracted operations. The malikane system (lifetime tax farms from 1695) further parallels franchise models—the state traded upfront capital for ongoing royalty streams, accepting loss of operational control in exchange for reduced administrative burden and immediate liquidity. However, as with modern franchise systems, this devolution eventually created powerful local interests that challenged central authority.</w:t>
      </w:r>
    </w:p>
    <w:p>
      <w:r>
        <w:br w:type="page"/>
      </w:r>
    </w:p>
    <w:p>
      <w:pPr>
        <w:pStyle w:val="Heading2"/>
      </w:pPr>
      <w:r>
        <w:t xml:space="preserve">Domain 4: Military/Defense (Rise: 4.5 | Peak: 4.5 | Decline: 2.5)</w:t>
      </w:r>
    </w:p>
    <w:p>
      <w:pPr>
        <w:pStyle w:val="Heading3"/>
      </w:pPr>
      <w:r>
        <w:t xml:space="preserve">The Janissary Corps: First Modern Standing Army</w:t>
      </w:r>
    </w:p>
    <w:p>
      <w:pPr>
        <w:spacing w:after="200"/>
      </w:pPr>
      <w:r>
        <w:t xml:space="preserve">The Janissaries (Yeni Çeri, "New Troops") constituted the first modern standing army with regular salaries, pensions, standardized equipment, and barracks-based organization. Under Murad II (r. 1421-1451), the Janissaries became the first infantry force to systematically adopt firearms. By the siege of Constantinople (1453), Ottoman forces deployed massive bombards capable of firing 500-kilogram stone balls—weapons that rendered medieval fortifications obsolete.</w:t>
      </w:r>
    </w:p>
    <w:p>
      <w:pPr>
        <w:spacing w:after="200"/>
      </w:pPr>
      <w:r>
        <w:t xml:space="preserve">Gábor Ágoston's definitive study </w:t>
      </w:r>
      <w:r>
        <w:rPr>
          <w:i/>
          <w:iCs/>
        </w:rPr>
        <w:t xml:space="preserve">Guns for the Sultan: Military Power and the Weapons Industry in the Ottoman Empire</w:t>
      </w:r>
      <w:r>
        <w:t xml:space="preserve"> (2005) challenges the Eurocentric narrative of Ottoman technological inferiority. Drawing on extensive Ottoman archival research, Ágoston demonstrates continued Ottoman flexibility in weapons adoption, Istanbul's self-sufficiency in arms production through the 18th century, and rough technological parity with European rivals. The Ottomans were a "first-tier" arms producer, not the "third-tier" power depicted in older scholarship.</w:t>
      </w:r>
    </w:p>
    <w:p>
      <w:pPr>
        <w:pStyle w:val="Heading3"/>
      </w:pPr>
      <w:r>
        <w:t xml:space="preserve">Military Transformation and the "Thirty Years War"</w:t>
      </w:r>
    </w:p>
    <w:p>
      <w:pPr>
        <w:spacing w:after="200"/>
      </w:pPr>
      <w:r>
        <w:t xml:space="preserve">The Ottoman "Thirty Years War" (1578-1611) against Safavids and Habsburgs drove fundamental military reorganization. Janissary numbers expanded from roughly 10,000 under Suleyman to over 50,000 by the early 17th century. The army shifted to approximately 50-60% musket infantry by the 1690s—proportions comparable to Habsburg forces. This was not decline but conscious adaptation to changing military requirements.</w:t>
      </w:r>
    </w:p>
    <w:p>
      <w:pPr>
        <w:spacing w:after="200"/>
      </w:pPr>
      <w:r>
        <w:t xml:space="preserve">However, the expansion created institutional problems. Recruitment rules relaxed, discipline eroded, and the Janissaries increasingly functioned as a political faction capable of making and unmaking sultans. The 1622 regicide of Osman II—murdered by Janissaries who opposed his reform attempts—demonstrated how military institutions can capture the states they were created to serve.</w:t>
      </w:r>
    </w:p>
    <w:p>
      <w:r>
        <w:br w:type="page"/>
      </w:r>
    </w:p>
    <w:p>
      <w:pPr>
        <w:pStyle w:val="Heading2"/>
      </w:pPr>
      <w:r>
        <w:t xml:space="preserve">Domain 5: Technology/Innovation (Rise: 4.0 | Peak: 4.0 | Decline: 2.0)</w:t>
      </w:r>
    </w:p>
    <w:p>
      <w:pPr>
        <w:pStyle w:val="Heading3"/>
      </w:pPr>
      <w:r>
        <w:t xml:space="preserve">The Gunpowder Revolution</w:t>
      </w:r>
    </w:p>
    <w:p>
      <w:pPr>
        <w:spacing w:after="200"/>
      </w:pPr>
      <w:r>
        <w:t xml:space="preserve">The Ottoman adoption and development of gunpowder technology exemplifies their capacity for absorbing and improving foreign innovations. The massive cannon used at Constantinople (1453) was designed by the Hungarian gunsmith Urban—first rejected by Byzantine Emperor Constantine XI for lack of funds, then engaged by Mehmed II at quadruple his asking price. The Ottomans rapidly built indigenous production capacity, with gunpowder factories (baruthaneler) throughout the empire producing standardized powder in quantities that amazed European observers.</w:t>
      </w:r>
    </w:p>
    <w:p>
      <w:pPr>
        <w:spacing w:after="200"/>
      </w:pPr>
      <w:r>
        <w:t xml:space="preserve">Ágoston's research reveals that the Ottomans maintained saltpeter and gunpowder production capabilities roughly equivalent to major European powers through the 17th century. The frequently cited "technological gap" emerged primarily in the 18th century, and even then was less dramatic than traditionally portrayed. Ottoman military technology remained "competitive in the regional context" far longer than decline narratives suggest.</w:t>
      </w:r>
    </w:p>
    <w:p>
      <w:pPr>
        <w:pStyle w:val="Heading3"/>
      </w:pPr>
      <w:r>
        <w:t xml:space="preserve">Architectural and Engineering Innovation</w:t>
      </w:r>
    </w:p>
    <w:p>
      <w:pPr>
        <w:spacing w:after="200"/>
      </w:pPr>
      <w:r>
        <w:t xml:space="preserve">The chief court architect (mimarbaşı) Mimar Sinan (1489-1588) represents Ottoman technological achievement at its apex. Credited with 300-500 buildings over a fifty-year career, Sinan's works—including the Süleymaniye Mosque (1550-57) and Selimiye Mosque (1568-74)—achieved engineering sophistication that rivaled contemporary European achievements. Ottoman hydraulic engineering, bridge construction, and urban infrastructure demonstrated sustained technical capacity well beyond the classical age.</w:t>
      </w:r>
    </w:p>
    <w:p>
      <w:pPr>
        <w:spacing w:after="200"/>
      </w:pPr>
      <w:r>
        <w:rPr>
          <w:b/>
          <w:bCs/>
        </w:rPr>
        <w:t xml:space="preserve">Infonomics Insight: </w:t>
      </w:r>
      <w:r>
        <w:t xml:space="preserve">The Ottoman case demonstrates that technological adoption is socially embedded. The empire successfully integrated gunpowder technology because it aligned with existing institutional structures (centralized military, state-funded production). Later technologies—particularly those requiring distributed private capital investment (railroads, telegraphy)—proved harder to integrate because they conflicted with Ottoman state-centric economic organization. Technology adoption depends on institutional fit, not just technical capability.</w:t>
      </w:r>
    </w:p>
    <w:p>
      <w:r>
        <w:br w:type="page"/>
      </w:r>
    </w:p>
    <w:p>
      <w:pPr>
        <w:pStyle w:val="Heading2"/>
      </w:pPr>
      <w:r>
        <w:t xml:space="preserve">Domain 6: Cultural/Ideological (Rise: 3.5 | Peak: 4.0 | Decline: 2.5)</w:t>
      </w:r>
    </w:p>
    <w:p>
      <w:pPr>
        <w:pStyle w:val="Heading3"/>
      </w:pPr>
      <w:r>
        <w:t xml:space="preserve">Cosmopolitan Synthesis</w:t>
      </w:r>
    </w:p>
    <w:p>
      <w:pPr>
        <w:spacing w:after="200"/>
      </w:pPr>
      <w:r>
        <w:t xml:space="preserve">The Ottoman cultural achievement lay in synthesis rather than originality. The court language (Ottoman Turkish) was itself a fusion: Turkish grammar carrying a vast Persian and Arabic vocabulary, written in Arabic script. Persian provided the vocabulary of poetry and administration; Arabic supplied religious and legal terminology; Turkish contributed the grammatical structure and everyday vocabulary. This linguistic synthesis reflected broader cultural integration.</w:t>
      </w:r>
    </w:p>
    <w:p>
      <w:pPr>
        <w:spacing w:after="200"/>
      </w:pPr>
      <w:r>
        <w:t xml:space="preserve">Constantinople after 1453 became what Philip Mansel calls the "city of the world's desire"—attracting Jewish refugees from Spain (post-1492), Greek and Armenian merchants, Italian traders, and diverse Muslim populations. The empire's cosmopolitan character was not merely tolerated but actively cultivated as a source of economic and cultural vitality.</w:t>
      </w:r>
    </w:p>
    <w:p>
      <w:pPr>
        <w:pStyle w:val="Heading3"/>
      </w:pPr>
      <w:r>
        <w:t xml:space="preserve">The Shift to Turkish Nationalism</w:t>
      </w:r>
    </w:p>
    <w:p>
      <w:pPr>
        <w:spacing w:after="200"/>
      </w:pPr>
      <w:r>
        <w:t xml:space="preserve">The late Ottoman shift from "Ottomanism" (multi-ethnic imperial identity) to Turkish nationalism represented a fundamental ideological transformation. The Young Turk movement initially embraced Ottomanism—"unity among the ethnic groups of the Ottoman Empire"—but the Balkan Wars (1912-13) and territorial losses discredited multi-cultural ideology. The Committee of Union and Progress (CUP) increasingly emphasized "Turkification," with ideologue Ziya Gökalp promoting "Turan"—the mythical Turkic homeland—as a replacement for Ottoman universalism.</w:t>
      </w:r>
    </w:p>
    <w:p>
      <w:pPr>
        <w:spacing w:after="200"/>
      </w:pPr>
      <w:r>
        <w:rPr>
          <w:b/>
          <w:bCs/>
        </w:rPr>
        <w:t xml:space="preserve">Corporate Parallel: </w:t>
      </w:r>
      <w:r>
        <w:t xml:space="preserve">The Ottomanism-to-nationalism shift parallels corporate identity crises during decline. Just as the Ottomans abandoned their successful cosmopolitan model for exclusionary nationalism, declining corporations often retreat to "core competencies" and shed successful diversified operations, ultimately accelerating rather than reversing decline. The abandonment of what made the organization successful in the first place often proves fatal.</w:t>
      </w:r>
    </w:p>
    <w:p>
      <w:r>
        <w:br w:type="page"/>
      </w:r>
    </w:p>
    <w:p>
      <w:pPr>
        <w:pStyle w:val="Heading2"/>
      </w:pPr>
      <w:r>
        <w:t xml:space="preserve">Domain 7: Information/Communication (Rise: 4.0 | Peak: 4.0 | Decline: 2.0)</w:t>
      </w:r>
    </w:p>
    <w:p>
      <w:pPr>
        <w:pStyle w:val="Heading3"/>
      </w:pPr>
      <w:r>
        <w:t xml:space="preserve">The Tahrir Survey System</w:t>
      </w:r>
    </w:p>
    <w:p>
      <w:pPr>
        <w:spacing w:after="200"/>
      </w:pPr>
      <w:r>
        <w:t xml:space="preserve">The tahrir defters (cadastral survey registers) represent a sophisticated information infrastructure for pre-modern governance. Initiated under Mehmed II, these periodic fiscal surveys enumerated taxable households, land revenues, and military obligations, providing the data foundation for the timar system. Surveys were updated every 10-30 years in conquered territories, creating what scholars call the "best documented pre-modern state in the world."</w:t>
      </w:r>
    </w:p>
    <w:p>
      <w:pPr>
        <w:spacing w:after="200"/>
      </w:pPr>
      <w:r>
        <w:t xml:space="preserve">However, the tahrir system had significant limitations. It focused on adult males in settled communities, excluding women, children, nomads, and certain religious minorities. It served fiscal rather than demographic purposes, creating structural undercounting. And as central authority waned in the 17th century, surveys became less frequent and comprehensive, replaced by more limited cizye defters (poll tax registers) for non-Muslims.</w:t>
      </w:r>
    </w:p>
    <w:p>
      <w:pPr>
        <w:pStyle w:val="Heading3"/>
      </w:pPr>
      <w:r>
        <w:t xml:space="preserve">Information Sovereignty and the Capitulations</w:t>
      </w:r>
    </w:p>
    <w:p>
      <w:pPr>
        <w:spacing w:after="200"/>
      </w:pPr>
      <w:r>
        <w:t xml:space="preserve">The capitulations system provides the most direct validation of the Infonomics thesis about information and commercial sovereignty preceding political decline. Initially, capitulations were voluntary grants made from a position of Ottoman strength—commercial privileges extended to encourage trade with European merchants. The first significant capitulation (France, c. 1535) granted French nationals extraterritorial legal rights, reduced customs duties, and consular jurisdiction.</w:t>
      </w:r>
    </w:p>
    <w:p>
      <w:pPr>
        <w:spacing w:after="200"/>
      </w:pPr>
      <w:r>
        <w:t xml:space="preserve">As the balance of power shifted, capitulations transformed from commercial conveniences into sovereignty-eroding liabilities. By the Treaty of Küçük Kaynarca (1774), Russia gained rights to intervene on behalf of Orthodox Christians throughout the empire. The 1838 Anglo-Ottoman Convention opened Ottoman markets to British manufactured goods at minimal tariffs while Ottoman exports faced European protectionism. Foreign merchants operated under their own laws, avoided Ottoman taxation, and answered to their own consuls—creating what modern observers would recognize as a "dual economy" with privileged foreign participants extracting value from a progressively impoverished domestic sector.</w:t>
      </w:r>
    </w:p>
    <w:p>
      <w:pPr>
        <w:spacing w:after="200"/>
      </w:pPr>
      <w:r>
        <w:rPr>
          <w:b/>
          <w:bCs/>
        </w:rPr>
        <w:t xml:space="preserve">Infonomics Insight: </w:t>
      </w:r>
      <w:r>
        <w:t xml:space="preserve">The capitulations demonstrate that loss of commercial and information sovereignty precedes and enables political decline. European powers first gained commercial privileges, then informational privileges (the right to represent and protect Ottoman subjects), then effective control over economic policy (via debt administration after 1881). This precisely parallels concerns about data sovereignty in the contemporary digital economy: commercial data privileges granted to platforms create structural dependencies that erode state and individual autonomy.</w:t>
      </w:r>
    </w:p>
    <w:p>
      <w:r>
        <w:br w:type="page"/>
      </w:r>
    </w:p>
    <w:p>
      <w:pPr>
        <w:pStyle w:val="Heading2"/>
      </w:pPr>
      <w:r>
        <w:t xml:space="preserve">Domain 8: Social/Demographic (Rise: 3.5 | Peak: 4.0 | Decline: 2.0)</w:t>
      </w:r>
    </w:p>
    <w:p>
      <w:pPr>
        <w:pStyle w:val="Heading3"/>
      </w:pPr>
      <w:r>
        <w:t xml:space="preserve">Population Dynamics</w:t>
      </w:r>
    </w:p>
    <w:p>
      <w:pPr>
        <w:spacing w:after="200"/>
      </w:pPr>
      <w:r>
        <w:t xml:space="preserve">Scholarly estimates based on tahrir defters place Ottoman population at approximately 11-12 million by mid-16th century, with around 5 million in European provinces and 4-5 million in Anatolia. By 1600, the empire's population reached approximately 30 million. The 17th and 18th centuries witnessed stagnation or localized declines attributed to endemic plagues, Little Ice Age agricultural disruptions, the Celali revolts, and prolonged warfare. Population recovered to 25-32 million by 1800.</w:t>
      </w:r>
    </w:p>
    <w:p>
      <w:pPr>
        <w:spacing w:after="200"/>
      </w:pPr>
      <w:r>
        <w:t xml:space="preserve">The Celali rebellions (1590-1610, with recurrences through 1659) precipitated profound social dislocations. Mass rural depopulation, village abandonment, and forced migrations transformed Anatolian demographics. Historians estimate 60,000 rebels and civilians killed during the pacification campaigns alone, with agricultural economies devastated for decades. Armenian refugee communities fled to Constantinople, Izmir, and other urban centers, fundamentally reshaping urban demographics.</w:t>
      </w:r>
    </w:p>
    <w:p>
      <w:pPr>
        <w:pStyle w:val="Heading3"/>
      </w:pPr>
      <w:r>
        <w:t xml:space="preserve">The Muhacir Crisis</w:t>
      </w:r>
    </w:p>
    <w:p>
      <w:pPr>
        <w:spacing w:after="200"/>
      </w:pPr>
      <w:r>
        <w:t xml:space="preserve">Between 1783 and 1913, approximately 5-7 million Muslim refugees flooded into Ottoman territory from lost Balkan and Caucasian provinces. These muhacir (refugees) created both demographic pressures and political tensions. The loss of artisans, merchants, and agriculturists from departing Christian populations, combined with the influx of impoverished refugees, disrupted local economies and exacerbated social tensions that would culminate in the catastrophic demographic engineering of World War I.</w:t>
      </w:r>
    </w:p>
    <w:p>
      <w:r>
        <w:br w:type="page"/>
      </w:r>
    </w:p>
    <w:p>
      <w:pPr>
        <w:pStyle w:val="Heading2"/>
      </w:pPr>
      <w:r>
        <w:t xml:space="preserve">Domain 9: External Relations/Diplomacy (Rise: 4.0 | Peak: 4.5 | Decline: 2.0)</w:t>
      </w:r>
    </w:p>
    <w:p>
      <w:pPr>
        <w:pStyle w:val="Heading3"/>
      </w:pPr>
      <w:r>
        <w:t xml:space="preserve">Strategic Position and Alliance Networks</w:t>
      </w:r>
    </w:p>
    <w:p>
      <w:pPr>
        <w:spacing w:after="200"/>
      </w:pPr>
      <w:r>
        <w:t xml:space="preserve">The Franco-Ottoman Alliance (c. 1536) represented a revolutionary break with Christian solidarity against Islam, driven by mutual opposition to Habsburg power. This "impious alliance" (as critics called it) demonstrated Ottoman diplomatic sophistication in exploiting European divisions. The 1740 Ottoman-French Treaty marked the apogee of French influence in the empire, with France dominating Levant trade and transportation between Ottoman ports.</w:t>
      </w:r>
    </w:p>
    <w:p>
      <w:pPr>
        <w:spacing w:after="200"/>
      </w:pPr>
      <w:r>
        <w:t xml:space="preserve">Ottoman diplomatic structure was unconventional by European standards. Until Selim III (1789-1807), the empire maintained no permanent ambassadors abroad—a conscious choice reflecting Ottoman self-perception as the supreme world power to whom supplicants came rather than a peer among equals requiring reciprocal representation. This asymmetry became increasingly costly as European diplomatic networks developed sophisticated intelligence-gathering and influence operations that Ottoman isolation prevented them from matching.</w:t>
      </w:r>
    </w:p>
    <w:p>
      <w:pPr>
        <w:pStyle w:val="Heading3"/>
      </w:pPr>
      <w:r>
        <w:t xml:space="preserve">The Eastern Question</w:t>
      </w:r>
    </w:p>
    <w:p>
      <w:pPr>
        <w:spacing w:after="200"/>
      </w:pPr>
      <w:r>
        <w:t xml:space="preserve">Throughout the 19th century, Ottoman external relations were dominated by the "Eastern Question"—the question among great powers of how to manage the receding empire. Britain, France, Russia, and Austria-Hungary competed for influence, with Britain generally supporting Ottoman territorial integrity to block Russian access to the Mediterranean, while Russia championed Slavic and Orthodox populations as pretexts for intervention.</w:t>
      </w:r>
    </w:p>
    <w:p>
      <w:pPr>
        <w:spacing w:after="200"/>
      </w:pPr>
      <w:r>
        <w:t xml:space="preserve">The empire's entry into World War I on the German side proved catastrophic. The Armistice of Mudros (October 30, 1918) mandated immediate demobilization, surrender of garrisons, and Allied access to strategic points. The Treaty of Sèvres (1920) proposed formal partition, though Turkish nationalist forces under Mustafa Kemal rejected these terms. The Treaty of Lausanne (1923) established modern Turkey's borders and—significantly—abolished the capitulations system, restoring the sovereignty that had been incrementally surrendered over four centuries.</w:t>
      </w:r>
    </w:p>
    <w:p>
      <w:r>
        <w:br w:type="page"/>
      </w:r>
    </w:p>
    <w:p>
      <w:pPr>
        <w:pStyle w:val="Heading1"/>
      </w:pPr>
      <w:r>
        <w:t xml:space="preserve">III. Cross-Empire Pattern Analysis</w:t>
      </w:r>
    </w:p>
    <w:p>
      <w:pPr>
        <w:pStyle w:val="Heading2"/>
      </w:pPr>
      <w:r>
        <w:t xml:space="preserve">Comparative Institutional Analysis</w:t>
      </w:r>
    </w:p>
    <w:p>
      <w:pPr>
        <w:pStyle w:val="Heading3"/>
      </w:pPr>
      <w:r>
        <w:t xml:space="preserve">Human Capital Systems Comparison</w:t>
      </w:r>
    </w:p>
    <w:p>
      <w:pPr>
        <w:spacing w:after="200"/>
      </w:pPr>
      <w:r>
        <w:rPr>
          <w:b/>
          <w:bCs/>
        </w:rPr>
        <w:t xml:space="preserve">Ottoman Devşirme vs. Tang Examination System: </w:t>
      </w:r>
      <w:r>
        <w:t xml:space="preserve">Both systems created meritocratic paths to power that bypassed hereditary aristocracy. The Tang examination system selected for literary/administrative competence through standardized testing; the devşirme selected for military and administrative potential through observed performance during training. Both created "new men" loyal to the central state rather than to traditional power structures. Both eventually succumbed to hereditary capture—examination degrees became effectively inheritable in late Tang; Janissary positions became hereditary post-1648.</w:t>
      </w:r>
    </w:p>
    <w:p>
      <w:pPr>
        <w:spacing w:after="200"/>
      </w:pPr>
      <w:r>
        <w:rPr>
          <w:b/>
          <w:bCs/>
        </w:rPr>
        <w:t xml:space="preserve">Ottoman Devşirme vs. Mongol Meritocracy: </w:t>
      </w:r>
      <w:r>
        <w:t xml:space="preserve">The Mongol Empire's openness to talent regardless of origin (exemplified by the yam postal system's cosmopolitan staffing) parallels devşirme's religious-conversion meritocracy. However, the Mongols never institutionalized their talent selection as systematically as the Ottomans. The devşirme's 250-year operational period (c. 1380s-1648) exceeded any comparable Mongol institution.</w:t>
      </w:r>
    </w:p>
    <w:p>
      <w:pPr>
        <w:pStyle w:val="Heading3"/>
      </w:pPr>
      <w:r>
        <w:t xml:space="preserve">Fiscal System Evolution</w:t>
      </w:r>
    </w:p>
    <w:p>
      <w:pPr>
        <w:spacing w:after="200"/>
      </w:pPr>
      <w:r>
        <w:rPr>
          <w:b/>
          <w:bCs/>
        </w:rPr>
        <w:t xml:space="preserve">Ottoman Timar → Iltizam vs. Tang Equal-Field → Two-Tax: </w:t>
      </w:r>
      <w:r>
        <w:t xml:space="preserve">Both empires experienced similar fiscal trajectories. The Tang equal-field system (land grants tied to state service) parallels the Ottoman timar system; both broke down under population pressure and administrative degradation, replaced by cash-based systems (Tang two-tax system, Ottoman iltizam) that provided revenue but at the cost of centralized control. This pattern—from service-tied land grants to monetized taxation—appears structurally driven by the challenges of governing large pre-modern states.</w:t>
      </w:r>
    </w:p>
    <w:p>
      <w:pPr>
        <w:pStyle w:val="Heading3"/>
      </w:pPr>
      <w:r>
        <w:t xml:space="preserve">Information Sovereignty Patterns</w:t>
      </w:r>
    </w:p>
    <w:p>
      <w:pPr>
        <w:spacing w:after="200"/>
      </w:pPr>
      <w:r>
        <w:rPr>
          <w:b/>
          <w:bCs/>
        </w:rPr>
        <w:t xml:space="preserve">Ottoman Capitulations vs. Byzantine Commercial Concessions: </w:t>
      </w:r>
      <w:r>
        <w:t xml:space="preserve">The Byzantine Empire's loss of commercial sovereignty to Italian merchant republics (particularly Venetian and Genoese concessions) preceded Ottoman conquest by approximately 100 years—validating the Infonomics thesis that economic/information sovereignty loss anticipates political decline. The Ottoman repetition of this pattern with European capitulations suggests a structural vulnerability in empires that grant commercial privileges without maintaining capacity to revoke them.</w:t>
      </w:r>
    </w:p>
    <w:p>
      <w:r>
        <w:br w:type="page"/>
      </w:r>
    </w:p>
    <w:p>
      <w:pPr>
        <w:pStyle w:val="Heading1"/>
      </w:pPr>
      <w:r>
        <w:t xml:space="preserve">IV. Conclusions and Infonomics Implications</w:t>
      </w:r>
    </w:p>
    <w:p>
      <w:pPr>
        <w:pStyle w:val="Heading2"/>
      </w:pPr>
      <w:r>
        <w:t xml:space="preserve">Key Findings</w:t>
      </w:r>
    </w:p>
    <w:p>
      <w:pPr>
        <w:spacing w:after="200"/>
      </w:pPr>
      <w:r>
        <w:rPr>
          <w:b/>
          <w:bCs/>
        </w:rPr>
        <w:t xml:space="preserve">1. Institutional Sophistication: </w:t>
      </w:r>
      <w:r>
        <w:t xml:space="preserve">The Ottoman peak CAS score of 4.22/5 reflects genuine institutional achievement. The devşirme, timar, and millet systems represented innovative solutions to governance challenges that modern organizations still face. The empire's six-century duration—longer than any European state except the papacy—demonstrates the effectiveness of "negotiated enterprise" as a governing philosophy.</w:t>
      </w:r>
    </w:p>
    <w:p>
      <w:pPr>
        <w:spacing w:after="200"/>
      </w:pPr>
      <w:r>
        <w:rPr>
          <w:b/>
          <w:bCs/>
        </w:rPr>
        <w:t xml:space="preserve">2. Transformation vs. Decline: </w:t>
      </w:r>
      <w:r>
        <w:t xml:space="preserve">Contemporary scholarship's rejection of the simple "decline" narrative is validated by this analysis. The post-Suleymanic period involved genuine transformation—from timar to iltizam, from devşirme to hereditary recruitment, from expansion to consolidation. These adaptations kept the empire functional for centuries but at cumulative cost to centralized control and institutional coherence.</w:t>
      </w:r>
    </w:p>
    <w:p>
      <w:pPr>
        <w:spacing w:after="200"/>
      </w:pPr>
      <w:r>
        <w:rPr>
          <w:b/>
          <w:bCs/>
        </w:rPr>
        <w:t xml:space="preserve">3. Information Sovereignty Thesis Validation: </w:t>
      </w:r>
      <w:r>
        <w:t xml:space="preserve">The capitulations system provides the clearest historical validation of the Infonomics framework's core claim: that loss of information and commercial sovereignty precedes political decline. The trajectory from commercial convenience (1535) through economic dependency (1838) to formal partition proposals (1920) demonstrates how incrementally granted privileges compound into structural subjugation.</w:t>
      </w:r>
    </w:p>
    <w:p>
      <w:pPr>
        <w:spacing w:after="200"/>
      </w:pPr>
      <w:r>
        <w:rPr>
          <w:b/>
          <w:bCs/>
        </w:rPr>
        <w:t xml:space="preserve">4. Meritocracy → Capture Pattern: </w:t>
      </w:r>
      <w:r>
        <w:t xml:space="preserve">The devşirme system's transformation from meritocratic institution to hereditary interest group exemplifies a pattern visible across empires and modern organizations: successful systems create beneficiaries who then capture and ossify those systems, ultimately undermining the original purpose. The Janissary transformation from elite guard to political faction parallels union capture, regulatory capture, and other forms of institutional sclerosis.</w:t>
      </w:r>
    </w:p>
    <w:p>
      <w:pPr>
        <w:pStyle w:val="Heading2"/>
      </w:pPr>
      <w:r>
        <w:t xml:space="preserve">Scholarly Citations and Further Reading</w:t>
      </w:r>
    </w:p>
    <w:p>
      <w:pPr>
        <w:spacing w:after="100"/>
      </w:pPr>
      <w:r>
        <w:rPr>
          <w:i/>
          <w:iCs/>
        </w:rPr>
        <w:t xml:space="preserve">Ágoston, Gábor. </w:t>
      </w:r>
      <w:r>
        <w:t xml:space="preserve">Guns for the Sultan: Military Power and the Weapons Industry in the Ottoman Empire</w:t>
      </w:r>
      <w:r>
        <w:rPr>
          <w:i/>
          <w:iCs/>
        </w:rPr>
        <w:t xml:space="preserve">. Cambridge University Press, 2005.</w:t>
      </w:r>
    </w:p>
    <w:p>
      <w:pPr>
        <w:spacing w:after="100"/>
      </w:pPr>
      <w:r>
        <w:rPr>
          <w:i/>
          <w:iCs/>
        </w:rPr>
        <w:t xml:space="preserve">Barkey, Karen. </w:t>
      </w:r>
      <w:r>
        <w:t xml:space="preserve">Empire of Difference: The Ottomans in Comparative Perspective</w:t>
      </w:r>
      <w:r>
        <w:rPr>
          <w:i/>
          <w:iCs/>
        </w:rPr>
        <w:t xml:space="preserve">. Cambridge University Press, 2008.</w:t>
      </w:r>
    </w:p>
    <w:p>
      <w:pPr>
        <w:spacing w:after="100"/>
      </w:pPr>
      <w:r>
        <w:rPr>
          <w:i/>
          <w:iCs/>
        </w:rPr>
        <w:t xml:space="preserve">İnalcık, Halil. </w:t>
      </w:r>
      <w:r>
        <w:t xml:space="preserve">The Ottoman Empire: The Classical Age 1300-1600</w:t>
      </w:r>
      <w:r>
        <w:rPr>
          <w:i/>
          <w:iCs/>
        </w:rPr>
        <w:t xml:space="preserve">. Weidenfeld &amp; Nicolson, 1973.</w:t>
      </w:r>
    </w:p>
    <w:p>
      <w:pPr>
        <w:spacing w:after="100"/>
      </w:pPr>
      <w:r>
        <w:rPr>
          <w:i/>
          <w:iCs/>
        </w:rPr>
        <w:t xml:space="preserve">İnalcık, Halil and Donald Quataert, eds. </w:t>
      </w:r>
      <w:r>
        <w:t xml:space="preserve">An Economic and Social History of the Ottoman Empire, 1300-1914</w:t>
      </w:r>
      <w:r>
        <w:rPr>
          <w:i/>
          <w:iCs/>
        </w:rPr>
        <w:t xml:space="preserve">. Cambridge University Press, 1994.</w:t>
      </w:r>
    </w:p>
    <w:p>
      <w:pPr>
        <w:spacing w:after="100"/>
      </w:pPr>
      <w:r>
        <w:rPr>
          <w:i/>
          <w:iCs/>
        </w:rPr>
        <w:t xml:space="preserve">Özel, Oktay. </w:t>
      </w:r>
      <w:r>
        <w:t xml:space="preserve">"Population Changes in Ottoman Anatolia during the 16th and 17th Centuries: The 'Demographic Crisis' Reconsidered."</w:t>
      </w:r>
      <w:r>
        <w:rPr>
          <w:i/>
          <w:iCs/>
        </w:rPr>
        <w:t xml:space="preserve"> International Journal of Middle East Studies 36 (2004): 183-205.</w:t>
      </w:r>
    </w:p>
    <w:p>
      <w:pPr>
        <w:spacing w:after="100"/>
      </w:pPr>
      <w:r>
        <w:rPr>
          <w:i/>
          <w:iCs/>
        </w:rPr>
        <w:t xml:space="preserve">Pamuk, Şevket. </w:t>
      </w:r>
      <w:r>
        <w:t xml:space="preserve">A Monetary History of the Ottoman Empire</w:t>
      </w:r>
      <w:r>
        <w:rPr>
          <w:i/>
          <w:iCs/>
        </w:rPr>
        <w:t xml:space="preserve">. Cambridge University Press, 2000.</w:t>
      </w:r>
    </w:p>
    <w:p>
      <w:pPr>
        <w:spacing w:after="100"/>
      </w:pPr>
      <w:r>
        <w:rPr>
          <w:i/>
          <w:iCs/>
        </w:rPr>
        <w:t xml:space="preserve">White, Sam. </w:t>
      </w:r>
      <w:r>
        <w:t xml:space="preserve">The Climate of Rebellion in the Early Modern Ottoman Empire</w:t>
      </w:r>
      <w:r>
        <w:rPr>
          <w:i/>
          <w:iCs/>
        </w:rPr>
        <w:t xml:space="preserve">. Cambridge University Press, 2011.</w:t>
      </w:r>
    </w:p>
    <w:p>
      <w:pPr>
        <w:spacing w:after="400"/>
      </w:pPr>
      <w:r>
        <w:rPr>
          <w:color w:val="CCCCCC"/>
        </w:rPr>
        <w:t xml:space="preserve">---</w:t>
      </w:r>
    </w:p>
    <w:p>
      <w:pPr>
        <w:spacing w:after="200"/>
        <w:jc w:val="center"/>
      </w:pPr>
      <w:r>
        <w:rPr>
          <w:i/>
          <w:iCs/>
          <w:color w:val="666666"/>
          <w:sz w:val="20"/>
          <w:szCs w:val="20"/>
        </w:rPr>
        <w:t xml:space="preserve">Document prepared for the Infonomics Framework Empire Knowledge Base</w:t>
      </w:r>
    </w:p>
    <w:p>
      <w:pPr>
        <w:jc w:val="center"/>
      </w:pPr>
      <w:r>
        <w:rPr>
          <w:i/>
          <w:iCs/>
          <w:color w:val="666666"/>
          <w:sz w:val="20"/>
          <w:szCs w:val="20"/>
        </w:rPr>
        <w:t xml:space="preserve">Fourth in chronological series: Tang Dynasty → Byzantine Empire → Mongol Empire → Ottoman Empire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Ottoman Empire: Complex Adaptive Systems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2025-12-26T05:54:21.522Z</dcterms:created>
  <dcterms:modified xsi:type="dcterms:W3CDTF">2025-12-26T05:54:21.523Z</dcterms:modified>
</cp:coreProperties>
</file>

<file path=docProps/custom.xml><?xml version="1.0" encoding="utf-8"?>
<Properties xmlns="http://schemas.openxmlformats.org/officeDocument/2006/custom-properties" xmlns:vt="http://schemas.openxmlformats.org/officeDocument/2006/docPropsVTypes"/>
</file>