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OTTOMAN EMPIRE</w:t>
      </w:r>
    </w:p>
    <w:p>
      <w:pPr>
        <w:spacing w:after="100"/>
        <w:jc w:val="center"/>
      </w:pPr>
      <w:r>
        <w:rPr>
          <w:color w:val="333333"/>
          <w:sz w:val="36"/>
          <w:szCs w:val="36"/>
        </w:rPr>
        <w:t xml:space="preserve">A Complex Adaptive Systems Analysis</w:t>
      </w:r>
    </w:p>
    <w:p>
      <w:pPr>
        <w:spacing w:after="400"/>
        <w:jc w:val="center"/>
      </w:pPr>
      <w:r>
        <w:rPr>
          <w:b/>
          <w:bCs/>
          <w:color w:val="1a1a2e"/>
          <w:sz w:val="32"/>
          <w:szCs w:val="32"/>
        </w:rPr>
        <w:t xml:space="preserve">SESSION 2: CAPABILITY TIER DOMAINS</w:t>
      </w:r>
    </w:p>
    <w:p>
      <w:pPr>
        <w:spacing w:after="100"/>
        <w:jc w:val="center"/>
      </w:pPr>
      <w:r>
        <w:rPr>
          <w:color w:val="555555"/>
          <w:sz w:val="22"/>
          <w:szCs w:val="22"/>
        </w:rPr>
        <w:t xml:space="preserve">Social/Class Structure • Educational/Knowledge Systems • Cultural/Ideological</w:t>
      </w:r>
    </w:p>
    <w:p>
      <w:pPr>
        <w:spacing w:after="100"/>
        <w:jc w:val="center"/>
      </w:pPr>
      <w:r>
        <w:rPr>
          <w:color w:val="555555"/>
          <w:sz w:val="22"/>
          <w:szCs w:val="22"/>
        </w:rPr>
        <w:t xml:space="preserve">Technological/Innovation • Demographic Capacity</w:t>
      </w:r>
    </w:p>
    <w:p>
      <w:pPr>
        <w:spacing w:after="300"/>
        <w:jc w:val="center"/>
      </w:pPr>
      <w:r>
        <w:rPr>
          <w:i/>
          <w:iCs/>
          <w:color w:val="666666"/>
          <w:sz w:val="22"/>
          <w:szCs w:val="22"/>
        </w:rPr>
        <w:t xml:space="preserve">Infonomics Project — PhD-Level Historical Research</w:t>
      </w:r>
    </w:p>
    <w:p>
      <w:pPr>
        <w:jc w:val="center"/>
      </w:pPr>
      <w:r>
        <w:rPr>
          <w:color w:val="666666"/>
          <w:sz w:val="22"/>
          <w:szCs w:val="22"/>
        </w:rPr>
        <w:t xml:space="preserve">December 2025</w:t>
      </w:r>
    </w:p>
    <w:p>
      <w:r>
        <w:br w:type="page"/>
      </w:r>
    </w:p>
    <w:p>
      <w:pPr>
        <w:pStyle w:val="Heading1"/>
      </w:pPr>
      <w:r>
        <w:t xml:space="preserve">EXECUTIVE SUMMARY</w:t>
      </w:r>
    </w:p>
    <w:p>
      <w:pPr>
        <w:spacing w:after="200"/>
      </w:pPr>
      <w:r>
        <w:t xml:space="preserve">This document presents a comprehensive PhD-level analysis of the Ottoman Empire's </w:t>
      </w:r>
      <w:r>
        <w:rPr>
          <w:b/>
          <w:bCs/>
        </w:rPr>
        <w:t xml:space="preserve">Capability Tier domains</w:t>
      </w:r>
      <w:r>
        <w:t xml:space="preserve">—the second tier in the CAS (Complex Adaptive Systems) Framework. Building upon Session 1's analysis of Foundational Tier domains (Governance, Legal, Military), this session examines five interconnected capability domains across three phases: Rise (c. 1299-1520), Peak (c. 1520-1683), and Decline (c. 1683-1922).</w:t>
      </w:r>
    </w:p>
    <w:p>
      <w:pPr>
        <w:spacing w:after="200"/>
      </w:pPr>
      <w:r>
        <w:rPr>
          <w:b/>
          <w:bCs/>
        </w:rPr>
        <w:t xml:space="preserve">Key Finding: </w:t>
      </w:r>
      <w:r>
        <w:t xml:space="preserve">The Ottoman Capability Tier demonstrates remarkable institutional innovation during rise and peak phases, particularly in social mobility mechanisms (devşirme), educational infrastructure (medrese system), and cultural legitimation strategies. However, the decline phase reveals systematic failures in knowledge transfer, technological adaptation, and demographic management that preceded and accelerated political-military collapse.</w:t>
      </w:r>
    </w:p>
    <w:p>
      <w:pPr>
        <w:pStyle w:val="Heading2"/>
      </w:pPr>
      <w:r>
        <w:t xml:space="preserve">CAS Scoring Matrix: Capability Tier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Domain</w:t>
            </w:r>
          </w:p>
        </w:tc>
        <w:tc>
          <w:tcPr>
            <w:tcW w:type="dxa" w:w="1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Rise</w:t>
            </w:r>
          </w:p>
        </w:tc>
        <w:tc>
          <w:tcPr>
            <w:tcW w:type="dxa" w:w="1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Peak</w:t>
            </w:r>
          </w:p>
        </w:tc>
        <w:tc>
          <w:tcPr>
            <w:tcW w:type="dxa" w:w="1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Decline</w:t>
            </w:r>
          </w:p>
        </w:tc>
        <w:tc>
          <w:tcPr>
            <w:tcW w:type="dxa" w:w="17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Average</w:t>
            </w:r>
          </w:p>
        </w:tc>
      </w:tr>
      <w:tr>
        <w:tc>
          <w:tcPr>
            <w:tcBorders>
              <w:top w:val="single" w:color="CCCCCC" w:sz="1"/>
              <w:left w:val="single" w:color="CCCCCC" w:sz="1"/>
              <w:bottom w:val="single" w:color="CCCCCC" w:sz="1"/>
              <w:right w:val="single" w:color="CCCCCC" w:sz="1"/>
            </w:tcBorders>
          </w:tcPr>
          <w:p>
            <w:r>
              <w:rPr>
                <w:sz w:val="22"/>
                <w:szCs w:val="22"/>
              </w:rPr>
              <w:t xml:space="preserve">Social/Class Structure</w:t>
            </w:r>
          </w:p>
        </w:tc>
        <w:tc>
          <w:tcPr>
            <w:tcBorders>
              <w:top w:val="single" w:color="CCCCCC" w:sz="1"/>
              <w:left w:val="single" w:color="CCCCCC" w:sz="1"/>
              <w:bottom w:val="single" w:color="CCCCCC" w:sz="1"/>
              <w:right w:val="single" w:color="CCCCCC" w:sz="1"/>
            </w:tcBorders>
          </w:tcPr>
          <w:p>
            <w:pPr>
              <w:jc w:val="center"/>
            </w:pPr>
            <w:r>
              <w:rPr>
                <w:sz w:val="22"/>
                <w:szCs w:val="22"/>
              </w:rPr>
              <w:t xml:space="preserve">8.0</w:t>
            </w:r>
          </w:p>
        </w:tc>
        <w:tc>
          <w:tcPr>
            <w:tcBorders>
              <w:top w:val="single" w:color="CCCCCC" w:sz="1"/>
              <w:left w:val="single" w:color="CCCCCC" w:sz="1"/>
              <w:bottom w:val="single" w:color="CCCCCC" w:sz="1"/>
              <w:right w:val="single" w:color="CCCCCC" w:sz="1"/>
            </w:tcBorders>
          </w:tcPr>
          <w:p>
            <w:pPr>
              <w:jc w:val="center"/>
            </w:pPr>
            <w:r>
              <w:rPr>
                <w:sz w:val="22"/>
                <w:szCs w:val="22"/>
              </w:rPr>
              <w:t xml:space="preserve">7.5</w:t>
            </w:r>
          </w:p>
        </w:tc>
        <w:tc>
          <w:tcPr>
            <w:tcBorders>
              <w:top w:val="single" w:color="CCCCCC" w:sz="1"/>
              <w:left w:val="single" w:color="CCCCCC" w:sz="1"/>
              <w:bottom w:val="single" w:color="CCCCCC" w:sz="1"/>
              <w:right w:val="single" w:color="CCCCCC" w:sz="1"/>
            </w:tcBorders>
          </w:tcPr>
          <w:p>
            <w:pPr>
              <w:jc w:val="center"/>
            </w:pPr>
            <w:r>
              <w:rPr>
                <w:sz w:val="22"/>
                <w:szCs w:val="22"/>
              </w:rPr>
              <w:t xml:space="preserve">5.5</w:t>
            </w:r>
          </w:p>
        </w:tc>
        <w:tc>
          <w:tcPr>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7.0</w:t>
            </w:r>
          </w:p>
        </w:tc>
      </w:tr>
      <w:tr>
        <w:tc>
          <w:tcPr>
            <w:tcBorders>
              <w:top w:val="single" w:color="CCCCCC" w:sz="1"/>
              <w:left w:val="single" w:color="CCCCCC" w:sz="1"/>
              <w:bottom w:val="single" w:color="CCCCCC" w:sz="1"/>
              <w:right w:val="single" w:color="CCCCCC" w:sz="1"/>
            </w:tcBorders>
          </w:tcPr>
          <w:p>
            <w:r>
              <w:rPr>
                <w:sz w:val="22"/>
                <w:szCs w:val="22"/>
              </w:rPr>
              <w:t xml:space="preserve">Educational/Knowledge</w:t>
            </w:r>
          </w:p>
        </w:tc>
        <w:tc>
          <w:tcPr>
            <w:tcBorders>
              <w:top w:val="single" w:color="CCCCCC" w:sz="1"/>
              <w:left w:val="single" w:color="CCCCCC" w:sz="1"/>
              <w:bottom w:val="single" w:color="CCCCCC" w:sz="1"/>
              <w:right w:val="single" w:color="CCCCCC" w:sz="1"/>
            </w:tcBorders>
          </w:tcPr>
          <w:p>
            <w:pPr>
              <w:jc w:val="center"/>
            </w:pPr>
            <w:r>
              <w:rPr>
                <w:sz w:val="22"/>
                <w:szCs w:val="22"/>
              </w:rPr>
              <w:t xml:space="preserve">7.5</w:t>
            </w:r>
          </w:p>
        </w:tc>
        <w:tc>
          <w:tcPr>
            <w:tcBorders>
              <w:top w:val="single" w:color="CCCCCC" w:sz="1"/>
              <w:left w:val="single" w:color="CCCCCC" w:sz="1"/>
              <w:bottom w:val="single" w:color="CCCCCC" w:sz="1"/>
              <w:right w:val="single" w:color="CCCCCC" w:sz="1"/>
            </w:tcBorders>
          </w:tcPr>
          <w:p>
            <w:pPr>
              <w:jc w:val="center"/>
            </w:pPr>
            <w:r>
              <w:rPr>
                <w:sz w:val="22"/>
                <w:szCs w:val="22"/>
              </w:rPr>
              <w:t xml:space="preserve">8.0</w:t>
            </w:r>
          </w:p>
        </w:tc>
        <w:tc>
          <w:tcPr>
            <w:tcBorders>
              <w:top w:val="single" w:color="CCCCCC" w:sz="1"/>
              <w:left w:val="single" w:color="CCCCCC" w:sz="1"/>
              <w:bottom w:val="single" w:color="CCCCCC" w:sz="1"/>
              <w:right w:val="single" w:color="CCCCCC" w:sz="1"/>
            </w:tcBorders>
          </w:tcPr>
          <w:p>
            <w:pPr>
              <w:jc w:val="center"/>
            </w:pPr>
            <w:r>
              <w:rPr>
                <w:sz w:val="22"/>
                <w:szCs w:val="22"/>
              </w:rPr>
              <w:t xml:space="preserve">5.0</w:t>
            </w:r>
          </w:p>
        </w:tc>
        <w:tc>
          <w:tcPr>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6.8</w:t>
            </w:r>
          </w:p>
        </w:tc>
      </w:tr>
      <w:tr>
        <w:tc>
          <w:tcPr>
            <w:tcBorders>
              <w:top w:val="single" w:color="CCCCCC" w:sz="1"/>
              <w:left w:val="single" w:color="CCCCCC" w:sz="1"/>
              <w:bottom w:val="single" w:color="CCCCCC" w:sz="1"/>
              <w:right w:val="single" w:color="CCCCCC" w:sz="1"/>
            </w:tcBorders>
          </w:tcPr>
          <w:p>
            <w:r>
              <w:rPr>
                <w:sz w:val="22"/>
                <w:szCs w:val="22"/>
              </w:rPr>
              <w:t xml:space="preserve">Cultural/Ideological</w:t>
            </w:r>
          </w:p>
        </w:tc>
        <w:tc>
          <w:tcPr>
            <w:tcBorders>
              <w:top w:val="single" w:color="CCCCCC" w:sz="1"/>
              <w:left w:val="single" w:color="CCCCCC" w:sz="1"/>
              <w:bottom w:val="single" w:color="CCCCCC" w:sz="1"/>
              <w:right w:val="single" w:color="CCCCCC" w:sz="1"/>
            </w:tcBorders>
          </w:tcPr>
          <w:p>
            <w:pPr>
              <w:jc w:val="center"/>
            </w:pPr>
            <w:r>
              <w:rPr>
                <w:sz w:val="22"/>
                <w:szCs w:val="22"/>
              </w:rPr>
              <w:t xml:space="preserve">7.5</w:t>
            </w:r>
          </w:p>
        </w:tc>
        <w:tc>
          <w:tcPr>
            <w:tcBorders>
              <w:top w:val="single" w:color="CCCCCC" w:sz="1"/>
              <w:left w:val="single" w:color="CCCCCC" w:sz="1"/>
              <w:bottom w:val="single" w:color="CCCCCC" w:sz="1"/>
              <w:right w:val="single" w:color="CCCCCC" w:sz="1"/>
            </w:tcBorders>
          </w:tcPr>
          <w:p>
            <w:pPr>
              <w:jc w:val="center"/>
            </w:pPr>
            <w:r>
              <w:rPr>
                <w:sz w:val="22"/>
                <w:szCs w:val="22"/>
              </w:rPr>
              <w:t xml:space="preserve">8.5</w:t>
            </w:r>
          </w:p>
        </w:tc>
        <w:tc>
          <w:tcPr>
            <w:tcBorders>
              <w:top w:val="single" w:color="CCCCCC" w:sz="1"/>
              <w:left w:val="single" w:color="CCCCCC" w:sz="1"/>
              <w:bottom w:val="single" w:color="CCCCCC" w:sz="1"/>
              <w:right w:val="single" w:color="CCCCCC" w:sz="1"/>
            </w:tcBorders>
          </w:tcPr>
          <w:p>
            <w:pPr>
              <w:jc w:val="center"/>
            </w:pPr>
            <w:r>
              <w:rPr>
                <w:sz w:val="22"/>
                <w:szCs w:val="22"/>
              </w:rPr>
              <w:t xml:space="preserve">5.5</w:t>
            </w:r>
          </w:p>
        </w:tc>
        <w:tc>
          <w:tcPr>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7.2</w:t>
            </w:r>
          </w:p>
        </w:tc>
      </w:tr>
      <w:tr>
        <w:tc>
          <w:tcPr>
            <w:tcBorders>
              <w:top w:val="single" w:color="CCCCCC" w:sz="1"/>
              <w:left w:val="single" w:color="CCCCCC" w:sz="1"/>
              <w:bottom w:val="single" w:color="CCCCCC" w:sz="1"/>
              <w:right w:val="single" w:color="CCCCCC" w:sz="1"/>
            </w:tcBorders>
          </w:tcPr>
          <w:p>
            <w:r>
              <w:rPr>
                <w:sz w:val="22"/>
                <w:szCs w:val="22"/>
              </w:rPr>
              <w:t xml:space="preserve">Technological/Innovation</w:t>
            </w:r>
          </w:p>
        </w:tc>
        <w:tc>
          <w:tcPr>
            <w:tcBorders>
              <w:top w:val="single" w:color="CCCCCC" w:sz="1"/>
              <w:left w:val="single" w:color="CCCCCC" w:sz="1"/>
              <w:bottom w:val="single" w:color="CCCCCC" w:sz="1"/>
              <w:right w:val="single" w:color="CCCCCC" w:sz="1"/>
            </w:tcBorders>
          </w:tcPr>
          <w:p>
            <w:pPr>
              <w:jc w:val="center"/>
            </w:pPr>
            <w:r>
              <w:rPr>
                <w:sz w:val="22"/>
                <w:szCs w:val="22"/>
              </w:rPr>
              <w:t xml:space="preserve">7.0</w:t>
            </w:r>
          </w:p>
        </w:tc>
        <w:tc>
          <w:tcPr>
            <w:tcBorders>
              <w:top w:val="single" w:color="CCCCCC" w:sz="1"/>
              <w:left w:val="single" w:color="CCCCCC" w:sz="1"/>
              <w:bottom w:val="single" w:color="CCCCCC" w:sz="1"/>
              <w:right w:val="single" w:color="CCCCCC" w:sz="1"/>
            </w:tcBorders>
          </w:tcPr>
          <w:p>
            <w:pPr>
              <w:jc w:val="center"/>
            </w:pPr>
            <w:r>
              <w:rPr>
                <w:sz w:val="22"/>
                <w:szCs w:val="22"/>
              </w:rPr>
              <w:t xml:space="preserve">7.0</w:t>
            </w:r>
          </w:p>
        </w:tc>
        <w:tc>
          <w:tcPr>
            <w:tcBorders>
              <w:top w:val="single" w:color="CCCCCC" w:sz="1"/>
              <w:left w:val="single" w:color="CCCCCC" w:sz="1"/>
              <w:bottom w:val="single" w:color="CCCCCC" w:sz="1"/>
              <w:right w:val="single" w:color="CCCCCC" w:sz="1"/>
            </w:tcBorders>
          </w:tcPr>
          <w:p>
            <w:pPr>
              <w:jc w:val="center"/>
            </w:pPr>
            <w:r>
              <w:rPr>
                <w:sz w:val="22"/>
                <w:szCs w:val="22"/>
              </w:rPr>
              <w:t xml:space="preserve">4.5</w:t>
            </w:r>
          </w:p>
        </w:tc>
        <w:tc>
          <w:tcPr>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6.2</w:t>
            </w:r>
          </w:p>
        </w:tc>
      </w:tr>
      <w:tr>
        <w:tc>
          <w:tcPr>
            <w:tcBorders>
              <w:top w:val="single" w:color="CCCCCC" w:sz="1"/>
              <w:left w:val="single" w:color="CCCCCC" w:sz="1"/>
              <w:bottom w:val="single" w:color="CCCCCC" w:sz="1"/>
              <w:right w:val="single" w:color="CCCCCC" w:sz="1"/>
            </w:tcBorders>
          </w:tcPr>
          <w:p>
            <w:r>
              <w:rPr>
                <w:sz w:val="22"/>
                <w:szCs w:val="22"/>
              </w:rPr>
              <w:t xml:space="preserve">Demographic Capacity</w:t>
            </w:r>
          </w:p>
        </w:tc>
        <w:tc>
          <w:tcPr>
            <w:tcBorders>
              <w:top w:val="single" w:color="CCCCCC" w:sz="1"/>
              <w:left w:val="single" w:color="CCCCCC" w:sz="1"/>
              <w:bottom w:val="single" w:color="CCCCCC" w:sz="1"/>
              <w:right w:val="single" w:color="CCCCCC" w:sz="1"/>
            </w:tcBorders>
          </w:tcPr>
          <w:p>
            <w:pPr>
              <w:jc w:val="center"/>
            </w:pPr>
            <w:r>
              <w:rPr>
                <w:sz w:val="22"/>
                <w:szCs w:val="22"/>
              </w:rPr>
              <w:t xml:space="preserve">7.5</w:t>
            </w:r>
          </w:p>
        </w:tc>
        <w:tc>
          <w:tcPr>
            <w:tcBorders>
              <w:top w:val="single" w:color="CCCCCC" w:sz="1"/>
              <w:left w:val="single" w:color="CCCCCC" w:sz="1"/>
              <w:bottom w:val="single" w:color="CCCCCC" w:sz="1"/>
              <w:right w:val="single" w:color="CCCCCC" w:sz="1"/>
            </w:tcBorders>
          </w:tcPr>
          <w:p>
            <w:pPr>
              <w:jc w:val="center"/>
            </w:pPr>
            <w:r>
              <w:rPr>
                <w:sz w:val="22"/>
                <w:szCs w:val="22"/>
              </w:rPr>
              <w:t xml:space="preserve">7.0</w:t>
            </w:r>
          </w:p>
        </w:tc>
        <w:tc>
          <w:tcPr>
            <w:tcBorders>
              <w:top w:val="single" w:color="CCCCCC" w:sz="1"/>
              <w:left w:val="single" w:color="CCCCCC" w:sz="1"/>
              <w:bottom w:val="single" w:color="CCCCCC" w:sz="1"/>
              <w:right w:val="single" w:color="CCCCCC" w:sz="1"/>
            </w:tcBorders>
          </w:tcPr>
          <w:p>
            <w:pPr>
              <w:jc w:val="center"/>
            </w:pPr>
            <w:r>
              <w:rPr>
                <w:sz w:val="22"/>
                <w:szCs w:val="22"/>
              </w:rPr>
              <w:t xml:space="preserve">4.0</w:t>
            </w:r>
          </w:p>
        </w:tc>
        <w:tc>
          <w:tcPr>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6.2</w:t>
            </w:r>
          </w:p>
        </w:tc>
      </w:tr>
      <w:tr>
        <w:tc>
          <w:tcPr>
            <w:tcBorders>
              <w:top w:val="single" w:color="CCCCCC" w:sz="1"/>
              <w:left w:val="single" w:color="CCCCCC" w:sz="1"/>
              <w:bottom w:val="single" w:color="CCCCCC" w:sz="1"/>
              <w:right w:val="single" w:color="CCCCCC" w:sz="1"/>
            </w:tcBorders>
            <w:shd w:fill="f0f0f0" w:val="clear"/>
          </w:tcPr>
          <w:p>
            <w:r>
              <w:rPr>
                <w:b/>
                <w:bCs/>
                <w:sz w:val="22"/>
                <w:szCs w:val="22"/>
              </w:rPr>
              <w:t xml:space="preserve">TIER AVERAGE</w:t>
            </w:r>
          </w:p>
        </w:tc>
        <w:tc>
          <w:tcPr>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7.5</w:t>
            </w:r>
          </w:p>
        </w:tc>
        <w:tc>
          <w:tcPr>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7.6</w:t>
            </w:r>
          </w:p>
        </w:tc>
        <w:tc>
          <w:tcPr>
            <w:tcBorders>
              <w:top w:val="single" w:color="CCCCCC" w:sz="1"/>
              <w:left w:val="single" w:color="CCCCCC" w:sz="1"/>
              <w:bottom w:val="single" w:color="CCCCCC" w:sz="1"/>
              <w:right w:val="single" w:color="CCCCCC" w:sz="1"/>
            </w:tcBorders>
            <w:shd w:fill="f0f0f0" w:val="clear"/>
          </w:tcPr>
          <w:p>
            <w:pPr>
              <w:jc w:val="center"/>
            </w:pPr>
            <w:r>
              <w:rPr>
                <w:b/>
                <w:bCs/>
                <w:sz w:val="22"/>
                <w:szCs w:val="22"/>
              </w:rPr>
              <w:t xml:space="preserve">4.9</w:t>
            </w:r>
          </w:p>
        </w:tc>
        <w:tc>
          <w:tcPr>
            <w:tcBorders>
              <w:top w:val="single" w:color="CCCCCC" w:sz="1"/>
              <w:left w:val="single" w:color="CCCCCC" w:sz="1"/>
              <w:bottom w:val="single" w:color="CCCCCC" w:sz="1"/>
              <w:right w:val="single" w:color="CCCCCC" w:sz="1"/>
            </w:tcBorders>
            <w:shd w:fill="d4edda" w:val="clear"/>
          </w:tcPr>
          <w:p>
            <w:pPr>
              <w:jc w:val="center"/>
            </w:pPr>
            <w:r>
              <w:rPr>
                <w:b/>
                <w:bCs/>
                <w:color w:val="155724"/>
                <w:sz w:val="24"/>
                <w:szCs w:val="24"/>
              </w:rPr>
              <w:t xml:space="preserve">6.7</w:t>
            </w:r>
          </w:p>
        </w:tc>
      </w:tr>
    </w:tbl>
    <w:p>
      <w:pPr>
        <w:spacing w:before="200" w:after="200"/>
      </w:pPr>
      <w:r>
        <w:rPr>
          <w:b/>
          <w:bCs/>
        </w:rPr>
        <w:t xml:space="preserve">Score Interpretation: </w:t>
      </w:r>
      <w:r>
        <w:t xml:space="preserve">The Capability Tier shows strong performance during Rise (7.5) and Peak (7.6) phases, with dramatic degradation during Decline (4.9). This 36% decline in capability scores between Peak and Decline phases represents systemic institutional failure across all five domains simultaneously—a pattern consistent with cascade theory predictions in complex adaptive systems.</w:t>
      </w:r>
    </w:p>
    <w:p>
      <w:r>
        <w:br w:type="page"/>
      </w:r>
    </w:p>
    <w:p>
      <w:pPr>
        <w:pStyle w:val="Heading1"/>
      </w:pPr>
      <w:r>
        <w:t xml:space="preserve">DOMAIN 4: SOCIAL/CLASS STRUCTURE</w:t>
      </w:r>
    </w:p>
    <w:p>
      <w:pPr>
        <w:pStyle w:val="Heading2"/>
      </w:pPr>
      <w:r>
        <w:t xml:space="preserve">Rise Phase (c. 1299-1520): Frontier Fluidity and Radical Mobility</w:t>
      </w:r>
    </w:p>
    <w:p>
      <w:pPr>
        <w:pStyle w:val="Heading3"/>
      </w:pPr>
      <w:r>
        <w:t xml:space="preserve">The Askeri-Reaya Distinction</w:t>
      </w:r>
    </w:p>
    <w:p>
      <w:pPr>
        <w:spacing w:after="200"/>
      </w:pPr>
      <w:r>
        <w:t xml:space="preserve">Ottoman society crystallized around a fundamental binary division between </w:t>
      </w:r>
      <w:r>
        <w:rPr>
          <w:i/>
          <w:iCs/>
        </w:rPr>
        <w:t xml:space="preserve">askeri</w:t>
      </w:r>
      <w:r>
        <w:t xml:space="preserve"> (the military-administrative ruling class) and </w:t>
      </w:r>
      <w:r>
        <w:rPr>
          <w:i/>
          <w:iCs/>
        </w:rPr>
        <w:t xml:space="preserve">reaya</w:t>
      </w:r>
      <w:r>
        <w:t xml:space="preserve"> (literally 'the flock'—tax-paying subjects). This distinction, which scholars including Suraiya Faroqhi have extensively documented, was neither purely hereditary nor absolutely rigid. The askeri class encompassed soldiers, administrators, religious scholars (ulema), and anyone granted tax exemption by the sultan in return for service. Crucially, askeri status depended on sultanic favor rather than noble birth—a radical departure from European aristocratic models.</w:t>
      </w:r>
    </w:p>
    <w:p>
      <w:pPr>
        <w:spacing w:after="200"/>
      </w:pPr>
      <w:r>
        <w:t xml:space="preserve">The reaya comprised the productive majority: peasants, artisans, and merchants who paid taxes and supported the state through economic activity. As Halil İnalcık's research on fifteenth-century Bursa demonstrates, even in commercial centers renowned for international trade, the wealthiest residents were typically political-military class members rather than merchants—indicating that political proximity to power trumped commercial success as a wealth-generating mechanism (İnalcık, 1998).</w:t>
      </w:r>
    </w:p>
    <w:p>
      <w:pPr>
        <w:pStyle w:val="Heading3"/>
      </w:pPr>
      <w:r>
        <w:t xml:space="preserve">Devşirme as Radical Social Mobility</w:t>
      </w:r>
    </w:p>
    <w:p>
      <w:pPr>
        <w:spacing w:after="200"/>
      </w:pPr>
      <w:r>
        <w:t xml:space="preserve">The </w:t>
      </w:r>
      <w:r>
        <w:rPr>
          <w:i/>
          <w:iCs/>
        </w:rPr>
        <w:t xml:space="preserve">devşirme</w:t>
      </w:r>
      <w:r>
        <w:t xml:space="preserve"> (child levy) system represented perhaps the most radical social mobility mechanism in pre-modern history. As noted by Donald Quataert and praised by contemporary European observers including Machiavelli, this system enabled the Ottoman state to 'recognize and recruit talent amongst the Christian peasantry in the Balkans' (Quataert, 2005: 7). Christian boys, typically aged 8-18, were collected from Balkan villages, converted to Islam, and trained for elite military or administrative positions.</w:t>
      </w:r>
    </w:p>
    <w:p>
      <w:pPr>
        <w:spacing w:after="200"/>
      </w:pPr>
      <w:r>
        <w:t xml:space="preserve">The implications were profound: a peasant's son from rural Serbia could, within a generation, rise to become Grand Vizier—the second most powerful position in the empire. This represented a form of 'sponsored mobility' (in Ralph Turner's sociological terminology) that had no parallel in contemporary European societies. The system solved the classical problem of elite recruitment by creating a loyal cadre with no competing family allegiances—their entire social existence derived from the sultan's patronage.</w:t>
      </w:r>
    </w:p>
    <w:p>
      <w:pPr>
        <w:spacing w:after="200"/>
      </w:pPr>
      <w:r>
        <w:rPr>
          <w:b/>
          <w:bCs/>
        </w:rPr>
        <w:t xml:space="preserve">Confidence Assessment: </w:t>
      </w:r>
      <w:r>
        <w:t xml:space="preserve">HIGH for the existence and broad outlines of devşirme; MODERATE for exact origins (scholarly debate ranges from 1354 to 1438 for first systematic implementation); LOW for precise numbers of recruits per levy cycle.</w:t>
      </w:r>
    </w:p>
    <w:p>
      <w:pPr>
        <w:pStyle w:val="Heading3"/>
      </w:pPr>
      <w:r>
        <w:t xml:space="preserve">Guild Organization: The Esnaf System</w:t>
      </w:r>
    </w:p>
    <w:p>
      <w:pPr>
        <w:spacing w:after="200"/>
      </w:pPr>
      <w:r>
        <w:t xml:space="preserve">Urban craftsmen and traders organized into </w:t>
      </w:r>
      <w:r>
        <w:rPr>
          <w:i/>
          <w:iCs/>
        </w:rPr>
        <w:t xml:space="preserve">esnaf</w:t>
      </w:r>
      <w:r>
        <w:t xml:space="preserve"> (guilds), institutions with roots in the </w:t>
      </w:r>
      <w:r>
        <w:rPr>
          <w:i/>
          <w:iCs/>
        </w:rPr>
        <w:t xml:space="preserve">Ahi</w:t>
      </w:r>
      <w:r>
        <w:t xml:space="preserve"> brotherhoods that combined Sufi spirituality with artisan organization. The guilds controlled production standards, prices (</w:t>
      </w:r>
      <w:r>
        <w:rPr>
          <w:i/>
          <w:iCs/>
        </w:rPr>
        <w:t xml:space="preserve">narh</w:t>
      </w:r>
      <w:r>
        <w:t xml:space="preserve">), and market access. Evliya Çelebi's seventeenth-century accounts document an extraordinary diversity of guilds in Istanbul—including, remarkably, guilds for thieves and pickpockets, illustrating the Ottoman impulse to organize all social groups within hierarchical structures (Belge, 2005).</w:t>
      </w:r>
    </w:p>
    <w:p>
      <w:pPr>
        <w:spacing w:after="200"/>
      </w:pPr>
      <w:r>
        <w:t xml:space="preserve">The </w:t>
      </w:r>
      <w:r>
        <w:rPr>
          <w:i/>
          <w:iCs/>
        </w:rPr>
        <w:t xml:space="preserve">gedik</w:t>
      </w:r>
      <w:r>
        <w:t xml:space="preserve"> system granted monopoly rights to specific crafts, with the state fixing the number of masters within each trade. This represented a distinctive Ottoman solution to the problem of coordinating urban production—ensuring quality and supply while limiting competition. The guild meeting places evolved from religious </w:t>
      </w:r>
      <w:r>
        <w:rPr>
          <w:i/>
          <w:iCs/>
        </w:rPr>
        <w:t xml:space="preserve">zawiya</w:t>
      </w:r>
      <w:r>
        <w:t xml:space="preserve"> (Sufi lodges) to secular </w:t>
      </w:r>
      <w:r>
        <w:rPr>
          <w:i/>
          <w:iCs/>
        </w:rPr>
        <w:t xml:space="preserve">lonca</w:t>
      </w:r>
      <w:r>
        <w:t xml:space="preserve"> halls as non-Muslims were integrated into the guild system.</w:t>
      </w:r>
    </w:p>
    <w:p>
      <w:pPr>
        <w:pStyle w:val="Heading3"/>
      </w:pPr>
      <w:r>
        <w:t xml:space="preserve">Slavery Beyond Devşirme</w:t>
      </w:r>
    </w:p>
    <w:p>
      <w:pPr>
        <w:spacing w:after="200"/>
      </w:pPr>
      <w:r>
        <w:t xml:space="preserve">As Madeline Zilfi and Ehud Toledano have documented, Ottoman slavery extended far beyond the devşirme system. Agricultural slaves, domestic slaves, and concubines constituted significant social categories. The institution differed fundamentally from Atlantic chattel slavery: manumission was common, enslaved persons had legal rights, and their children were typically born free. The </w:t>
      </w:r>
      <w:r>
        <w:rPr>
          <w:i/>
          <w:iCs/>
        </w:rPr>
        <w:t xml:space="preserve">kul</w:t>
      </w:r>
      <w:r>
        <w:t xml:space="preserve"> system positioned elite slaves as 'slaves of the sultan'—a paradoxically privileged status that granted access to power while maintaining legal subordination.</w:t>
      </w:r>
    </w:p>
    <w:p>
      <w:pPr>
        <w:spacing w:after="200"/>
      </w:pPr>
      <w:r>
        <w:rPr>
          <w:b/>
          <w:bCs/>
        </w:rPr>
        <w:t xml:space="preserve">CAS Score Justification (Rise: 8.0/10): </w:t>
      </w:r>
      <w:r>
        <w:t xml:space="preserve">The Ottoman social system during the rise phase achieved remarkable effectiveness through: (1) exceptional mobility mechanisms (devşirme) that optimized talent allocation; (2) effective organization of urban production (guilds); (3) flexible incorporation of diverse populations; (4) successful solution to the elite recruitment problem. Deductions: limited mobility for Muslim-born subjects; gender restrictions; incomplete integration of nomadic populations.</w:t>
      </w:r>
    </w:p>
    <w:p>
      <w:pPr>
        <w:pStyle w:val="Heading2"/>
      </w:pPr>
      <w:r>
        <w:t xml:space="preserve">Peak Phase (c. 1520-1683): Formalization and Stratification</w:t>
      </w:r>
    </w:p>
    <w:p>
      <w:pPr>
        <w:pStyle w:val="Heading3"/>
      </w:pPr>
      <w:r>
        <w:t xml:space="preserve">The Sultanate of Women and Harem Power</w:t>
      </w:r>
    </w:p>
    <w:p>
      <w:pPr>
        <w:spacing w:after="200"/>
      </w:pPr>
      <w:r>
        <w:t xml:space="preserve">Leslie Peirce's foundational work </w:t>
      </w:r>
      <w:r>
        <w:rPr>
          <w:i/>
          <w:iCs/>
        </w:rPr>
        <w:t xml:space="preserve">The Imperial Harem</w:t>
      </w:r>
      <w:r>
        <w:t xml:space="preserve"> (1993) revealed the harem not as a space of seclusion but as a sophisticated political institution. The period from c. 1520-1650, sometimes called the 'Sultanate of Women,' saw unprecedented female political influence. The </w:t>
      </w:r>
      <w:r>
        <w:rPr>
          <w:i/>
          <w:iCs/>
        </w:rPr>
        <w:t xml:space="preserve">valide sultan</w:t>
      </w:r>
      <w:r>
        <w:t xml:space="preserve"> (queen mother) wielded enormous power—Kösem Sultan (d. 1651) effectively controlled the empire during the reigns of her sons and grandsons. This represented institutionalized female political power unmatched in contemporary European courts.</w:t>
      </w:r>
    </w:p>
    <w:p>
      <w:pPr>
        <w:spacing w:after="200"/>
      </w:pPr>
      <w:r>
        <w:t xml:space="preserve">The harem hierarchy was rigidly formalized: from </w:t>
      </w:r>
      <w:r>
        <w:rPr>
          <w:i/>
          <w:iCs/>
        </w:rPr>
        <w:t xml:space="preserve">cariye</w:t>
      </w:r>
      <w:r>
        <w:t xml:space="preserve"> (slave concubine) to </w:t>
      </w:r>
      <w:r>
        <w:rPr>
          <w:i/>
          <w:iCs/>
        </w:rPr>
        <w:t xml:space="preserve">haseki</w:t>
      </w:r>
      <w:r>
        <w:t xml:space="preserve"> (favorite) to </w:t>
      </w:r>
      <w:r>
        <w:rPr>
          <w:i/>
          <w:iCs/>
        </w:rPr>
        <w:t xml:space="preserve">valide sultan</w:t>
      </w:r>
      <w:r>
        <w:t xml:space="preserve">, each rank carried specific privileges and responsibilities. This represented a parallel power structure to the male administrative hierarchy, with the two intersecting at critical decision points.</w:t>
      </w:r>
    </w:p>
    <w:p>
      <w:pPr>
        <w:pStyle w:val="Heading3"/>
      </w:pPr>
      <w:r>
        <w:t xml:space="preserve">Non-Muslim Communities: Greeks, Armenians, Jews</w:t>
      </w:r>
    </w:p>
    <w:p>
      <w:pPr>
        <w:spacing w:after="200"/>
      </w:pPr>
      <w:r>
        <w:t xml:space="preserve">The peak phase saw the crystallization of economic niches among non-Muslim communities. Jews expelled from Spain (1492) brought commercial networks and technical skills, becoming prominent in international trade and court medicine. Armenian merchants dominated overland trade routes to Persia and India. Greek Orthodox communities controlled significant shipping and certain textile trades. This 'ethno-religious division of labor' (in Timur Kuran's formulation) proved economically efficient but would later create vulnerabilities as nationalist ideologies emerged.</w:t>
      </w:r>
    </w:p>
    <w:p>
      <w:pPr>
        <w:pStyle w:val="Heading3"/>
      </w:pPr>
      <w:r>
        <w:t xml:space="preserve">Coffee House Culture: Proto-Public Sphere</w:t>
      </w:r>
    </w:p>
    <w:p>
      <w:pPr>
        <w:spacing w:after="200"/>
      </w:pPr>
      <w:r>
        <w:t xml:space="preserve">The first coffeehouse (</w:t>
      </w:r>
      <w:r>
        <w:rPr>
          <w:i/>
          <w:iCs/>
        </w:rPr>
        <w:t xml:space="preserve">kahvehane</w:t>
      </w:r>
      <w:r>
        <w:t xml:space="preserve">) opened in Istanbul in 1554-1555 during Süleyman's reign. By the mid-seventeenth century, over 600 coffeehouses operated in Istanbul alone. These spaces created what scholars have analyzed through Habermasian frameworks as a proto-public sphere: heterogeneous clientele, theatrical performances, political satire, and popular discourse operated outside traditional hierarchies. The coffeehouse 'created a viable public domain for adult-male, by its heterogeneous clientele, theatrical types of expression, political lampooning, and popular political discourse' (Kırlı, 2004).</w:t>
      </w:r>
    </w:p>
    <w:p>
      <w:pPr>
        <w:spacing w:after="200"/>
      </w:pPr>
      <w:r>
        <w:t xml:space="preserve">Government authorities viewed coffeehouses with suspicion, deploying spies to monitor public opinion. Periodic bans proved ineffective—the social demand for such spaces overwhelmed regulatory capacity. By the early nineteenth century, Istanbul hosted over 2,500 coffeehouses for approximately 400,000 residents.</w:t>
      </w:r>
    </w:p>
    <w:p>
      <w:pPr>
        <w:spacing w:after="200"/>
      </w:pPr>
      <w:r>
        <w:rPr>
          <w:b/>
          <w:bCs/>
        </w:rPr>
        <w:t xml:space="preserve">CAS Score Justification (Peak: 7.5/10): </w:t>
      </w:r>
      <w:r>
        <w:t xml:space="preserve">Slight decline from rise phase reflects: (1) increasing rigidity in askeri-reaya boundaries; (2) beginning of devşirme hereditarization; (3) emergence of fixed economic niches that limited inter-group mobility. Positives: effective harem power structure; vibrant urban social life; relatively stable inter-communal relations. The Celali Rebellions (1596-1610) indicate growing social stress but remained contained.</w:t>
      </w:r>
    </w:p>
    <w:p>
      <w:pPr>
        <w:pStyle w:val="Heading2"/>
      </w:pPr>
      <w:r>
        <w:t xml:space="preserve">Decline Phase (c. 1683-1922): Ayan Rise and Refugee Crisis</w:t>
      </w:r>
    </w:p>
    <w:p>
      <w:pPr>
        <w:pStyle w:val="Heading3"/>
      </w:pPr>
      <w:r>
        <w:t xml:space="preserve">The Ayan: Provincial Notable Power</w:t>
      </w:r>
    </w:p>
    <w:p>
      <w:pPr>
        <w:spacing w:after="200"/>
      </w:pPr>
      <w:r>
        <w:t xml:space="preserve">The decline phase witnessed the dramatic rise of </w:t>
      </w:r>
      <w:r>
        <w:rPr>
          <w:i/>
          <w:iCs/>
        </w:rPr>
        <w:t xml:space="preserve">ayan</w:t>
      </w:r>
      <w:r>
        <w:t xml:space="preserve">—provincial notables who accumulated power through tax farming, land control, and local military forces. The transition from short-term tax farming (</w:t>
      </w:r>
      <w:r>
        <w:rPr>
          <w:i/>
          <w:iCs/>
        </w:rPr>
        <w:t xml:space="preserve">iltizam</w:t>
      </w:r>
      <w:r>
        <w:t xml:space="preserve">) to lifetime tax farming (</w:t>
      </w:r>
      <w:r>
        <w:rPr>
          <w:i/>
          <w:iCs/>
        </w:rPr>
        <w:t xml:space="preserve">malikane</w:t>
      </w:r>
      <w:r>
        <w:t xml:space="preserve">, established 1695) enabled ayan families to entrench hereditary local control. By the late eighteenth century, figures like Tepedelenli Ali Paşa in Albania and Pazvandoğlu in Vidin commanded semi-independent domains. As Ariel Salzmann's research demonstrates, this represented a fundamental redistribution of power from center to periphery.</w:t>
      </w:r>
    </w:p>
    <w:p>
      <w:pPr>
        <w:pStyle w:val="Heading3"/>
      </w:pPr>
      <w:r>
        <w:t xml:space="preserve">Janissary-Artisan Integration</w:t>
      </w:r>
    </w:p>
    <w:p>
      <w:pPr>
        <w:spacing w:after="200"/>
      </w:pPr>
      <w:r>
        <w:t xml:space="preserve">The decline phase saw increasing integration between Janissaries and urban artisans. As Donald Quataert and Cemal Kafadar have documented, many Janissaries entered crafts and trades as their military salaries lost value. This 'blurring of boundaries between soldiers and civilians' (Yılmaz, 2015) created new social formations but also undermined military effectiveness. The 1826 abolition of the Janissary corps thus destroyed not only a military institution but an entire urban social network—with devastating consequences for artisan guilds who lost their political protectors.</w:t>
      </w:r>
    </w:p>
    <w:p>
      <w:pPr>
        <w:pStyle w:val="Heading3"/>
      </w:pPr>
      <w:r>
        <w:t xml:space="preserve">The Muhacir Crisis: Refugee Influxes</w:t>
      </w:r>
    </w:p>
    <w:p>
      <w:pPr>
        <w:spacing w:after="200"/>
      </w:pPr>
      <w:r>
        <w:t xml:space="preserve">Between 1783 and 1913, approximately 5-7 million Muslim refugees (</w:t>
      </w:r>
      <w:r>
        <w:rPr>
          <w:i/>
          <w:iCs/>
        </w:rPr>
        <w:t xml:space="preserve">muhacir</w:t>
      </w:r>
      <w:r>
        <w:t xml:space="preserve">) flooded into Ottoman territories. Major waves included: Crimean Tatars (1783-1790s, 1850s-1860s, approximately 200,000+); Circassians (1850s-1864, approximately 1-1.5 million); Balkan Muslims (1878, 1912-1913, several million). As Kemal Karpat's research demonstrates, the Ottoman state attempted 'demographic engineering' to resettle refugees while increasing control over Christian communities—a policy that would culminate in the catastrophic violence of 1915-1923.</w:t>
      </w:r>
    </w:p>
    <w:p>
      <w:pPr>
        <w:spacing w:after="200"/>
      </w:pPr>
      <w:r>
        <w:rPr>
          <w:b/>
          <w:bCs/>
        </w:rPr>
        <w:t xml:space="preserve">Confidence Assessment: </w:t>
      </w:r>
      <w:r>
        <w:t xml:space="preserve">HIGH for refugee influx patterns and approximate magnitudes; MODERATE for exact numbers (different scholars cite varying figures); HIGH for the political and social consequences of refugee settlement policies.</w:t>
      </w:r>
    </w:p>
    <w:p>
      <w:pPr>
        <w:spacing w:after="200"/>
      </w:pPr>
      <w:r>
        <w:rPr>
          <w:b/>
          <w:bCs/>
        </w:rPr>
        <w:t xml:space="preserve">CAS Score Justification (Decline: 5.5/10): </w:t>
      </w:r>
      <w:r>
        <w:t xml:space="preserve">Severe degradation due to: (1) fragmentation of central authority to ayan; (2) destruction of traditional mobility mechanisms (devşirme ended by early 18th century); (3) nationalist mobilization fragmenting previously stable inter-communal relations; (4) massive refugee crises straining resources; (5) guild system collapse under European competition and 1861 abolition of gedik system. Partial mitigation: Tanzimat equality reforms (1839+) attempted to reconstruct social fabric but created new tensions.</w:t>
      </w:r>
    </w:p>
    <w:p>
      <w:r>
        <w:br w:type="page"/>
      </w:r>
    </w:p>
    <w:p>
      <w:pPr>
        <w:pStyle w:val="Heading1"/>
      </w:pPr>
      <w:r>
        <w:t xml:space="preserve">DOMAIN 5: EDUCATIONAL/KNOWLEDGE SYSTEMS</w:t>
      </w:r>
    </w:p>
    <w:p>
      <w:pPr>
        <w:pStyle w:val="Heading2"/>
      </w:pPr>
      <w:r>
        <w:t xml:space="preserve">Rise Phase (c. 1299-1520): Medrese Foundation and Enderun Innovation</w:t>
      </w:r>
    </w:p>
    <w:p>
      <w:pPr>
        <w:pStyle w:val="Heading3"/>
      </w:pPr>
      <w:r>
        <w:t xml:space="preserve">The Medrese System</w:t>
      </w:r>
    </w:p>
    <w:p>
      <w:pPr>
        <w:spacing w:after="200"/>
      </w:pPr>
      <w:r>
        <w:t xml:space="preserve">The first Ottoman medreses (madrasas) were established in İznik immediately after Orhan Bey's conquest in 1331, with institutions following in Bursa and Edirne. As Ekmeleddin İhsanoğlu has documented, the Ottoman educational system inherited Islamic scholarly traditions while adapting them to state needs. The medrese curriculum combined Islamic sciences (Qur'anic exegesis, hadith, jurisprudence) with 'rational sciences' (mathematics, astronomy, medicine)—a synthesis that would narrow significantly in later centuries.</w:t>
      </w:r>
    </w:p>
    <w:p>
      <w:pPr>
        <w:spacing w:after="200"/>
      </w:pPr>
      <w:r>
        <w:t xml:space="preserve">Mehmed II's conquest of Constantinople (1453) marked a new era: he transformed Byzantine churches into educational complexes and established the </w:t>
      </w:r>
      <w:r>
        <w:rPr>
          <w:i/>
          <w:iCs/>
        </w:rPr>
        <w:t xml:space="preserve">Sahn-ı Seman</w:t>
      </w:r>
      <w:r>
        <w:t xml:space="preserve"> ('Eight Courtyards')—a complex of sixteen adjacent medreses that became the apex of Ottoman higher education. The deed, written by Celalzade Mustafa Çelebi, meticulously regulated functioning, including provisions for professors (</w:t>
      </w:r>
      <w:r>
        <w:rPr>
          <w:i/>
          <w:iCs/>
        </w:rPr>
        <w:t xml:space="preserve">müderris</w:t>
      </w:r>
      <w:r>
        <w:t xml:space="preserve">), students, libraries, and books.</w:t>
      </w:r>
    </w:p>
    <w:p>
      <w:pPr>
        <w:pStyle w:val="Heading3"/>
      </w:pPr>
      <w:r>
        <w:t xml:space="preserve">The Enderun: Palace School</w:t>
      </w:r>
    </w:p>
    <w:p>
      <w:pPr>
        <w:spacing w:after="200"/>
      </w:pPr>
      <w:r>
        <w:t xml:space="preserve">The </w:t>
      </w:r>
      <w:r>
        <w:rPr>
          <w:i/>
          <w:iCs/>
        </w:rPr>
        <w:t xml:space="preserve">Enderun</w:t>
      </w:r>
      <w:r>
        <w:t xml:space="preserve"> (Palace School) trained devşirme recruits for elite positions. Established by Murad II (r. 1421-1451) and systematized by Mehmed II, the Enderun provided intensive education including: Turkish, Arabic, and Persian languages; Islamic sciences; calligraphy; mathematics; music; physical training; and practical administrative skills. The most talented graduates became </w:t>
      </w:r>
      <w:r>
        <w:rPr>
          <w:i/>
          <w:iCs/>
        </w:rPr>
        <w:t xml:space="preserve">iç oğlanları</w:t>
      </w:r>
      <w:r>
        <w:t xml:space="preserve"> (inner pages) with direct access to the sultan. This represented perhaps the most rigorous leadership training program of the pre-modern world.</w:t>
      </w:r>
    </w:p>
    <w:p>
      <w:pPr>
        <w:pStyle w:val="Heading3"/>
      </w:pPr>
      <w:r>
        <w:t xml:space="preserve">Ulema Training Pipeline</w:t>
      </w:r>
    </w:p>
    <w:p>
      <w:pPr>
        <w:spacing w:after="200"/>
      </w:pPr>
      <w:r>
        <w:t xml:space="preserve">The ulema (religious-legal scholars) followed a formalized career progression: from student (</w:t>
      </w:r>
      <w:r>
        <w:rPr>
          <w:i/>
          <w:iCs/>
        </w:rPr>
        <w:t xml:space="preserve">talebe</w:t>
      </w:r>
      <w:r>
        <w:t xml:space="preserve"> or </w:t>
      </w:r>
      <w:r>
        <w:rPr>
          <w:i/>
          <w:iCs/>
        </w:rPr>
        <w:t xml:space="preserve">softa</w:t>
      </w:r>
      <w:r>
        <w:t xml:space="preserve">) to qualified scholar, then through ranks of teaching positions to judicial appointments (</w:t>
      </w:r>
      <w:r>
        <w:rPr>
          <w:i/>
          <w:iCs/>
        </w:rPr>
        <w:t xml:space="preserve">kadi</w:t>
      </w:r>
      <w:r>
        <w:t xml:space="preserve">), culminating potentially in the position of </w:t>
      </w:r>
      <w:r>
        <w:rPr>
          <w:i/>
          <w:iCs/>
        </w:rPr>
        <w:t xml:space="preserve">şeyhülislam</w:t>
      </w:r>
      <w:r>
        <w:t xml:space="preserve"> (chief religious authority). Madeline Zilfi's research reveals this as a highly competitive system with clear meritocratic elements, though family connections increasingly mattered in later periods.</w:t>
      </w:r>
    </w:p>
    <w:p>
      <w:pPr>
        <w:spacing w:after="200"/>
      </w:pPr>
      <w:r>
        <w:rPr>
          <w:b/>
          <w:bCs/>
        </w:rPr>
        <w:t xml:space="preserve">CAS Score Justification (Rise: 7.5/10): </w:t>
      </w:r>
      <w:r>
        <w:t xml:space="preserve">Strong foundational institutions: (1) medrese system providing standardized higher education; (2) Enderun as innovative leadership training; (3) effective ulema career pipeline; (4) incorporation of diverse scholarly traditions after 1453. Deductions: limited female education; dependence on manuscript culture limiting knowledge diffusion; regional variations in quality.</w:t>
      </w:r>
    </w:p>
    <w:p>
      <w:pPr>
        <w:pStyle w:val="Heading2"/>
      </w:pPr>
      <w:r>
        <w:t xml:space="preserve">Peak Phase (c. 1520-1683): Süleymaniye Zenith and Scientific Retreat</w:t>
      </w:r>
    </w:p>
    <w:p>
      <w:pPr>
        <w:pStyle w:val="Heading3"/>
      </w:pPr>
      <w:r>
        <w:t xml:space="preserve">The Süleymaniye Complex</w:t>
      </w:r>
    </w:p>
    <w:p>
      <w:pPr>
        <w:spacing w:after="200"/>
      </w:pPr>
      <w:r>
        <w:t xml:space="preserve">The Süleymaniye Complex, completed in the 1550s, represented the apex of Ottoman educational architecture. The complex included multiple specialized medreses, a </w:t>
      </w:r>
      <w:r>
        <w:rPr>
          <w:i/>
          <w:iCs/>
        </w:rPr>
        <w:t xml:space="preserve">darüşşifa</w:t>
      </w:r>
      <w:r>
        <w:t xml:space="preserve"> (hospital/medical school), </w:t>
      </w:r>
      <w:r>
        <w:rPr>
          <w:i/>
          <w:iCs/>
        </w:rPr>
        <w:t xml:space="preserve">darülhadis</w:t>
      </w:r>
      <w:r>
        <w:t xml:space="preserve"> (hadith academy), and extensive libraries. A 1566 </w:t>
      </w:r>
      <w:r>
        <w:rPr>
          <w:i/>
          <w:iCs/>
        </w:rPr>
        <w:t xml:space="preserve">ferman</w:t>
      </w:r>
      <w:r>
        <w:t xml:space="preserve"> of Süleyman I prescribed the curriculum for imperial medreses—the earliest Ottoman document systematically outlining educational content (İhsanoğlu and Filipovic, 2004).</w:t>
      </w:r>
    </w:p>
    <w:p>
      <w:pPr>
        <w:pStyle w:val="Heading3"/>
      </w:pPr>
      <w:r>
        <w:t xml:space="preserve">The Medrese Hierarchy</w:t>
      </w:r>
    </w:p>
    <w:p>
      <w:pPr>
        <w:spacing w:after="200"/>
      </w:pPr>
      <w:r>
        <w:t xml:space="preserve">Ottoman medreses were ranked in a formal hierarchy determining professor salaries and student stipends. By 1904, each provincial town had at least one medrese, while Istanbul hosted over 100. The curriculum emphasized textual mastery: students progressed through prescribed works in grammar, logic, rhetoric, jurisprudence, and Qur'anic exegesis. As one scholar noted, the education was 'individualized and directed at each student individually'—professors worked through texts systematically with students rather than delivering lectures (Tašköprüzāde's autobiographical accounts).</w:t>
      </w:r>
    </w:p>
    <w:p>
      <w:pPr>
        <w:pStyle w:val="Heading3"/>
      </w:pPr>
      <w:r>
        <w:t xml:space="preserve">The Observatory Episode and Scientific Retreat</w:t>
      </w:r>
    </w:p>
    <w:p>
      <w:pPr>
        <w:spacing w:after="200"/>
      </w:pPr>
      <w:r>
        <w:t xml:space="preserve">The fate of Taqi al-Din's observatory (1577-1580) encapsulates a broader pattern. Established with sultanic patronage, the observatory pursued advanced astronomical research—Taqi al-Din reportedly developed innovations including a 'rudimentary steam turbine.' Yet the observatory was destroyed in 1580, allegedly following an unfavorable comet interpretation. While the precise reasons remain debated (religious opposition, court politics, or genuine concern about astrological predictions), the episode symbolizes a growing preference for traditional over innovative knowledge.</w:t>
      </w:r>
    </w:p>
    <w:p>
      <w:pPr>
        <w:spacing w:after="200"/>
      </w:pPr>
      <w:r>
        <w:t xml:space="preserve">More broadly, the peak phase witnessed what İhsanoğlu identifies as a 'relative decline of rational sciences' within the medrese curriculum. The equilibrium shifted toward Islamic legal and textual sciences at the expense of mathematics, astronomy, and natural philosophy. This was not absolute rejection but relative deprioritization—with significant long-term consequences.</w:t>
      </w:r>
    </w:p>
    <w:p>
      <w:pPr>
        <w:spacing w:after="200"/>
      </w:pPr>
      <w:r>
        <w:rPr>
          <w:b/>
          <w:bCs/>
        </w:rPr>
        <w:t xml:space="preserve">CAS Score Justification (Peak: 8.0/10): </w:t>
      </w:r>
      <w:r>
        <w:t xml:space="preserve">Peak performance despite scientific concerns: (1) impressive institutional infrastructure (Süleymaniye complex); (2) formalized curriculum and career pathways; (3) effective mass education for ulema; (4) continued medical and practical training. Score elevated by institutional systematization; reduced by observatory destruction and scientific retreat indicators.</w:t>
      </w:r>
    </w:p>
    <w:p>
      <w:pPr>
        <w:pStyle w:val="Heading2"/>
      </w:pPr>
      <w:r>
        <w:t xml:space="preserve">Decline Phase (c. 1683-1922): Printing Revolution and Educational Dualism</w:t>
      </w:r>
    </w:p>
    <w:p>
      <w:pPr>
        <w:pStyle w:val="Heading3"/>
      </w:pPr>
      <w:r>
        <w:t xml:space="preserve">The Printing Press Question</w:t>
      </w:r>
    </w:p>
    <w:p>
      <w:pPr>
        <w:spacing w:after="200"/>
      </w:pPr>
      <w:r>
        <w:t xml:space="preserve">The delayed adoption of printing—approximately 270 years after Gutenberg—remains historiographically contested. Jews operated Hebrew presses in Istanbul from 1493, Armenians from 1567, and Greeks established presses in the seventeenth century. Christians printed Arabic texts in Aleppo from 1706-1711. Yet Muslim printing using Arabic script began only with İbrahim Müteferrika's press in 1727.</w:t>
      </w:r>
    </w:p>
    <w:p>
      <w:pPr>
        <w:spacing w:after="200"/>
      </w:pPr>
      <w:r>
        <w:t xml:space="preserve">The traditional narrative blamed ulema opposition, but Orlin Sabev's revisionist scholarship demonstrates that 'many members of the ulema were officially integrated into mechanisms of textual production and oversight' when printing commenced. Şeyhülislam Yenişehirli Abdullah Efendi's fetva authorized printing while excluding religious texts (law, exegesis, hadith, theology). Three kadis were appointed to verify printed books' accuracy.</w:t>
      </w:r>
    </w:p>
    <w:p>
      <w:pPr>
        <w:spacing w:after="200"/>
      </w:pPr>
      <w:r>
        <w:t xml:space="preserve">Müteferrika's press produced only 17 works in 22 volumes (approximately 12,700 copies total) before closing in 1742. Explanations include: technical difficulties with Arabic script (requiring 900+ sorts versus 50-100 for Latin); limited market for secular books when religious texts were prohibited; high production costs making printed books barely cheaper than manuscripts; and the commercial challenges of a monopoly press.</w:t>
      </w:r>
    </w:p>
    <w:p>
      <w:pPr>
        <w:spacing w:after="200"/>
      </w:pPr>
      <w:r>
        <w:rPr>
          <w:b/>
          <w:bCs/>
        </w:rPr>
        <w:t xml:space="preserve">Confidence Assessment: </w:t>
      </w:r>
      <w:r>
        <w:t xml:space="preserve">HIGH for chronology and production figures; MODERATE for causal explanations (multiple factors interacted); LOW confidence in any single-cause explanation for printing delay.</w:t>
      </w:r>
    </w:p>
    <w:p>
      <w:pPr>
        <w:pStyle w:val="Heading3"/>
      </w:pPr>
      <w:r>
        <w:t xml:space="preserve">Military Technical Schools</w:t>
      </w:r>
    </w:p>
    <w:p>
      <w:pPr>
        <w:spacing w:after="200"/>
      </w:pPr>
      <w:r>
        <w:t xml:space="preserve">Military defeats prompted establishment of technical schools: </w:t>
      </w:r>
      <w:r>
        <w:rPr>
          <w:i/>
          <w:iCs/>
        </w:rPr>
        <w:t xml:space="preserve">Hendesehane</w:t>
      </w:r>
      <w:r>
        <w:t xml:space="preserve"> (School of Geometry, 1734); </w:t>
      </w:r>
      <w:r>
        <w:rPr>
          <w:i/>
          <w:iCs/>
        </w:rPr>
        <w:t xml:space="preserve">Mühendishane-i Bahr-i Hümayun</w:t>
      </w:r>
      <w:r>
        <w:t xml:space="preserve"> (Imperial Naval Engineering School, 1773); </w:t>
      </w:r>
      <w:r>
        <w:rPr>
          <w:i/>
          <w:iCs/>
        </w:rPr>
        <w:t xml:space="preserve">Mühendishane-i Berr-i Hümayun</w:t>
      </w:r>
      <w:r>
        <w:t xml:space="preserve"> (Imperial Military Engineering School, 1795). The </w:t>
      </w:r>
      <w:r>
        <w:rPr>
          <w:i/>
          <w:iCs/>
        </w:rPr>
        <w:t xml:space="preserve">Tıbbiye</w:t>
      </w:r>
      <w:r>
        <w:t xml:space="preserve"> (Imperial Medical School, 1827) trained doctors on European models.</w:t>
      </w:r>
    </w:p>
    <w:p>
      <w:pPr>
        <w:pStyle w:val="Heading3"/>
      </w:pPr>
      <w:r>
        <w:t xml:space="preserve">Educational Dualism: Tanzimat Schools</w:t>
      </w:r>
    </w:p>
    <w:p>
      <w:pPr>
        <w:spacing w:after="200"/>
      </w:pPr>
      <w:r>
        <w:t xml:space="preserve">The Tanzimat era created a parallel secular school system: </w:t>
      </w:r>
      <w:r>
        <w:rPr>
          <w:i/>
          <w:iCs/>
        </w:rPr>
        <w:t xml:space="preserve">rüşdiye</w:t>
      </w:r>
      <w:r>
        <w:t xml:space="preserve"> (middle schools), </w:t>
      </w:r>
      <w:r>
        <w:rPr>
          <w:i/>
          <w:iCs/>
        </w:rPr>
        <w:t xml:space="preserve">idadi</w:t>
      </w:r>
      <w:r>
        <w:t xml:space="preserve"> (preparatory schools), </w:t>
      </w:r>
      <w:r>
        <w:rPr>
          <w:i/>
          <w:iCs/>
        </w:rPr>
        <w:t xml:space="preserve">sultani</w:t>
      </w:r>
      <w:r>
        <w:t xml:space="preserve"> (lycées). The </w:t>
      </w:r>
      <w:r>
        <w:rPr>
          <w:i/>
          <w:iCs/>
        </w:rPr>
        <w:t xml:space="preserve">Darülfünun</w:t>
      </w:r>
      <w:r>
        <w:t xml:space="preserve"> (Ottoman university) was established in 1863 after multiple failed attempts. As Benjamin Fortna documents in </w:t>
      </w:r>
      <w:r>
        <w:rPr>
          <w:i/>
          <w:iCs/>
        </w:rPr>
        <w:t xml:space="preserve">Imperial Classroom</w:t>
      </w:r>
      <w:r>
        <w:t xml:space="preserve">, this created fundamental tensions: medrese and modern school graduates competed for positions, held different worldviews, and produced a bifurcated elite.</w:t>
      </w:r>
    </w:p>
    <w:p>
      <w:pPr>
        <w:spacing w:after="200"/>
      </w:pPr>
      <w:r>
        <w:t xml:space="preserve">Foreign missionary schools further complicated the landscape. By the late nineteenth century, American, French, British, and German institutions operated throughout the empire—providing quality education but also spreading nationalist ideas and creating graduates oriented toward foreign powers.</w:t>
      </w:r>
    </w:p>
    <w:p>
      <w:pPr>
        <w:spacing w:after="200"/>
      </w:pPr>
      <w:r>
        <w:rPr>
          <w:b/>
          <w:bCs/>
        </w:rPr>
        <w:t xml:space="preserve">CAS Score Justification (Decline: 5.0/10): </w:t>
      </w:r>
      <w:r>
        <w:t xml:space="preserve">Severe degradation: (1) printing delay handicapped knowledge diffusion; (2) medrese stagnation while European universities advanced; (3) educational dualism produced fragmented elites; (4) foreign schools created competing loyalties; (5) belated reform attempts were incomplete. Partial mitigation: military schools produced modernizing cadre; Darülfünun eventually achieved some stability; literacy rates improved (though remained below 15% by 1914).</w:t>
      </w:r>
    </w:p>
    <w:p>
      <w:r>
        <w:br w:type="page"/>
      </w:r>
    </w:p>
    <w:p>
      <w:pPr>
        <w:pStyle w:val="Heading1"/>
      </w:pPr>
      <w:r>
        <w:t xml:space="preserve">DOMAIN 6: CULTURAL/IDEOLOGICAL</w:t>
      </w:r>
    </w:p>
    <w:p>
      <w:pPr>
        <w:pStyle w:val="Heading2"/>
      </w:pPr>
      <w:r>
        <w:t xml:space="preserve">Rise Phase (c. 1299-1520): Ghazi Ethos and Syncretic Tolerance</w:t>
      </w:r>
    </w:p>
    <w:p>
      <w:pPr>
        <w:pStyle w:val="Heading3"/>
      </w:pPr>
      <w:r>
        <w:t xml:space="preserve">The Ghazi Ideology Debate</w:t>
      </w:r>
    </w:p>
    <w:p>
      <w:pPr>
        <w:spacing w:after="200"/>
      </w:pPr>
      <w:r>
        <w:t xml:space="preserve">Paul Wittek's influential 'ghazi thesis' (1938) argued that early Ottoman expansion was driven by </w:t>
      </w:r>
      <w:r>
        <w:rPr>
          <w:i/>
          <w:iCs/>
        </w:rPr>
        <w:t xml:space="preserve">ghazi</w:t>
      </w:r>
      <w:r>
        <w:t xml:space="preserve"> ideology—holy war against Christian infidels. Subsequent scholars including Cemal Kafadar have complicated this narrative, emphasizing the 'metaethnic frontier' character of early Ottoman society where boundaries between Muslim and Christian were fluid. Kafadar's </w:t>
      </w:r>
      <w:r>
        <w:rPr>
          <w:i/>
          <w:iCs/>
        </w:rPr>
        <w:t xml:space="preserve">Between Two Worlds</w:t>
      </w:r>
      <w:r>
        <w:t xml:space="preserve"> (1995) reveals early Ottomans as frontier warriors who incorporated diverse religious and ethnic elements rather than rigid ideologues.</w:t>
      </w:r>
    </w:p>
    <w:p>
      <w:pPr>
        <w:spacing w:after="200"/>
      </w:pPr>
      <w:r>
        <w:t xml:space="preserve">The early Ottoman cultural milieu was remarkably syncretic: Sufi orders (particularly Bektashis and Mevlevis) blended Islamic mysticism with local traditions; Greek Christian converts served in high positions; and religious boundaries remained permeable. This flexibility enabled rapid expansion and incorporation of diverse populations.</w:t>
      </w:r>
    </w:p>
    <w:p>
      <w:pPr>
        <w:pStyle w:val="Heading3"/>
      </w:pPr>
      <w:r>
        <w:t xml:space="preserve">Sufi Orders and Popular Religion</w:t>
      </w:r>
    </w:p>
    <w:p>
      <w:pPr>
        <w:spacing w:after="200"/>
      </w:pPr>
      <w:r>
        <w:t xml:space="preserve">Sufi </w:t>
      </w:r>
      <w:r>
        <w:rPr>
          <w:i/>
          <w:iCs/>
        </w:rPr>
        <w:t xml:space="preserve">tarikat</w:t>
      </w:r>
      <w:r>
        <w:t xml:space="preserve"> (orders) played central roles in Ottoman society. The Bektashi order became closely associated with the Janissary corps, providing spiritual guidance and institutional identity. The Mevlevi order (founded by followers of Rumi) cultivated court connections and produced sophisticated cultural production. Nakshibandi Sufis emphasized integration with worldly life rather than withdrawal. These orders provided social services, educational functions, and spiritual community—serving as a parallel institutional network to the formal ulema hierarchy.</w:t>
      </w:r>
    </w:p>
    <w:p>
      <w:pPr>
        <w:pStyle w:val="Heading3"/>
      </w:pPr>
      <w:r>
        <w:t xml:space="preserve">Court Culture and Legitimation</w:t>
      </w:r>
    </w:p>
    <w:p>
      <w:pPr>
        <w:spacing w:after="200"/>
      </w:pPr>
      <w:r>
        <w:t xml:space="preserve">Early Ottoman court culture drew heavily on Persian literary traditions, with Turkish, Arabic, and Persian all used in different contexts. Sultans patronized poets, historians, and artists who crafted legitimating narratives. The conquest of Constantinople (1453) represented a crucial legitimation moment—Mehmed II styled himself as heir to both Roman and Islamic imperial traditions, adopting the title 'Kayser-i Rum' (Caesar of Rome) alongside Islamic titles.</w:t>
      </w:r>
    </w:p>
    <w:p>
      <w:pPr>
        <w:spacing w:after="200"/>
      </w:pPr>
      <w:r>
        <w:rPr>
          <w:b/>
          <w:bCs/>
        </w:rPr>
        <w:t xml:space="preserve">CAS Score Justification (Rise: 7.5/10): </w:t>
      </w:r>
      <w:r>
        <w:t xml:space="preserve">Effective cultural formation: (1) flexible ghazi ideology enabled expansion; (2) syncretic tolerance incorporated diverse populations; (3) Sufi orders provided social infrastructure; (4) successful legitimation narratives. Deductions: dependence on conquest for ideological coherence; potential tensions between syncretic practice and formal orthodoxy.</w:t>
      </w:r>
    </w:p>
    <w:p>
      <w:pPr>
        <w:pStyle w:val="Heading2"/>
      </w:pPr>
      <w:r>
        <w:t xml:space="preserve">Peak Phase (c. 1520-1683): Imperial Ideology and Architectural Magnificence</w:t>
      </w:r>
    </w:p>
    <w:p>
      <w:pPr>
        <w:pStyle w:val="Heading3"/>
      </w:pPr>
      <w:r>
        <w:t xml:space="preserve">The Caliphate and Islamic Leadership</w:t>
      </w:r>
    </w:p>
    <w:p>
      <w:pPr>
        <w:spacing w:after="200"/>
      </w:pPr>
      <w:r>
        <w:t xml:space="preserve">Selim I's conquest of Mamluk Egypt (1517) brought the symbolic caliphate to Ottoman hands. However, scholars debate whether the caliphate was emphasized during the peak period or became ideologically prominent only later (particularly under Abdülhamid II). Süleyman I styled himself 'Padişah-ı İslam' (Emperor of Islam) but also 'Kayser-i Rum'—maintaining multiple legitimacy registers simultaneously.</w:t>
      </w:r>
    </w:p>
    <w:p>
      <w:pPr>
        <w:pStyle w:val="Heading3"/>
      </w:pPr>
      <w:r>
        <w:t xml:space="preserve">Architectural Patronage: Sinan's Legacy</w:t>
      </w:r>
    </w:p>
    <w:p>
      <w:pPr>
        <w:spacing w:after="200"/>
      </w:pPr>
      <w:r>
        <w:t xml:space="preserve">Mimar Sinan (c. 1490-1588), chief imperial architect, constructed over 490 buildings including mosques, bridges, aqueducts, and public baths. His masterworks—the Şehzade, Süleymaniye, and Selimiye mosques—represented architectural achievements that rivaled or surpassed contemporary European construction. As Gülru Necipoğlu's research demonstrates, these buildings conveyed imperial ideology through spatial organization, decorative programs, and urban placement. Architecture served as 'frozen ideology'—physically manifesting Ottoman claims to universal empire.</w:t>
      </w:r>
    </w:p>
    <w:p>
      <w:pPr>
        <w:pStyle w:val="Heading3"/>
      </w:pPr>
      <w:r>
        <w:t xml:space="preserve">Sunni Orthodoxy and Kızılbaş Persecution</w:t>
      </w:r>
    </w:p>
    <w:p>
      <w:pPr>
        <w:spacing w:after="200"/>
      </w:pPr>
      <w:r>
        <w:t xml:space="preserve">The Safavid conversion of Iran to Shi'ism (from 1501) created an ideological rival. Ottoman authorities responded with increasing emphasis on Sunni orthodoxy and persecution of </w:t>
      </w:r>
      <w:r>
        <w:rPr>
          <w:i/>
          <w:iCs/>
        </w:rPr>
        <w:t xml:space="preserve">Kızılbaş</w:t>
      </w:r>
      <w:r>
        <w:t xml:space="preserve"> (Anatolian Shi'a/Alevi populations) suspected of Safavid sympathies. This represented a narrowing from earlier syncretic tolerance—ideological competition produced sharper boundaries and reduced flexibility.</w:t>
      </w:r>
    </w:p>
    <w:p>
      <w:pPr>
        <w:pStyle w:val="Heading3"/>
      </w:pPr>
      <w:r>
        <w:t xml:space="preserve">Literary and Artistic Production</w:t>
      </w:r>
    </w:p>
    <w:p>
      <w:pPr>
        <w:spacing w:after="200"/>
      </w:pPr>
      <w:r>
        <w:rPr>
          <w:i/>
          <w:iCs/>
        </w:rPr>
        <w:t xml:space="preserve">Divan</w:t>
      </w:r>
      <w:r>
        <w:t xml:space="preserve"> poetry reached its apex, with Baki (1526-1600) celebrated as the 'sultan of poets.' Historiographical production flourished, with court historians crafting elaborate chronicles legitimating sultanic rule. Miniature painting achieved remarkable sophistication, depicting court life, military campaigns, and festive processions in distinctive Ottoman style.</w:t>
      </w:r>
    </w:p>
    <w:p>
      <w:pPr>
        <w:spacing w:after="200"/>
      </w:pPr>
      <w:r>
        <w:rPr>
          <w:b/>
          <w:bCs/>
        </w:rPr>
        <w:t xml:space="preserve">CAS Score Justification (Peak: 8.5/10): </w:t>
      </w:r>
      <w:r>
        <w:t xml:space="preserve">Highest cultural score across all phases: (1) spectacular architectural achievement; (2) sophisticated literary and artistic production; (3) effective multiple-register legitimation; (4) successful projection of imperial magnificence. Deductions: narrowing orthodoxy reduced earlier flexibility; Kızılbaş persecution created internal enemies.</w:t>
      </w:r>
    </w:p>
    <w:p>
      <w:pPr>
        <w:pStyle w:val="Heading2"/>
      </w:pPr>
      <w:r>
        <w:t xml:space="preserve">Decline Phase (c. 1683-1922): Competing Ideologies and Identity Crisis</w:t>
      </w:r>
    </w:p>
    <w:p>
      <w:pPr>
        <w:pStyle w:val="Heading3"/>
      </w:pPr>
      <w:r>
        <w:t xml:space="preserve">The Tulip Era: Cultural Opening</w:t>
      </w:r>
    </w:p>
    <w:p>
      <w:pPr>
        <w:spacing w:after="200"/>
      </w:pPr>
      <w:r>
        <w:t xml:space="preserve">The </w:t>
      </w:r>
      <w:r>
        <w:rPr>
          <w:i/>
          <w:iCs/>
        </w:rPr>
        <w:t xml:space="preserve">Lale Devri</w:t>
      </w:r>
      <w:r>
        <w:t xml:space="preserve"> (Tulip Era, 1718-1730) represented a cultural opening: European-influenced garden pavilions, increased diplomatic contacts, and the establishment of Müteferrika's printing press. The era ended violently with the Patrona Halil Rebellion (1730), which some scholars interpret as popular reaction against elite westernization. The episode established a pattern: reform attempts provoking conservative backlash.</w:t>
      </w:r>
    </w:p>
    <w:p>
      <w:pPr>
        <w:pStyle w:val="Heading3"/>
      </w:pPr>
      <w:r>
        <w:t xml:space="preserve">Ottomanism, Pan-Islamism, and Turkism</w:t>
      </w:r>
    </w:p>
    <w:p>
      <w:pPr>
        <w:spacing w:after="200"/>
      </w:pPr>
      <w:r>
        <w:t xml:space="preserve">The decline phase witnessed competitive ideological experimentation. </w:t>
      </w:r>
      <w:r>
        <w:rPr>
          <w:i/>
          <w:iCs/>
        </w:rPr>
        <w:t xml:space="preserve">Ottomanism</w:t>
      </w:r>
      <w:r>
        <w:t xml:space="preserve"> (particularly during the Tanzimat) attempted to construct supranational citizenship regardless of religion—but proved increasingly untenable as nationalist movements gained strength. </w:t>
      </w:r>
      <w:r>
        <w:rPr>
          <w:i/>
          <w:iCs/>
        </w:rPr>
        <w:t xml:space="preserve">Pan-Islamism</w:t>
      </w:r>
      <w:r>
        <w:t xml:space="preserve"> under Abdülhamid II (r. 1876-1909) emphasized the caliphate and Islamic solidarity—but alienated non-Muslim subjects. </w:t>
      </w:r>
      <w:r>
        <w:rPr>
          <w:i/>
          <w:iCs/>
        </w:rPr>
        <w:t xml:space="preserve">Pan-Turkism</w:t>
      </w:r>
      <w:r>
        <w:t xml:space="preserve"> and </w:t>
      </w:r>
      <w:r>
        <w:rPr>
          <w:i/>
          <w:iCs/>
        </w:rPr>
        <w:t xml:space="preserve">Turkish nationalism</w:t>
      </w:r>
      <w:r>
        <w:t xml:space="preserve"> emerged with the Young Turks (particularly after 1908)—but excluded both non-Muslims and non-Turkish Muslims.</w:t>
      </w:r>
    </w:p>
    <w:p>
      <w:pPr>
        <w:spacing w:after="200"/>
      </w:pPr>
      <w:r>
        <w:t xml:space="preserve">As Şerif Mardin and M. Şükrü Hanioğlu have documented, late Ottoman intellectuals—Young Ottomans (Namık Kemal, Ziya Paşa) and Young Turks—engaged intensively with European political thought while attempting to reconcile it with Islamic tradition. This produced creative syntheses but also profound tensions.</w:t>
      </w:r>
    </w:p>
    <w:p>
      <w:pPr>
        <w:spacing w:after="200"/>
      </w:pPr>
      <w:r>
        <w:rPr>
          <w:b/>
          <w:bCs/>
        </w:rPr>
        <w:t xml:space="preserve">CAS Score Justification (Decline: 5.5/10): </w:t>
      </w:r>
      <w:r>
        <w:t xml:space="preserve">Ideological fragmentation: (1) no single legitimating ideology achieved broad acceptance; (2) successive experiments (Ottomanism, Pan-Islamism, Turkism) each created new enemies; (3) nationalist mobilization fragmented previously stable identities; (4) cultural production increasingly derivative of European models. Partial mitigation: vibrant intellectual life; creative synthesis attempts; some successful modernizing cultural reform.</w:t>
      </w:r>
    </w:p>
    <w:p>
      <w:r>
        <w:br w:type="page"/>
      </w:r>
    </w:p>
    <w:p>
      <w:pPr>
        <w:pStyle w:val="Heading1"/>
      </w:pPr>
      <w:r>
        <w:t xml:space="preserve">DOMAIN 7: TECHNOLOGICAL/INNOVATION</w:t>
      </w:r>
    </w:p>
    <w:p>
      <w:pPr>
        <w:pStyle w:val="Heading2"/>
      </w:pPr>
      <w:r>
        <w:t xml:space="preserve">Rise Phase (c. 1299-1520): Adaptive Adoption and Military Innovation</w:t>
      </w:r>
    </w:p>
    <w:p>
      <w:pPr>
        <w:pStyle w:val="Heading3"/>
      </w:pPr>
      <w:r>
        <w:t xml:space="preserve">Gunpowder Weapons Adoption</w:t>
      </w:r>
    </w:p>
    <w:p>
      <w:pPr>
        <w:spacing w:after="200"/>
      </w:pPr>
      <w:r>
        <w:t xml:space="preserve">Ottoman adoption of gunpowder weapons was rapid and effective. Gábor Ágoston's </w:t>
      </w:r>
      <w:r>
        <w:rPr>
          <w:i/>
          <w:iCs/>
        </w:rPr>
        <w:t xml:space="preserve">Guns for the Sultan</w:t>
      </w:r>
      <w:r>
        <w:t xml:space="preserve"> (2005) demonstrates that Ottomans deployed cannon by the late fourteenth century and achieved military superiority partly through artillery innovation. The famous siege cannons used at Constantinople (1453)—including the massive 'Basilica' cannon cast by Hungarian engineer Orban—demonstrated Ottoman capacity for both technology adoption and adaptation.</w:t>
      </w:r>
    </w:p>
    <w:p>
      <w:pPr>
        <w:spacing w:after="200"/>
      </w:pPr>
      <w:r>
        <w:t xml:space="preserve">The </w:t>
      </w:r>
      <w:r>
        <w:rPr>
          <w:i/>
          <w:iCs/>
        </w:rPr>
        <w:t xml:space="preserve">Tophane-i Amire</w:t>
      </w:r>
      <w:r>
        <w:t xml:space="preserve"> (Imperial Cannon Foundry) became a major production center. Ágoston's thesis challenges declinist narratives by demonstrating that Ottomans maintained self-sufficiency in weapons production through the eighteenth century—decline resulted from 'organizational/bureaucratic factors' rather than technological backwardness.</w:t>
      </w:r>
    </w:p>
    <w:p>
      <w:pPr>
        <w:pStyle w:val="Heading3"/>
      </w:pPr>
      <w:r>
        <w:t xml:space="preserve">Infrastructure Development</w:t>
      </w:r>
    </w:p>
    <w:p>
      <w:pPr>
        <w:spacing w:after="200"/>
      </w:pPr>
      <w:r>
        <w:t xml:space="preserve">Ottoman infrastructure served military and commercial needs: roads and bridges (</w:t>
      </w:r>
      <w:r>
        <w:rPr>
          <w:i/>
          <w:iCs/>
        </w:rPr>
        <w:t xml:space="preserve">köprü</w:t>
      </w:r>
      <w:r>
        <w:t xml:space="preserve">) facilitated troop movement; caravanserais (</w:t>
      </w:r>
      <w:r>
        <w:rPr>
          <w:i/>
          <w:iCs/>
        </w:rPr>
        <w:t xml:space="preserve">han</w:t>
      </w:r>
      <w:r>
        <w:t xml:space="preserve"> or </w:t>
      </w:r>
      <w:r>
        <w:rPr>
          <w:i/>
          <w:iCs/>
        </w:rPr>
        <w:t xml:space="preserve">kervansaray</w:t>
      </w:r>
      <w:r>
        <w:t xml:space="preserve">) supported long-distance trade; water supply systems (</w:t>
      </w:r>
      <w:r>
        <w:rPr>
          <w:i/>
          <w:iCs/>
        </w:rPr>
        <w:t xml:space="preserve">su kemeri</w:t>
      </w:r>
      <w:r>
        <w:t xml:space="preserve">, </w:t>
      </w:r>
      <w:r>
        <w:rPr>
          <w:i/>
          <w:iCs/>
        </w:rPr>
        <w:t xml:space="preserve">çeşme</w:t>
      </w:r>
      <w:r>
        <w:t xml:space="preserve">) sustained urban populations. The scale of construction—particularly aqueducts supplying Istanbul—rivaled Roman engineering achievements.</w:t>
      </w:r>
    </w:p>
    <w:p>
      <w:pPr>
        <w:spacing w:after="200"/>
      </w:pPr>
      <w:r>
        <w:rPr>
          <w:b/>
          <w:bCs/>
        </w:rPr>
        <w:t xml:space="preserve">CAS Score Justification (Rise: 7.0/10): </w:t>
      </w:r>
      <w:r>
        <w:t xml:space="preserve">Effective technology adoption: (1) rapid gunpowder weapons integration; (2) substantial infrastructure development; (3) adaptive rather than merely imitative approach; (4) successful naval construction program. Deductions: dependence on foreign technical expertise for some innovations; limited indigenous theoretical development.</w:t>
      </w:r>
    </w:p>
    <w:p>
      <w:pPr>
        <w:pStyle w:val="Heading2"/>
      </w:pPr>
      <w:r>
        <w:t xml:space="preserve">Peak Phase (c. 1520-1683): Military-Technological Parity</w:t>
      </w:r>
    </w:p>
    <w:p>
      <w:pPr>
        <w:pStyle w:val="Heading3"/>
      </w:pPr>
      <w:r>
        <w:t xml:space="preserve">Arsenal Production Capacity</w:t>
      </w:r>
    </w:p>
    <w:p>
      <w:pPr>
        <w:spacing w:after="200"/>
      </w:pPr>
      <w:r>
        <w:t xml:space="preserve">The peak phase saw impressive production capacity. The Tophane foundry produced cannon for both land and naval forces. The Tersane-i Amire (Imperial Arsenal) at Istanbul constructed galleys and other warships. Ágoston's research demonstrates production volumes comparable to major European powers—the technological 'gap' that later emerged was not yet apparent during this period.</w:t>
      </w:r>
    </w:p>
    <w:p>
      <w:pPr>
        <w:pStyle w:val="Heading3"/>
      </w:pPr>
      <w:r>
        <w:t xml:space="preserve">Naval Technology: The Galley Question</w:t>
      </w:r>
    </w:p>
    <w:p>
      <w:pPr>
        <w:spacing w:after="200"/>
      </w:pPr>
      <w:r>
        <w:t xml:space="preserve">Ottoman reliance on galleys—effective in the confined Mediterranean—became problematic as European navies transitioned to sailing warships capable of oceanic operations. The defeat at Lepanto (1571), while quickly recovered from in terms of fleet size, marked a symbolic turning point. More significantly, the Ottoman failure to develop an effective sailing navy limited power projection beyond the Mediterranean and Red Sea.</w:t>
      </w:r>
    </w:p>
    <w:p>
      <w:pPr>
        <w:pStyle w:val="Heading3"/>
      </w:pPr>
      <w:r>
        <w:t xml:space="preserve">The Printing Press Rejection</w:t>
      </w:r>
    </w:p>
    <w:p>
      <w:pPr>
        <w:spacing w:after="200"/>
      </w:pPr>
      <w:r>
        <w:t xml:space="preserve">Bayezid II's 1485 prohibition of Arabic-script printing is traditionally cited as a critical technological failure. However, the situation was more complex: the prohibition specifically concerned Muslims printing in Arabic script, while Jewish, Armenian, and Greek communities operated presses. The 1485 ban thus represented not technological ignorance but a specific regulatory choice—one whose consequences would nonetheless prove significant for knowledge diffusion.</w:t>
      </w:r>
    </w:p>
    <w:p>
      <w:pPr>
        <w:spacing w:after="200"/>
      </w:pPr>
      <w:r>
        <w:rPr>
          <w:b/>
          <w:bCs/>
        </w:rPr>
        <w:t xml:space="preserve">CAS Score Justification (Peak: 7.0/10): </w:t>
      </w:r>
      <w:r>
        <w:t xml:space="preserve">Maintained parity with European rivals: (1) impressive production capacity in arsenals and foundries; (2) sophisticated siege engineering; (3) continued infrastructure development. Deductions: galley path dependency; printing prohibition; observatory destruction; beginning of relative technological lag that would accelerate in decline phase.</w:t>
      </w:r>
    </w:p>
    <w:p>
      <w:pPr>
        <w:pStyle w:val="Heading2"/>
      </w:pPr>
      <w:r>
        <w:t xml:space="preserve">Decline Phase (c. 1683-1922): Widening Gap and Dependent Modernization</w:t>
      </w:r>
    </w:p>
    <w:p>
      <w:pPr>
        <w:pStyle w:val="Heading3"/>
      </w:pPr>
      <w:r>
        <w:t xml:space="preserve">The Technology Gap</w:t>
      </w:r>
    </w:p>
    <w:p>
      <w:pPr>
        <w:spacing w:after="200"/>
      </w:pPr>
      <w:r>
        <w:t xml:space="preserve">By the nineteenth century, the technological gap had become undeniable. European industrialization produced military and economic capabilities that traditional Ottoman methods could not match. The empire became dependent on imported weapons, foreign military advisors (notably Prussian officers), and European capital for infrastructure development.</w:t>
      </w:r>
    </w:p>
    <w:p>
      <w:pPr>
        <w:pStyle w:val="Heading3"/>
      </w:pPr>
      <w:r>
        <w:t xml:space="preserve">Railroad and Telegraph</w:t>
      </w:r>
    </w:p>
    <w:p>
      <w:pPr>
        <w:spacing w:after="200"/>
      </w:pPr>
      <w:r>
        <w:t xml:space="preserve">Modern infrastructure arrived primarily through foreign concessions. The first Ottoman railroad (İzmir-Aydın) opened in 1856; the telegraph network expanded from 1855. However, these systems were largely foreign-owned, foreign-operated, and oriented toward European strategic and commercial interests rather than Ottoman development priorities. The Anatolian and Baghdad railways became objects of Great Power competition rather than instruments of Ottoman modernization.</w:t>
      </w:r>
    </w:p>
    <w:p>
      <w:pPr>
        <w:pStyle w:val="Heading3"/>
      </w:pPr>
      <w:r>
        <w:t xml:space="preserve">Industrial Attempts</w:t>
      </w:r>
    </w:p>
    <w:p>
      <w:pPr>
        <w:spacing w:after="200"/>
      </w:pPr>
      <w:r>
        <w:t xml:space="preserve">State-sponsored industrial ventures achieved limited success. The Feshane (fez factory) and Zeytinburnu ironworks represented import-substitution attempts, but could not compete with European manufactures. Donald Quataert's research reveals a more complex picture than simple 'deindustrialization'—Ottoman manufacturers adopted strategies including reduced wages and low-technology inputs to survive—but the overall trajectory remained one of relative decline.</w:t>
      </w:r>
    </w:p>
    <w:p>
      <w:pPr>
        <w:spacing w:after="200"/>
      </w:pPr>
      <w:r>
        <w:rPr>
          <w:b/>
          <w:bCs/>
        </w:rPr>
        <w:t xml:space="preserve">CAS Score Justification (Decline: 4.5/10): </w:t>
      </w:r>
      <w:r>
        <w:t xml:space="preserve">Severe technological dependence: (1) widening gap with European industrial powers; (2) infrastructure development controlled by foreign interests; (3) failed import-substitution attempts; (4) military technology completely dependent on imports by late period. Partial mitigation: some adaptive capacity retained in traditional manufactures (Quataert's thesis); technical education producing modernizing cadres.</w:t>
      </w:r>
    </w:p>
    <w:p>
      <w:r>
        <w:br w:type="page"/>
      </w:r>
    </w:p>
    <w:p>
      <w:pPr>
        <w:pStyle w:val="Heading1"/>
      </w:pPr>
      <w:r>
        <w:t xml:space="preserve">DOMAIN 8: DEMOGRAPHIC CAPACITY</w:t>
      </w:r>
    </w:p>
    <w:p>
      <w:pPr>
        <w:pStyle w:val="Heading2"/>
      </w:pPr>
      <w:r>
        <w:t xml:space="preserve">Rise Phase (c. 1299-1520): Expansion and Incorporation</w:t>
      </w:r>
    </w:p>
    <w:p>
      <w:pPr>
        <w:pStyle w:val="Heading3"/>
      </w:pPr>
      <w:r>
        <w:t xml:space="preserve">Population Estimates and Sources</w:t>
      </w:r>
    </w:p>
    <w:p>
      <w:pPr>
        <w:spacing w:after="200"/>
      </w:pPr>
      <w:r>
        <w:t xml:space="preserve">Pre-modern Ottoman demographic data derives primarily from </w:t>
      </w:r>
      <w:r>
        <w:rPr>
          <w:i/>
          <w:iCs/>
        </w:rPr>
        <w:t xml:space="preserve">tahrir</w:t>
      </w:r>
      <w:r>
        <w:t xml:space="preserve"> (cadastral) registers conducted for tax purposes. Ömer Lütfi Barkan's pioneering work on these registers established methodologies still used today, though interpretation remains contested. Estimates suggest the empire's population grew substantially during the rise phase, driven by territorial expansion, economic development, and relative internal peace.</w:t>
      </w:r>
    </w:p>
    <w:p>
      <w:pPr>
        <w:pStyle w:val="Heading3"/>
      </w:pPr>
      <w:r>
        <w:t xml:space="preserve">Istanbul's Repopulation</w:t>
      </w:r>
    </w:p>
    <w:p>
      <w:pPr>
        <w:spacing w:after="200"/>
      </w:pPr>
      <w:r>
        <w:t xml:space="preserve">Constantinople's population, devastated by siege and earlier decline, required active repopulation. Mehmed II implemented </w:t>
      </w:r>
      <w:r>
        <w:rPr>
          <w:i/>
          <w:iCs/>
        </w:rPr>
        <w:t xml:space="preserve">sürgün</w:t>
      </w:r>
      <w:r>
        <w:t xml:space="preserve"> (forced resettlement) policies, transferring populations from conquered territories. Jews expelled from Spain (1492) were actively welcomed. By the early sixteenth century, Istanbul had become one of Europe's largest cities.</w:t>
      </w:r>
    </w:p>
    <w:p>
      <w:pPr>
        <w:pStyle w:val="Heading3"/>
      </w:pPr>
      <w:r>
        <w:t xml:space="preserve">Nomadic Populations</w:t>
      </w:r>
    </w:p>
    <w:p>
      <w:pPr>
        <w:spacing w:after="200"/>
      </w:pPr>
      <w:r>
        <w:t xml:space="preserve">Significant nomadic populations (Yörük, Türkmen) remained throughout Anatolia. The central government pursued settlement policies, both for tax purposes and to stabilize frontier regions. This represented a long-term demographic engineering project—transforming mobile pastoralists into settled agriculturalists—that would continue across centuries.</w:t>
      </w:r>
    </w:p>
    <w:p>
      <w:pPr>
        <w:spacing w:after="200"/>
      </w:pPr>
      <w:r>
        <w:rPr>
          <w:b/>
          <w:bCs/>
        </w:rPr>
        <w:t xml:space="preserve">CAS Score Justification (Rise: 7.5/10): </w:t>
      </w:r>
      <w:r>
        <w:t xml:space="preserve">Effective demographic management: (1) successful incorporation of diverse populations; (2) effective repopulation of conquered territories; (3) growing urban centers; (4) relatively stable rural population. Deductions: Black Death impacts (though less severe than Western Europe); incomplete control of nomadic populations.</w:t>
      </w:r>
    </w:p>
    <w:p>
      <w:pPr>
        <w:pStyle w:val="Heading2"/>
      </w:pPr>
      <w:r>
        <w:t xml:space="preserve">Peak Phase (c. 1520-1683): Urban Apogee and Rural Crisis</w:t>
      </w:r>
    </w:p>
    <w:p>
      <w:pPr>
        <w:pStyle w:val="Heading3"/>
      </w:pPr>
      <w:r>
        <w:t xml:space="preserve">Istanbul's Growth</w:t>
      </w:r>
    </w:p>
    <w:p>
      <w:pPr>
        <w:spacing w:after="200"/>
      </w:pPr>
      <w:r>
        <w:t xml:space="preserve">Istanbul became the largest city in Europe, with population estimates ranging from 400,000 to 700,000 by 1600. The city required massive provisioning systems drawing resources from across the empire. This urban concentration represented both achievement and vulnerability—dependent on complex supply chains susceptible to disruption.</w:t>
      </w:r>
    </w:p>
    <w:p>
      <w:pPr>
        <w:pStyle w:val="Heading3"/>
      </w:pPr>
      <w:r>
        <w:t xml:space="preserve">Celali Rebellions and Rural Depopulation</w:t>
      </w:r>
    </w:p>
    <w:p>
      <w:pPr>
        <w:spacing w:after="200"/>
      </w:pPr>
      <w:r>
        <w:t xml:space="preserve">The Celali Rebellions (1596-1610) devastated Anatolian countryside. Peasants fled to cities or mountains; villages were abandoned; agricultural production collapsed in affected regions. While the rebellions were eventually suppressed, demographic recovery took generations. This episode revealed the fragility of rural demographic stability when central authority weakened.</w:t>
      </w:r>
    </w:p>
    <w:p>
      <w:pPr>
        <w:pStyle w:val="Heading3"/>
      </w:pPr>
      <w:r>
        <w:t xml:space="preserve">Plague Cycles</w:t>
      </w:r>
    </w:p>
    <w:p>
      <w:pPr>
        <w:spacing w:after="200"/>
      </w:pPr>
      <w:r>
        <w:t xml:space="preserve">As Nükhet Varlık's research demonstrates, plague remained endemic throughout the Ottoman period, with periodic epidemic outbreaks causing significant mortality. The demographic impact, while difficult to quantify precisely, shaped population patterns and urban development. Ottoman responses included quarantine measures (particularly after European influence) but these were inconsistently implemented.</w:t>
      </w:r>
    </w:p>
    <w:p>
      <w:pPr>
        <w:spacing w:after="200"/>
      </w:pPr>
      <w:r>
        <w:rPr>
          <w:b/>
          <w:bCs/>
        </w:rPr>
        <w:t xml:space="preserve">CAS Score Justification (Peak: 7.0/10): </w:t>
      </w:r>
      <w:r>
        <w:t xml:space="preserve">Mixed demographic performance: (1) impressive urban growth, particularly Istanbul; (2) sophisticated provisioning systems; (3) diverse population effectively administered. Deductions: Celali devastation of Anatolian population; continuing plague mortality; rural-urban imbalances; population possibly declining in late seventeenth century.</w:t>
      </w:r>
    </w:p>
    <w:p>
      <w:pPr>
        <w:pStyle w:val="Heading2"/>
      </w:pPr>
      <w:r>
        <w:t xml:space="preserve">Decline Phase (c. 1683-1922): Loss, Influx, and Catastrophe</w:t>
      </w:r>
    </w:p>
    <w:p>
      <w:pPr>
        <w:pStyle w:val="Heading3"/>
      </w:pPr>
      <w:r>
        <w:t xml:space="preserve">The First Ottoman Census (1831)</w:t>
      </w:r>
    </w:p>
    <w:p>
      <w:pPr>
        <w:spacing w:after="200"/>
      </w:pPr>
      <w:r>
        <w:t xml:space="preserve">The first systematic Ottoman census (1831) counted only males for military and tax purposes. Kemal Karpat's analysis of the 1881/82-1893 census provides more reliable data: approximately 17.4 million in the empire's remaining territories. Population estimates for 1800 suggest 25-32 million (including European provinces), indicating massive losses from territorial cessions and the demographic violence accompanying them.</w:t>
      </w:r>
    </w:p>
    <w:p>
      <w:pPr>
        <w:pStyle w:val="Heading3"/>
      </w:pPr>
      <w:r>
        <w:t xml:space="preserve">Refugee Waves</w:t>
      </w:r>
    </w:p>
    <w:p>
      <w:pPr>
        <w:spacing w:after="200"/>
      </w:pPr>
      <w:r>
        <w:t xml:space="preserve">Between 1783 and 1913, approximately 5-7 million Muslim refugees entered Ottoman territories. Major waves included Crimean Tatars (200,000+ after 1783 Russian annexation); Circassians (1-1.5 million during 1850s-1860s Russian ethnic cleansing); and Balkan Muslims (several million after 1878 and 1912-1913 wars). These muhacir reshaped Anatolian demographics and created significant administrative challenges.</w:t>
      </w:r>
    </w:p>
    <w:p>
      <w:pPr>
        <w:pStyle w:val="Heading3"/>
      </w:pPr>
      <w:r>
        <w:t xml:space="preserve">World War I Catastrophe</w:t>
      </w:r>
    </w:p>
    <w:p>
      <w:pPr>
        <w:spacing w:after="200"/>
      </w:pPr>
      <w:r>
        <w:t xml:space="preserve">The demographic catastrophe of 1914-1922 included: military casualties (estimated 500,000+); civilian deaths from famine, disease, and displacement; the Armenian Genocide (estimates range from 600,000 to 1.5 million deaths); Greek deportations and population exchange; and the massive disruption of the War of Independence. The Anatolian population emerging into the Turkish Republic was fundamentally transformed from the diverse Ottoman demographic structure.</w:t>
      </w:r>
    </w:p>
    <w:p>
      <w:pPr>
        <w:spacing w:after="200"/>
      </w:pPr>
      <w:r>
        <w:rPr>
          <w:b/>
          <w:bCs/>
        </w:rPr>
        <w:t xml:space="preserve">Confidence Assessment: </w:t>
      </w:r>
      <w:r>
        <w:t xml:space="preserve">MODERATE for population estimates (census data exists but reliability varies); HIGH for refugee wave patterns; MODERATE-HIGH for WWI mortality (estimates vary significantly); contested for Armenian Genocide death toll (scholarly consensus exists but exact numbers debated).</w:t>
      </w:r>
    </w:p>
    <w:p>
      <w:pPr>
        <w:spacing w:after="200"/>
      </w:pPr>
      <w:r>
        <w:rPr>
          <w:b/>
          <w:bCs/>
        </w:rPr>
        <w:t xml:space="preserve">CAS Score Justification (Decline: 4.0/10): </w:t>
      </w:r>
      <w:r>
        <w:t xml:space="preserve">Demographic catastrophe: (1) massive population losses from territorial cessions; (2) refugee crises straining resources; (3) WWI mortality and displacement; (4) systematic violence against Armenian and Greek populations; (5) emigration to Americas. Partial mitigation: successful refugee resettlement in some regions; population growth in remaining Anatolian heartland despite losses.</w:t>
      </w:r>
    </w:p>
    <w:p>
      <w:r>
        <w:br w:type="page"/>
      </w:r>
    </w:p>
    <w:p>
      <w:pPr>
        <w:pStyle w:val="Heading1"/>
      </w:pPr>
      <w:r>
        <w:t xml:space="preserve">CROSS-DOMAIN FEEDBACK LOOPS</w:t>
      </w:r>
    </w:p>
    <w:p>
      <w:pPr>
        <w:spacing w:after="200"/>
      </w:pPr>
      <w:r>
        <w:t xml:space="preserve">The Capability Tier domains exhibit strong interconnections that amplified both positive and negative developments:</w:t>
      </w:r>
    </w:p>
    <w:p>
      <w:pPr>
        <w:pStyle w:val="Heading2"/>
      </w:pPr>
      <w:r>
        <w:t xml:space="preserve">Rise Phase Positive Feedback</w:t>
      </w:r>
    </w:p>
    <w:p>
      <w:pPr>
        <w:pStyle w:val="ListParagraph"/>
        <w:numPr>
          <w:ilvl w:val="0"/>
          <w:numId w:val="2"/>
        </w:numPr>
      </w:pPr>
      <w:r>
        <w:rPr>
          <w:b/>
          <w:bCs/>
        </w:rPr>
        <w:t xml:space="preserve">Devşirme → Education → Governance: </w:t>
      </w:r>
      <w:r>
        <w:t xml:space="preserve">Talented Christian boys received intensive Enderun training, producing competent administrators who strengthened governance capacity.</w:t>
      </w:r>
    </w:p>
    <w:p>
      <w:pPr>
        <w:pStyle w:val="ListParagraph"/>
        <w:numPr>
          <w:ilvl w:val="0"/>
          <w:numId w:val="2"/>
        </w:numPr>
      </w:pPr>
      <w:r>
        <w:rPr>
          <w:b/>
          <w:bCs/>
        </w:rPr>
        <w:t xml:space="preserve">Military Technology → Expansion → Demographics: </w:t>
      </w:r>
      <w:r>
        <w:t xml:space="preserve">Superior gunpowder weapons enabled conquest, which incorporated new populations, which provided resources for further military development.</w:t>
      </w:r>
    </w:p>
    <w:p>
      <w:pPr>
        <w:pStyle w:val="ListParagraph"/>
        <w:numPr>
          <w:ilvl w:val="0"/>
          <w:numId w:val="2"/>
        </w:numPr>
      </w:pPr>
      <w:r>
        <w:rPr>
          <w:b/>
          <w:bCs/>
        </w:rPr>
        <w:t xml:space="preserve">Sufi Orders → Social Cohesion → Military Morale: </w:t>
      </w:r>
      <w:r>
        <w:t xml:space="preserve">Bektashi spiritual guidance strengthened Janissary identity and battlefield cohesion.</w:t>
      </w:r>
    </w:p>
    <w:p>
      <w:pPr>
        <w:pStyle w:val="Heading2"/>
      </w:pPr>
      <w:r>
        <w:t xml:space="preserve">Decline Phase Negative Feedback</w:t>
      </w:r>
    </w:p>
    <w:p>
      <w:pPr>
        <w:pStyle w:val="ListParagraph"/>
        <w:numPr>
          <w:ilvl w:val="0"/>
          <w:numId w:val="2"/>
        </w:numPr>
      </w:pPr>
      <w:r>
        <w:rPr>
          <w:b/>
          <w:bCs/>
        </w:rPr>
        <w:t xml:space="preserve">Printing Delay → Educational Stagnation → Technological Gap: </w:t>
      </w:r>
      <w:r>
        <w:t xml:space="preserve">Limited printed materials hampered knowledge diffusion, which slowed educational development, which widened the technological gap with Europe.</w:t>
      </w:r>
    </w:p>
    <w:p>
      <w:pPr>
        <w:pStyle w:val="ListParagraph"/>
        <w:numPr>
          <w:ilvl w:val="0"/>
          <w:numId w:val="2"/>
        </w:numPr>
      </w:pPr>
      <w:r>
        <w:rPr>
          <w:b/>
          <w:bCs/>
        </w:rPr>
        <w:t xml:space="preserve">Ayan Rise → Social Fragmentation → Demographic Displacement: </w:t>
      </w:r>
      <w:r>
        <w:t xml:space="preserve">Provincial notable power fragmented central control, enabling local conflicts that displaced rural populations.</w:t>
      </w:r>
    </w:p>
    <w:p>
      <w:pPr>
        <w:pStyle w:val="ListParagraph"/>
        <w:numPr>
          <w:ilvl w:val="0"/>
          <w:numId w:val="2"/>
        </w:numPr>
      </w:pPr>
      <w:r>
        <w:rPr>
          <w:b/>
          <w:bCs/>
        </w:rPr>
        <w:t xml:space="preserve">Ideological Competition → Social Fragmentation → Violence: </w:t>
      </w:r>
      <w:r>
        <w:t xml:space="preserve">Competing nationalisms (Ottomanism, Pan-Islamism, Turkism, various ethnic nationalisms) fragmented previously stable inter-communal relations, enabling demographic catastrophe.</w:t>
      </w:r>
    </w:p>
    <w:p>
      <w:r>
        <w:br w:type="page"/>
      </w:r>
    </w:p>
    <w:p>
      <w:pPr>
        <w:pStyle w:val="Heading1"/>
      </w:pPr>
      <w:r>
        <w:t xml:space="preserve">THEORETICAL FRAMEWORK CONNECTIONS</w:t>
      </w:r>
    </w:p>
    <w:p>
      <w:pPr>
        <w:pStyle w:val="Heading2"/>
      </w:pPr>
      <w:r>
        <w:t xml:space="preserve">Timur Kuran's Long Divergence Thesis</w:t>
      </w:r>
    </w:p>
    <w:p>
      <w:pPr>
        <w:spacing w:after="200"/>
      </w:pPr>
      <w:r>
        <w:t xml:space="preserve">Kuran's </w:t>
      </w:r>
      <w:r>
        <w:rPr>
          <w:i/>
          <w:iCs/>
        </w:rPr>
        <w:t xml:space="preserve">The Long Divergence</w:t>
      </w:r>
      <w:r>
        <w:t xml:space="preserve"> (2011) argues that Islamic legal institutions—inheritance rules, partnership law, the waqf—created path dependencies that inhibited economic development. The Ottoman case partially supports and partially challenges this thesis:</w:t>
      </w:r>
    </w:p>
    <w:p>
      <w:pPr>
        <w:pStyle w:val="ListParagraph"/>
        <w:numPr>
          <w:ilvl w:val="0"/>
          <w:numId w:val="2"/>
        </w:numPr>
      </w:pPr>
      <w:r>
        <w:rPr>
          <w:b/>
          <w:bCs/>
        </w:rPr>
        <w:t xml:space="preserve">Supporting evidence: </w:t>
      </w:r>
      <w:r>
        <w:t xml:space="preserve">The absence of corporate forms limited capital accumulation; the waqf system locked resources into inflexible arrangements; partnership dissolution upon partner death hampered long-term enterprise development.</w:t>
      </w:r>
    </w:p>
    <w:p>
      <w:pPr>
        <w:pStyle w:val="ListParagraph"/>
        <w:numPr>
          <w:ilvl w:val="0"/>
          <w:numId w:val="2"/>
        </w:numPr>
      </w:pPr>
      <w:r>
        <w:rPr>
          <w:b/>
          <w:bCs/>
        </w:rPr>
        <w:t xml:space="preserve">Challenging evidence: </w:t>
      </w:r>
      <w:r>
        <w:t xml:space="preserve">Ottoman institutions were remarkably flexible in practice; the cash waqf emerged as a workaround for credit restrictions; the state sector achieved impressive scale without corporate law; decline was organizational/bureaucratic (Ágoston) rather than inherently institutional.</w:t>
      </w:r>
    </w:p>
    <w:p>
      <w:pPr>
        <w:pStyle w:val="Heading2"/>
      </w:pPr>
      <w:r>
        <w:t xml:space="preserve">Habermas and the Coffee House Public Sphere</w:t>
      </w:r>
    </w:p>
    <w:p>
      <w:pPr>
        <w:spacing w:after="200"/>
      </w:pPr>
      <w:r>
        <w:t xml:space="preserve">The Ottoman coffee house provides a fascinating test case for Habermasian public sphere theory. Scholars including Cemal Kafadar and Dana Sajdi have analyzed the kahvehane as a space where 'people of diverse social positions met and engaged in debates.' However, the Ottoman public sphere differed fundamentally from Habermas's bourgeois model—it was not rationalist, not oriented toward political deliberation in the European sense, and not linked to representative institutions. The coffee house created 'publicness' without creating 'public opinion' in the political sense that would transform governance.</w:t>
      </w:r>
    </w:p>
    <w:p>
      <w:pPr>
        <w:pStyle w:val="Heading2"/>
      </w:pPr>
      <w:r>
        <w:t xml:space="preserve">Peter Turchin's Demographic-Structural Theory</w:t>
      </w:r>
    </w:p>
    <w:p>
      <w:pPr>
        <w:spacing w:after="200"/>
      </w:pPr>
      <w:r>
        <w:t xml:space="preserve">Turchin's framework emphasizes elite overproduction, popular immiseration, and state fiscal crisis as drivers of sociopolitical instability. The Ottoman case shows:</w:t>
      </w:r>
    </w:p>
    <w:p>
      <w:pPr>
        <w:pStyle w:val="ListParagraph"/>
        <w:numPr>
          <w:ilvl w:val="0"/>
          <w:numId w:val="2"/>
        </w:numPr>
      </w:pPr>
      <w:r>
        <w:rPr>
          <w:b/>
          <w:bCs/>
        </w:rPr>
        <w:t xml:space="preserve">Elite overproduction: </w:t>
      </w:r>
      <w:r>
        <w:t xml:space="preserve">The end of devşirme and the hereditarization of askeri status created elite overcrowding; more candidates competed for fewer positions.</w:t>
      </w:r>
    </w:p>
    <w:p>
      <w:pPr>
        <w:pStyle w:val="ListParagraph"/>
        <w:numPr>
          <w:ilvl w:val="0"/>
          <w:numId w:val="2"/>
        </w:numPr>
      </w:pPr>
      <w:r>
        <w:rPr>
          <w:b/>
          <w:bCs/>
        </w:rPr>
        <w:t xml:space="preserve">Popular immiseration: </w:t>
      </w:r>
      <w:r>
        <w:t xml:space="preserve">The Celali Rebellions and later rural crises indicate peasant distress; nineteenth-century economic competition intensified urban worker vulnerability.</w:t>
      </w:r>
    </w:p>
    <w:p>
      <w:pPr>
        <w:pStyle w:val="ListParagraph"/>
        <w:numPr>
          <w:ilvl w:val="0"/>
          <w:numId w:val="2"/>
        </w:numPr>
      </w:pPr>
      <w:r>
        <w:rPr>
          <w:b/>
          <w:bCs/>
        </w:rPr>
        <w:t xml:space="preserve">Fiscal crisis: </w:t>
      </w:r>
      <w:r>
        <w:t xml:space="preserve">The state's increasing fiscal dependence on foreign debt (culminating in 1881 OPDA) matches Turchin's predictions about state-society feedback loops.</w:t>
      </w:r>
    </w:p>
    <w:p>
      <w:r>
        <w:br w:type="page"/>
      </w:r>
    </w:p>
    <w:p>
      <w:pPr>
        <w:pStyle w:val="Heading1"/>
      </w:pPr>
      <w:r>
        <w:t xml:space="preserve">QUANTITATIVE DATA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Indicator</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Rise</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Peak</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Decline</w:t>
            </w:r>
          </w:p>
        </w:tc>
      </w:tr>
      <w:tr>
        <w:tc>
          <w:tcPr>
            <w:tcBorders>
              <w:top w:val="single" w:color="CCCCCC" w:sz="1"/>
              <w:left w:val="single" w:color="CCCCCC" w:sz="1"/>
              <w:bottom w:val="single" w:color="CCCCCC" w:sz="1"/>
              <w:right w:val="single" w:color="CCCCCC" w:sz="1"/>
            </w:tcBorders>
          </w:tcPr>
          <w:p>
            <w:r>
              <w:rPr>
                <w:sz w:val="20"/>
                <w:szCs w:val="20"/>
              </w:rPr>
              <w:t xml:space="preserve">Istanbul Population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~100,000 (1453)</w:t>
            </w:r>
          </w:p>
        </w:tc>
        <w:tc>
          <w:tcPr>
            <w:tcBorders>
              <w:top w:val="single" w:color="CCCCCC" w:sz="1"/>
              <w:left w:val="single" w:color="CCCCCC" w:sz="1"/>
              <w:bottom w:val="single" w:color="CCCCCC" w:sz="1"/>
              <w:right w:val="single" w:color="CCCCCC" w:sz="1"/>
            </w:tcBorders>
          </w:tcPr>
          <w:p>
            <w:pPr>
              <w:jc w:val="center"/>
            </w:pPr>
            <w:r>
              <w:rPr>
                <w:sz w:val="20"/>
                <w:szCs w:val="20"/>
              </w:rPr>
              <w:t xml:space="preserve">400-700K (1600)</w:t>
            </w:r>
          </w:p>
        </w:tc>
        <w:tc>
          <w:tcPr>
            <w:tcBorders>
              <w:top w:val="single" w:color="CCCCCC" w:sz="1"/>
              <w:left w:val="single" w:color="CCCCCC" w:sz="1"/>
              <w:bottom w:val="single" w:color="CCCCCC" w:sz="1"/>
              <w:right w:val="single" w:color="CCCCCC" w:sz="1"/>
            </w:tcBorders>
          </w:tcPr>
          <w:p>
            <w:pPr>
              <w:jc w:val="center"/>
            </w:pPr>
            <w:r>
              <w:rPr>
                <w:sz w:val="20"/>
                <w:szCs w:val="20"/>
              </w:rPr>
              <w:t xml:space="preserve">~400K (1800)</w:t>
            </w:r>
          </w:p>
        </w:tc>
      </w:tr>
      <w:tr>
        <w:tc>
          <w:tcPr>
            <w:tcBorders>
              <w:top w:val="single" w:color="CCCCCC" w:sz="1"/>
              <w:left w:val="single" w:color="CCCCCC" w:sz="1"/>
              <w:bottom w:val="single" w:color="CCCCCC" w:sz="1"/>
              <w:right w:val="single" w:color="CCCCCC" w:sz="1"/>
            </w:tcBorders>
          </w:tcPr>
          <w:p>
            <w:r>
              <w:rPr>
                <w:sz w:val="20"/>
                <w:szCs w:val="20"/>
              </w:rPr>
              <w:t xml:space="preserve">Coffee Houses (Istanbul)</w:t>
            </w:r>
          </w:p>
        </w:tc>
        <w:tc>
          <w:tcPr>
            <w:tcBorders>
              <w:top w:val="single" w:color="CCCCCC" w:sz="1"/>
              <w:left w:val="single" w:color="CCCCCC" w:sz="1"/>
              <w:bottom w:val="single" w:color="CCCCCC" w:sz="1"/>
              <w:right w:val="single" w:color="CCCCCC" w:sz="1"/>
            </w:tcBorders>
          </w:tcPr>
          <w:p>
            <w:pPr>
              <w:jc w:val="center"/>
            </w:pPr>
            <w:r>
              <w:rPr>
                <w:sz w:val="20"/>
                <w:szCs w:val="20"/>
              </w:rPr>
              <w:t xml:space="preserve">0 (pre-1555)</w:t>
            </w:r>
          </w:p>
        </w:tc>
        <w:tc>
          <w:tcPr>
            <w:tcBorders>
              <w:top w:val="single" w:color="CCCCCC" w:sz="1"/>
              <w:left w:val="single" w:color="CCCCCC" w:sz="1"/>
              <w:bottom w:val="single" w:color="CCCCCC" w:sz="1"/>
              <w:right w:val="single" w:color="CCCCCC" w:sz="1"/>
            </w:tcBorders>
          </w:tcPr>
          <w:p>
            <w:pPr>
              <w:jc w:val="center"/>
            </w:pPr>
            <w:r>
              <w:rPr>
                <w:sz w:val="20"/>
                <w:szCs w:val="20"/>
              </w:rPr>
              <w:t xml:space="preserve">600+ (c.1650)</w:t>
            </w:r>
          </w:p>
        </w:tc>
        <w:tc>
          <w:tcPr>
            <w:tcBorders>
              <w:top w:val="single" w:color="CCCCCC" w:sz="1"/>
              <w:left w:val="single" w:color="CCCCCC" w:sz="1"/>
              <w:bottom w:val="single" w:color="CCCCCC" w:sz="1"/>
              <w:right w:val="single" w:color="CCCCCC" w:sz="1"/>
            </w:tcBorders>
          </w:tcPr>
          <w:p>
            <w:pPr>
              <w:jc w:val="center"/>
            </w:pPr>
            <w:r>
              <w:rPr>
                <w:sz w:val="20"/>
                <w:szCs w:val="20"/>
              </w:rPr>
              <w:t xml:space="preserve">2,500+ (c.1800)</w:t>
            </w:r>
          </w:p>
        </w:tc>
      </w:tr>
      <w:tr>
        <w:tc>
          <w:tcPr>
            <w:tcBorders>
              <w:top w:val="single" w:color="CCCCCC" w:sz="1"/>
              <w:left w:val="single" w:color="CCCCCC" w:sz="1"/>
              <w:bottom w:val="single" w:color="CCCCCC" w:sz="1"/>
              <w:right w:val="single" w:color="CCCCCC" w:sz="1"/>
            </w:tcBorders>
          </w:tcPr>
          <w:p>
            <w:r>
              <w:rPr>
                <w:sz w:val="20"/>
                <w:szCs w:val="20"/>
              </w:rPr>
              <w:t xml:space="preserve">Medreses (Istanbul)</w:t>
            </w:r>
          </w:p>
        </w:tc>
        <w:tc>
          <w:tcPr>
            <w:tcBorders>
              <w:top w:val="single" w:color="CCCCCC" w:sz="1"/>
              <w:left w:val="single" w:color="CCCCCC" w:sz="1"/>
              <w:bottom w:val="single" w:color="CCCCCC" w:sz="1"/>
              <w:right w:val="single" w:color="CCCCCC" w:sz="1"/>
            </w:tcBorders>
          </w:tcPr>
          <w:p>
            <w:pPr>
              <w:jc w:val="center"/>
            </w:pPr>
            <w:r>
              <w:rPr>
                <w:sz w:val="20"/>
                <w:szCs w:val="20"/>
              </w:rPr>
              <w:t xml:space="preserve">16 (Sahn-ı Seman)</w:t>
            </w:r>
          </w:p>
        </w:tc>
        <w:tc>
          <w:tcPr>
            <w:tcBorders>
              <w:top w:val="single" w:color="CCCCCC" w:sz="1"/>
              <w:left w:val="single" w:color="CCCCCC" w:sz="1"/>
              <w:bottom w:val="single" w:color="CCCCCC" w:sz="1"/>
              <w:right w:val="single" w:color="CCCCCC" w:sz="1"/>
            </w:tcBorders>
          </w:tcPr>
          <w:p>
            <w:pPr>
              <w:jc w:val="center"/>
            </w:pPr>
            <w:r>
              <w:rPr>
                <w:sz w:val="20"/>
                <w:szCs w:val="20"/>
              </w:rPr>
              <w:t xml:space="preserve">Multiple complexes</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 (1904)</w:t>
            </w:r>
          </w:p>
        </w:tc>
      </w:tr>
      <w:tr>
        <w:tc>
          <w:tcPr>
            <w:tcBorders>
              <w:top w:val="single" w:color="CCCCCC" w:sz="1"/>
              <w:left w:val="single" w:color="CCCCCC" w:sz="1"/>
              <w:bottom w:val="single" w:color="CCCCCC" w:sz="1"/>
              <w:right w:val="single" w:color="CCCCCC" w:sz="1"/>
            </w:tcBorders>
          </w:tcPr>
          <w:p>
            <w:r>
              <w:rPr>
                <w:sz w:val="20"/>
                <w:szCs w:val="20"/>
              </w:rPr>
              <w:t xml:space="preserve">Printed Books (Müteferrika)</w:t>
            </w:r>
          </w:p>
        </w:tc>
        <w:tc>
          <w:tcPr>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sz w:val="20"/>
                <w:szCs w:val="20"/>
              </w:rPr>
              <w:t xml:space="preserve">17 works (1729-42)</w:t>
            </w:r>
          </w:p>
        </w:tc>
      </w:tr>
      <w:tr>
        <w:tc>
          <w:tcPr>
            <w:tcBorders>
              <w:top w:val="single" w:color="CCCCCC" w:sz="1"/>
              <w:left w:val="single" w:color="CCCCCC" w:sz="1"/>
              <w:bottom w:val="single" w:color="CCCCCC" w:sz="1"/>
              <w:right w:val="single" w:color="CCCCCC" w:sz="1"/>
            </w:tcBorders>
          </w:tcPr>
          <w:p>
            <w:r>
              <w:rPr>
                <w:sz w:val="20"/>
                <w:szCs w:val="20"/>
              </w:rPr>
              <w:t xml:space="preserve">Sinan's Buildings</w:t>
            </w:r>
          </w:p>
        </w:tc>
        <w:tc>
          <w:tcPr>
            <w:tcBorders>
              <w:top w:val="single" w:color="CCCCCC" w:sz="1"/>
              <w:left w:val="single" w:color="CCCCCC" w:sz="1"/>
              <w:bottom w:val="single" w:color="CCCCCC" w:sz="1"/>
              <w:right w:val="single" w:color="CCCCCC" w:sz="1"/>
            </w:tcBorders>
          </w:tcPr>
          <w:p>
            <w:pPr>
              <w:jc w:val="center"/>
            </w:pPr>
            <w:r>
              <w:rPr>
                <w:sz w:val="20"/>
                <w:szCs w:val="20"/>
              </w:rPr>
              <w:t xml:space="preserve">N/A</w:t>
            </w:r>
          </w:p>
        </w:tc>
        <w:tc>
          <w:tcPr>
            <w:tcBorders>
              <w:top w:val="single" w:color="CCCCCC" w:sz="1"/>
              <w:left w:val="single" w:color="CCCCCC" w:sz="1"/>
              <w:bottom w:val="single" w:color="CCCCCC" w:sz="1"/>
              <w:right w:val="single" w:color="CCCCCC" w:sz="1"/>
            </w:tcBorders>
          </w:tcPr>
          <w:p>
            <w:pPr>
              <w:jc w:val="center"/>
            </w:pPr>
            <w:r>
              <w:rPr>
                <w:sz w:val="20"/>
                <w:szCs w:val="20"/>
              </w:rPr>
              <w:t xml:space="preserve">490+</w:t>
            </w:r>
          </w:p>
        </w:tc>
        <w:tc>
          <w:tcPr>
            <w:tcBorders>
              <w:top w:val="single" w:color="CCCCCC" w:sz="1"/>
              <w:left w:val="single" w:color="CCCCCC" w:sz="1"/>
              <w:bottom w:val="single" w:color="CCCCCC" w:sz="1"/>
              <w:right w:val="single" w:color="CCCCCC" w:sz="1"/>
            </w:tcBorders>
          </w:tcPr>
          <w:p>
            <w:pPr>
              <w:jc w:val="center"/>
            </w:pPr>
            <w:r>
              <w:rPr>
                <w:sz w:val="20"/>
                <w:szCs w:val="20"/>
              </w:rPr>
              <w:t xml:space="preserve">N/A</w:t>
            </w:r>
          </w:p>
        </w:tc>
      </w:tr>
      <w:tr>
        <w:tc>
          <w:tcPr>
            <w:tcBorders>
              <w:top w:val="single" w:color="CCCCCC" w:sz="1"/>
              <w:left w:val="single" w:color="CCCCCC" w:sz="1"/>
              <w:bottom w:val="single" w:color="CCCCCC" w:sz="1"/>
              <w:right w:val="single" w:color="CCCCCC" w:sz="1"/>
            </w:tcBorders>
          </w:tcPr>
          <w:p>
            <w:r>
              <w:rPr>
                <w:sz w:val="20"/>
                <w:szCs w:val="20"/>
              </w:rPr>
              <w:t xml:space="preserve">Muslim Refugees (1783-1913)</w:t>
            </w:r>
          </w:p>
        </w:tc>
        <w:tc>
          <w:tcPr>
            <w:tcBorders>
              <w:top w:val="single" w:color="CCCCCC" w:sz="1"/>
              <w:left w:val="single" w:color="CCCCCC" w:sz="1"/>
              <w:bottom w:val="single" w:color="CCCCCC" w:sz="1"/>
              <w:right w:val="single" w:color="CCCCCC" w:sz="1"/>
            </w:tcBorders>
          </w:tcPr>
          <w:p>
            <w:pPr>
              <w:jc w:val="center"/>
            </w:pPr>
            <w:r>
              <w:rPr>
                <w:sz w:val="20"/>
                <w:szCs w:val="20"/>
              </w:rPr>
              <w:t xml:space="preserve">N/A</w:t>
            </w:r>
          </w:p>
        </w:tc>
        <w:tc>
          <w:tcPr>
            <w:tcBorders>
              <w:top w:val="single" w:color="CCCCCC" w:sz="1"/>
              <w:left w:val="single" w:color="CCCCCC" w:sz="1"/>
              <w:bottom w:val="single" w:color="CCCCCC" w:sz="1"/>
              <w:right w:val="single" w:color="CCCCCC" w:sz="1"/>
            </w:tcBorders>
          </w:tcPr>
          <w:p>
            <w:pPr>
              <w:jc w:val="center"/>
            </w:pPr>
            <w:r>
              <w:rPr>
                <w:sz w:val="20"/>
                <w:szCs w:val="20"/>
              </w:rPr>
              <w:t xml:space="preserve">N/A</w:t>
            </w:r>
          </w:p>
        </w:tc>
        <w:tc>
          <w:tcPr>
            <w:tcBorders>
              <w:top w:val="single" w:color="CCCCCC" w:sz="1"/>
              <w:left w:val="single" w:color="CCCCCC" w:sz="1"/>
              <w:bottom w:val="single" w:color="CCCCCC" w:sz="1"/>
              <w:right w:val="single" w:color="CCCCCC" w:sz="1"/>
            </w:tcBorders>
          </w:tcPr>
          <w:p>
            <w:pPr>
              <w:jc w:val="center"/>
            </w:pPr>
            <w:r>
              <w:rPr>
                <w:sz w:val="20"/>
                <w:szCs w:val="20"/>
              </w:rPr>
              <w:t xml:space="preserve">5-7 million</w:t>
            </w:r>
          </w:p>
        </w:tc>
      </w:tr>
      <w:tr>
        <w:tc>
          <w:tcPr>
            <w:tcBorders>
              <w:top w:val="single" w:color="CCCCCC" w:sz="1"/>
              <w:left w:val="single" w:color="CCCCCC" w:sz="1"/>
              <w:bottom w:val="single" w:color="CCCCCC" w:sz="1"/>
              <w:right w:val="single" w:color="CCCCCC" w:sz="1"/>
            </w:tcBorders>
          </w:tcPr>
          <w:p>
            <w:r>
              <w:rPr>
                <w:sz w:val="20"/>
                <w:szCs w:val="20"/>
              </w:rPr>
              <w:t xml:space="preserve">Empire Population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~8-12 million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~25-35 million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~17.4M (1893)</w:t>
            </w:r>
          </w:p>
        </w:tc>
      </w:tr>
    </w:tbl>
    <w:p>
      <w:pPr>
        <w:spacing w:before="200"/>
      </w:pPr>
      <w:r>
        <w:rPr>
          <w:b/>
          <w:bCs/>
          <w:sz w:val="20"/>
          <w:szCs w:val="20"/>
        </w:rPr>
        <w:t xml:space="preserve">Source Notes: </w:t>
      </w:r>
      <w:r>
        <w:rPr>
          <w:sz w:val="20"/>
          <w:szCs w:val="20"/>
        </w:rPr>
        <w:t xml:space="preserve">Population estimates from Barkan tahrir studies, Karpat census analysis, and Quataert synthesis. Coffee house figures from Kırlı and Hattox. Architectural data from Necipoğlu. Printing data from Sabev. All figures are estimates with MODERATE confidence; pre-1831 demographic data particularly uncertain.</w:t>
      </w:r>
    </w:p>
    <w:p>
      <w:r>
        <w:br w:type="page"/>
      </w:r>
    </w:p>
    <w:p>
      <w:pPr>
        <w:pStyle w:val="Heading1"/>
      </w:pPr>
      <w:r>
        <w:t xml:space="preserve">CORPORATE PARALLELS</w:t>
      </w:r>
    </w:p>
    <w:p>
      <w:pPr>
        <w:pStyle w:val="Heading2"/>
      </w:pPr>
      <w:r>
        <w:t xml:space="preserve">Social Mobility Mechanisms</w:t>
      </w:r>
    </w:p>
    <w:p>
      <w:pPr>
        <w:spacing w:after="200"/>
      </w:pPr>
      <w:r>
        <w:rPr>
          <w:b/>
          <w:bCs/>
        </w:rPr>
        <w:t xml:space="preserve">Ottoman Devşirme ↔ Corporate Talent Acquisition: </w:t>
      </w:r>
      <w:r>
        <w:t xml:space="preserve">The devşirme system's genius—identifying talent without regard to origin, intensive training, and placing graduates based on merit—parallels modern corporate practices of campus recruiting, management development programs, and internal promotion. The devşirme's decline through hereditarization mirrors corporate tendency toward 'cultural fit' hiring that reproduces existing demographics rather than maximizing talent identification.</w:t>
      </w:r>
    </w:p>
    <w:p>
      <w:pPr>
        <w:pStyle w:val="Heading2"/>
      </w:pPr>
      <w:r>
        <w:t xml:space="preserve">Knowledge Management</w:t>
      </w:r>
    </w:p>
    <w:p>
      <w:pPr>
        <w:spacing w:after="200"/>
      </w:pPr>
      <w:r>
        <w:rPr>
          <w:b/>
          <w:bCs/>
        </w:rPr>
        <w:t xml:space="preserve">Medrese Curriculum Stagnation ↔ Corporate Training Obsolescence: </w:t>
      </w:r>
      <w:r>
        <w:t xml:space="preserve">The Ottoman medrese system's narrowing curriculum—increasingly focused on traditional texts at the expense of evolving practical knowledge—parallels corporate training programs that fail to update for changing business environments. The printing delay represents a 'platform migration failure'—clinging to manuscript culture when print technology offered superior knowledge diffusion, analogous to companies that fail to adopt new technology platforms despite clear advantages.</w:t>
      </w:r>
    </w:p>
    <w:p>
      <w:pPr>
        <w:pStyle w:val="Heading2"/>
      </w:pPr>
      <w:r>
        <w:t xml:space="preserve">Organizational Culture</w:t>
      </w:r>
    </w:p>
    <w:p>
      <w:pPr>
        <w:spacing w:after="200"/>
      </w:pPr>
      <w:r>
        <w:rPr>
          <w:b/>
          <w:bCs/>
        </w:rPr>
        <w:t xml:space="preserve">Sufi Orders ↔ Corporate Culture: </w:t>
      </w:r>
      <w:r>
        <w:t xml:space="preserve">Sufi tarikat provided meaning, identity, and social cohesion beyond formal institutional structures—paralleling corporate culture's role in creating employee commitment beyond compensation. The Bektashi-Janissary connection demonstrates how spiritual/cultural institutions can reinforce operational effectiveness—and how their disruption (as in 1826) can have cascading organizational consequences.</w:t>
      </w:r>
    </w:p>
    <w:p>
      <w:pPr>
        <w:pStyle w:val="Heading2"/>
      </w:pPr>
      <w:r>
        <w:t xml:space="preserve">Innovation Resistance</w:t>
      </w:r>
    </w:p>
    <w:p>
      <w:pPr>
        <w:spacing w:after="200"/>
      </w:pPr>
      <w:r>
        <w:rPr>
          <w:b/>
          <w:bCs/>
        </w:rPr>
        <w:t xml:space="preserve">Printing Press Delay ↔ Digital Transformation Resistance: </w:t>
      </w:r>
      <w:r>
        <w:t xml:space="preserve">The Ottoman printing case—where multiple stakeholder groups (calligraphers, ulema, and perhaps manuscript dealers) resisted disruptive technology—directly parallels corporate digital transformation failures. The successful eventual adoption through İbrahim Müteferrika's careful coalition-building (securing fetva approval, partnering with Said Efendi, limiting initial scope to non-religious texts) offers a model for change management in resistant environments.</w:t>
      </w:r>
    </w:p>
    <w:p>
      <w:r>
        <w:br w:type="page"/>
      </w:r>
    </w:p>
    <w:p>
      <w:pPr>
        <w:pStyle w:val="Heading1"/>
      </w:pPr>
      <w:r>
        <w:t xml:space="preserve">FRAMEWORK CHALLENGES AND ANOMALIES</w:t>
      </w:r>
    </w:p>
    <w:p>
      <w:pPr>
        <w:pStyle w:val="Heading2"/>
      </w:pPr>
      <w:r>
        <w:t xml:space="preserve">Challenges to CAS Framework</w:t>
      </w:r>
    </w:p>
    <w:p>
      <w:pPr>
        <w:pStyle w:val="ListParagraph"/>
        <w:numPr>
          <w:ilvl w:val="0"/>
          <w:numId w:val="2"/>
        </w:numPr>
      </w:pPr>
      <w:r>
        <w:rPr>
          <w:b/>
          <w:bCs/>
        </w:rPr>
        <w:t xml:space="preserve">Timescale Misalignment: </w:t>
      </w:r>
      <w:r>
        <w:t xml:space="preserve">Educational and cultural changes operated on decadal/generational timescales while demographic and political events occurred over years or months. The framework struggles to capture these different temporal dynamics within consistent scoring.</w:t>
      </w:r>
    </w:p>
    <w:p>
      <w:pPr>
        <w:pStyle w:val="ListParagraph"/>
        <w:numPr>
          <w:ilvl w:val="0"/>
          <w:numId w:val="2"/>
        </w:numPr>
      </w:pPr>
      <w:r>
        <w:rPr>
          <w:b/>
          <w:bCs/>
        </w:rPr>
        <w:t xml:space="preserve">Agency vs. Structure: </w:t>
      </w:r>
      <w:r>
        <w:t xml:space="preserve">The framework emphasizes institutional/structural factors but Ottoman history reveals critical individual agency—Süleyman's systematization, Mahmud II's Janissary destruction—that doesn't reduce to domain scores.</w:t>
      </w:r>
    </w:p>
    <w:p>
      <w:pPr>
        <w:pStyle w:val="ListParagraph"/>
        <w:numPr>
          <w:ilvl w:val="0"/>
          <w:numId w:val="2"/>
        </w:numPr>
      </w:pPr>
      <w:r>
        <w:rPr>
          <w:b/>
          <w:bCs/>
        </w:rPr>
        <w:t xml:space="preserve">External Shock Sensitivity: </w:t>
      </w:r>
      <w:r>
        <w:t xml:space="preserve">The framework struggles with exogenous factors: European industrialization, Great Power politics, nationalist movements originating outside Ottoman control—all of which profoundly shaped Ottoman trajectory.</w:t>
      </w:r>
    </w:p>
    <w:p>
      <w:pPr>
        <w:pStyle w:val="Heading2"/>
      </w:pPr>
      <w:r>
        <w:t xml:space="preserve">Anomalies Log</w:t>
      </w:r>
    </w:p>
    <w:p>
      <w:pPr>
        <w:pStyle w:val="ListParagraph"/>
        <w:numPr>
          <w:ilvl w:val="0"/>
          <w:numId w:val="2"/>
        </w:numPr>
      </w:pPr>
      <w:r>
        <w:rPr>
          <w:b/>
          <w:bCs/>
        </w:rPr>
        <w:t xml:space="preserve">Coffee House Paradox: </w:t>
      </w:r>
      <w:r>
        <w:t xml:space="preserve">Coffee houses created proto-public sphere without corresponding political liberalization—challenging Habermasian assumptions about publicness leading to political transformation.</w:t>
      </w:r>
    </w:p>
    <w:p>
      <w:pPr>
        <w:pStyle w:val="ListParagraph"/>
        <w:numPr>
          <w:ilvl w:val="0"/>
          <w:numId w:val="2"/>
        </w:numPr>
      </w:pPr>
      <w:r>
        <w:rPr>
          <w:b/>
          <w:bCs/>
        </w:rPr>
        <w:t xml:space="preserve">Printing Delay Reconsidered: </w:t>
      </w:r>
      <w:r>
        <w:t xml:space="preserve">The 'ulema opposition' narrative is historically questionable—ulema supported Müteferrika's press. The delay requires multi-factor explanation (technical, economic, demand-side) rather than simple 'religious opposition.'</w:t>
      </w:r>
    </w:p>
    <w:p>
      <w:pPr>
        <w:pStyle w:val="ListParagraph"/>
        <w:numPr>
          <w:ilvl w:val="0"/>
          <w:numId w:val="2"/>
        </w:numPr>
      </w:pPr>
      <w:r>
        <w:rPr>
          <w:b/>
          <w:bCs/>
        </w:rPr>
        <w:t xml:space="preserve">Decline vs. Transformation: </w:t>
      </w:r>
      <w:r>
        <w:t xml:space="preserve">Scholarly consensus has shifted from 'decline' to 'transformation' narratives—the framework's phase terminology may inadvertently embed outdated historiographical assumptions.</w:t>
      </w:r>
    </w:p>
    <w:p>
      <w:r>
        <w:br w:type="page"/>
      </w:r>
    </w:p>
    <w:p>
      <w:pPr>
        <w:pStyle w:val="Heading1"/>
      </w:pPr>
      <w:r>
        <w:t xml:space="preserve">SCHOLARLY BIBLIOGRAPHY</w:t>
      </w:r>
    </w:p>
    <w:p>
      <w:pPr>
        <w:pStyle w:val="Heading2"/>
      </w:pPr>
      <w:r>
        <w:t xml:space="preserve">Primary Authorities Cited</w:t>
      </w:r>
    </w:p>
    <w:p>
      <w:pPr>
        <w:spacing w:after="100"/>
      </w:pPr>
      <w:r>
        <w:rPr>
          <w:i/>
          <w:iCs/>
        </w:rPr>
        <w:t xml:space="preserve">Ágoston, Gábor. </w:t>
      </w:r>
      <w:r>
        <w:rPr>
          <w:i/>
          <w:iCs/>
        </w:rPr>
        <w:t xml:space="preserve">Guns for the Sultan: Military Power and the Weapons Industry in the Ottoman Empire</w:t>
      </w:r>
      <w:r>
        <w:t xml:space="preserve">. Cambridge University Press, 2005. [Military technology, production capacity]</w:t>
      </w:r>
    </w:p>
    <w:p>
      <w:pPr>
        <w:spacing w:after="100"/>
      </w:pPr>
      <w:r>
        <w:rPr>
          <w:i/>
          <w:iCs/>
        </w:rPr>
        <w:t xml:space="preserve">Faroqhi, Suraiya. </w:t>
      </w:r>
      <w:r>
        <w:rPr>
          <w:i/>
          <w:iCs/>
        </w:rPr>
        <w:t xml:space="preserve">Subjects of the Sultan: Culture and Daily Life in the Ottoman Empire</w:t>
      </w:r>
      <w:r>
        <w:t xml:space="preserve">. I.B. Tauris, 2000. [Social history, material culture]</w:t>
      </w:r>
    </w:p>
    <w:p>
      <w:pPr>
        <w:spacing w:after="100"/>
      </w:pPr>
      <w:r>
        <w:rPr>
          <w:i/>
          <w:iCs/>
        </w:rPr>
        <w:t xml:space="preserve">Fortna, Benjamin C. </w:t>
      </w:r>
      <w:r>
        <w:rPr>
          <w:i/>
          <w:iCs/>
        </w:rPr>
        <w:t xml:space="preserve">Imperial Classroom: Islam, the State, and Education in the Late Ottoman Empire</w:t>
      </w:r>
      <w:r>
        <w:t xml:space="preserve">. Oxford University Press, 2002. [Educational reform, Tanzimat]</w:t>
      </w:r>
    </w:p>
    <w:p>
      <w:pPr>
        <w:spacing w:after="100"/>
      </w:pPr>
      <w:r>
        <w:rPr>
          <w:i/>
          <w:iCs/>
        </w:rPr>
        <w:t xml:space="preserve">İhsanoğlu, Ekmeleddin. </w:t>
      </w:r>
      <w:r>
        <w:rPr>
          <w:i/>
          <w:iCs/>
        </w:rPr>
        <w:t xml:space="preserve">The House of Sciences: The First Modern University in the Muslim World</w:t>
      </w:r>
      <w:r>
        <w:t xml:space="preserve">. Oxford University Press, 2019. [Higher education, Darülfünun]</w:t>
      </w:r>
    </w:p>
    <w:p>
      <w:pPr>
        <w:spacing w:after="100"/>
      </w:pPr>
      <w:r>
        <w:rPr>
          <w:i/>
          <w:iCs/>
        </w:rPr>
        <w:t xml:space="preserve">Kafadar, Cemal. </w:t>
      </w:r>
      <w:r>
        <w:rPr>
          <w:i/>
          <w:iCs/>
        </w:rPr>
        <w:t xml:space="preserve">Between Two Worlds: The Construction of the Ottoman State</w:t>
      </w:r>
      <w:r>
        <w:t xml:space="preserve">. University of California Press, 1995. [Early Ottoman identity, ghazi thesis]</w:t>
      </w:r>
    </w:p>
    <w:p>
      <w:pPr>
        <w:spacing w:after="100"/>
      </w:pPr>
      <w:r>
        <w:rPr>
          <w:i/>
          <w:iCs/>
        </w:rPr>
        <w:t xml:space="preserve">Karpat, Kemal H. </w:t>
      </w:r>
      <w:r>
        <w:rPr>
          <w:i/>
          <w:iCs/>
        </w:rPr>
        <w:t xml:space="preserve">Ottoman Population 1830-1914: Demographic and Social Characteristics</w:t>
      </w:r>
      <w:r>
        <w:t xml:space="preserve">. University of Wisconsin Press, 1985. [Demography, census analysis]</w:t>
      </w:r>
    </w:p>
    <w:p>
      <w:pPr>
        <w:spacing w:after="100"/>
      </w:pPr>
      <w:r>
        <w:rPr>
          <w:i/>
          <w:iCs/>
        </w:rPr>
        <w:t xml:space="preserve">Kuran, Timur. </w:t>
      </w:r>
      <w:r>
        <w:rPr>
          <w:i/>
          <w:iCs/>
        </w:rPr>
        <w:t xml:space="preserve">The Long Divergence: How Islamic Law Held Back the Middle East</w:t>
      </w:r>
      <w:r>
        <w:t xml:space="preserve">. Princeton University Press, 2011. [Institutional economics, waqf, partnership law]</w:t>
      </w:r>
    </w:p>
    <w:p>
      <w:pPr>
        <w:spacing w:after="100"/>
      </w:pPr>
      <w:r>
        <w:rPr>
          <w:i/>
          <w:iCs/>
        </w:rPr>
        <w:t xml:space="preserve">Peirce, Leslie. </w:t>
      </w:r>
      <w:r>
        <w:rPr>
          <w:i/>
          <w:iCs/>
        </w:rPr>
        <w:t xml:space="preserve">The Imperial Harem: Women and Sovereignty in the Ottoman Empire</w:t>
      </w:r>
      <w:r>
        <w:t xml:space="preserve">. Oxford University Press, 1993. [Gender, harem politics]</w:t>
      </w:r>
    </w:p>
    <w:p>
      <w:pPr>
        <w:spacing w:after="100"/>
      </w:pPr>
      <w:r>
        <w:rPr>
          <w:i/>
          <w:iCs/>
        </w:rPr>
        <w:t xml:space="preserve">Quataert, Donald. </w:t>
      </w:r>
      <w:r>
        <w:rPr>
          <w:i/>
          <w:iCs/>
        </w:rPr>
        <w:t xml:space="preserve">Ottoman Manufacturing in the Age of the Industrial Revolution</w:t>
      </w:r>
      <w:r>
        <w:t xml:space="preserve">. Cambridge University Press, 1993. [Manufacturing, guilds, labor]</w:t>
      </w:r>
    </w:p>
    <w:p>
      <w:pPr>
        <w:spacing w:after="100"/>
      </w:pPr>
      <w:r>
        <w:rPr>
          <w:i/>
          <w:iCs/>
        </w:rPr>
        <w:t xml:space="preserve">Sabev, Orlin. </w:t>
      </w:r>
      <w:r>
        <w:t xml:space="preserve">'Waiting for Godot: The Formation of Ottoman Print Culture.' </w:t>
      </w:r>
      <w:r>
        <w:rPr>
          <w:i/>
          <w:iCs/>
        </w:rPr>
        <w:t xml:space="preserve">Historical Aspects of Printing and Publishing in Languages of the Middle East</w:t>
      </w:r>
      <w:r>
        <w:t xml:space="preserve">, ed. Geoffrey Roper, 2014. [Printing history]</w:t>
      </w:r>
    </w:p>
    <w:p>
      <w:r>
        <w:br w:type="page"/>
      </w:r>
    </w:p>
    <w:p>
      <w:pPr>
        <w:pStyle w:val="Heading1"/>
      </w:pPr>
      <w:r>
        <w:t xml:space="preserve">CONFIDENCE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Claim Category</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Confidence</w:t>
            </w:r>
          </w:p>
        </w:tc>
        <w:tc>
          <w:tcPr>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Social class structure (askeri/reaya)</w:t>
            </w:r>
          </w:p>
        </w:tc>
        <w:tc>
          <w:tcPr>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Well-documented in scholarship</w:t>
            </w:r>
          </w:p>
        </w:tc>
      </w:tr>
      <w:tr>
        <w:tc>
          <w:tcPr>
            <w:tcBorders>
              <w:top w:val="single" w:color="CCCCCC" w:sz="1"/>
              <w:left w:val="single" w:color="CCCCCC" w:sz="1"/>
              <w:bottom w:val="single" w:color="CCCCCC" w:sz="1"/>
              <w:right w:val="single" w:color="CCCCCC" w:sz="1"/>
            </w:tcBorders>
          </w:tcPr>
          <w:p>
            <w:r>
              <w:rPr>
                <w:sz w:val="20"/>
                <w:szCs w:val="20"/>
              </w:rPr>
              <w:t xml:space="preserve">Population estimates pre-1831</w:t>
            </w:r>
          </w:p>
        </w:tc>
        <w:tc>
          <w:tcPr>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Based on tahrir extrapolations</w:t>
            </w:r>
          </w:p>
        </w:tc>
      </w:tr>
      <w:tr>
        <w:tc>
          <w:tcPr>
            <w:tcBorders>
              <w:top w:val="single" w:color="CCCCCC" w:sz="1"/>
              <w:left w:val="single" w:color="CCCCCC" w:sz="1"/>
              <w:bottom w:val="single" w:color="CCCCCC" w:sz="1"/>
              <w:right w:val="single" w:color="CCCCCC" w:sz="1"/>
            </w:tcBorders>
          </w:tcPr>
          <w:p>
            <w:r>
              <w:rPr>
                <w:sz w:val="20"/>
                <w:szCs w:val="20"/>
              </w:rPr>
              <w:t xml:space="preserve">Printing delay causation</w:t>
            </w:r>
          </w:p>
        </w:tc>
        <w:tc>
          <w:tcPr>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Multiple factors debated</w:t>
            </w:r>
          </w:p>
        </w:tc>
      </w:tr>
      <w:tr>
        <w:tc>
          <w:tcPr>
            <w:tcBorders>
              <w:top w:val="single" w:color="CCCCCC" w:sz="1"/>
              <w:left w:val="single" w:color="CCCCCC" w:sz="1"/>
              <w:bottom w:val="single" w:color="CCCCCC" w:sz="1"/>
              <w:right w:val="single" w:color="CCCCCC" w:sz="1"/>
            </w:tcBorders>
          </w:tcPr>
          <w:p>
            <w:r>
              <w:rPr>
                <w:sz w:val="20"/>
                <w:szCs w:val="20"/>
              </w:rPr>
              <w:t xml:space="preserve">Coffee house social function</w:t>
            </w:r>
          </w:p>
        </w:tc>
        <w:tc>
          <w:tcPr>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Strong scholarly consensus</w:t>
            </w:r>
          </w:p>
        </w:tc>
      </w:tr>
      <w:tr>
        <w:tc>
          <w:tcPr>
            <w:tcBorders>
              <w:top w:val="single" w:color="CCCCCC" w:sz="1"/>
              <w:left w:val="single" w:color="CCCCCC" w:sz="1"/>
              <w:bottom w:val="single" w:color="CCCCCC" w:sz="1"/>
              <w:right w:val="single" w:color="CCCCCC" w:sz="1"/>
            </w:tcBorders>
          </w:tcPr>
          <w:p>
            <w:r>
              <w:rPr>
                <w:sz w:val="20"/>
                <w:szCs w:val="20"/>
              </w:rPr>
              <w:t xml:space="preserve">Refugee numbers (1783-1913)</w:t>
            </w:r>
          </w:p>
        </w:tc>
        <w:tc>
          <w:tcPr>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Range estimates vary</w:t>
            </w:r>
          </w:p>
        </w:tc>
      </w:tr>
      <w:tr>
        <w:tc>
          <w:tcPr>
            <w:tcBorders>
              <w:top w:val="single" w:color="CCCCCC" w:sz="1"/>
              <w:left w:val="single" w:color="CCCCCC" w:sz="1"/>
              <w:bottom w:val="single" w:color="CCCCCC" w:sz="1"/>
              <w:right w:val="single" w:color="CCCCCC" w:sz="1"/>
            </w:tcBorders>
          </w:tcPr>
          <w:p>
            <w:r>
              <w:rPr>
                <w:sz w:val="20"/>
                <w:szCs w:val="20"/>
              </w:rPr>
              <w:t xml:space="preserve">CAS domain scores</w:t>
            </w:r>
          </w:p>
        </w:tc>
        <w:tc>
          <w:tcPr>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Analytical construction</w:t>
            </w:r>
          </w:p>
        </w:tc>
      </w:tr>
    </w:tbl>
    <w:p>
      <w:pPr>
        <w:spacing w:before="400" w:after="200"/>
      </w:pPr>
      <w:r>
        <w:rPr>
          <w:b/>
          <w:bCs/>
        </w:rPr>
        <w:t xml:space="preserve">Document Statistics: </w:t>
      </w:r>
      <w:r>
        <w:t xml:space="preserve">Approximately 8,500 words | 5 Capability Tier domains analyzed | 15 domain-phase combinations | 10+ primary scholarly sources cited | 3 theoretical frameworks applied</w:t>
      </w:r>
    </w:p>
    <w:p>
      <w:pPr>
        <w:spacing w:after="200"/>
      </w:pPr>
      <w:r>
        <w:rPr>
          <w:b/>
          <w:bCs/>
        </w:rPr>
        <w:t xml:space="preserve">Next Session Preview: </w:t>
      </w:r>
      <w:r>
        <w:t xml:space="preserve">Session 3 will analyze the Culmination Tier (Economic/Fiscal/Financial Domain) across all three phases, examining the timar system, tax farming evolution, capitulations regime, and the Ottoman Public Debt Administration—directly connecting to the Infonomics framework's core thesis about financial infrastructure as hegemonic culmination.</w:t>
      </w:r>
    </w:p>
    <w:p>
      <w:pPr>
        <w:spacing w:before="400"/>
        <w:jc w:val="center"/>
      </w:pPr>
      <w:r>
        <w:rPr>
          <w:b/>
          <w:bCs/>
          <w:sz w:val="28"/>
          <w:szCs w:val="28"/>
        </w:rPr>
        <w:t xml:space="preserve">— END OF SESSION 2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Ottoman Empire CAS Analysis — Session 2: Capability 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f406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2025-12-29T19:00:50.994Z</dcterms:created>
  <dcterms:modified xsi:type="dcterms:W3CDTF">2025-12-29T19:00:50.995Z</dcterms:modified>
</cp:coreProperties>
</file>

<file path=docProps/custom.xml><?xml version="1.0" encoding="utf-8"?>
<Properties xmlns="http://schemas.openxmlformats.org/officeDocument/2006/custom-properties" xmlns:vt="http://schemas.openxmlformats.org/officeDocument/2006/docPropsVTypes"/>
</file>