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Portuguese Maritime Empire</w:t>
      </w:r>
    </w:p>
    <w:p>
      <w:pPr>
        <w:spacing w:after="120"/>
        <w:jc w:val="center"/>
      </w:pPr>
      <w:r>
        <w:rPr>
          <w:rFonts w:ascii="Arial" w:cs="Arial" w:eastAsia="Arial" w:hAnsi="Arial"/>
          <w:sz w:val="32"/>
          <w:szCs w:val="32"/>
        </w:rPr>
        <w:t xml:space="preserve">Complex Adaptive Systems Framework Analysis</w:t>
      </w:r>
    </w:p>
    <w:p>
      <w:pPr>
        <w:spacing w:after="120"/>
        <w:jc w:val="center"/>
      </w:pPr>
      <w:r>
        <w:rPr>
          <w:rFonts w:ascii="Arial" w:cs="Arial" w:eastAsia="Arial" w:hAnsi="Arial"/>
          <w:sz w:val="28"/>
          <w:szCs w:val="28"/>
        </w:rPr>
        <w:t xml:space="preserve">Session 4: Synthesis and Integration</w:t>
      </w:r>
    </w:p>
    <w:p>
      <w:pPr>
        <w:spacing w:after="360"/>
        <w:jc w:val="center"/>
      </w:pPr>
      <w:r>
        <w:rPr>
          <w:rFonts w:ascii="Arial" w:cs="Arial" w:eastAsia="Arial" w:hAnsi="Arial"/>
          <w:i/>
          <w:iCs/>
          <w:sz w:val="24"/>
          <w:szCs w:val="24"/>
        </w:rPr>
        <w:t xml:space="preserve">1415-1580 CE | PhD-Level Research Document</w:t>
      </w:r>
    </w:p>
    <w:p>
      <w:pPr>
        <w:spacing w:after="480"/>
        <w:jc w:val="center"/>
      </w:pPr>
      <w:r>
        <w:rPr>
          <w:rFonts w:ascii="Arial" w:cs="Arial" w:eastAsia="Arial" w:hAnsi="Arial"/>
          <w:sz w:val="22"/>
          <w:szCs w:val="22"/>
        </w:rPr>
        <w:t xml:space="preserve">Infonomics Project | Track 2: Maritime Hegemonic Empires | January 2026</w:t>
      </w:r>
    </w:p>
    <w:p>
      <w:pPr>
        <w:pStyle w:val="Heading1"/>
      </w:pPr>
      <w:r>
        <w:t xml:space="preserve">Executive Summary</w:t>
      </w:r>
    </w:p>
    <w:p>
      <w:pPr>
        <w:spacing w:after="200"/>
      </w:pPr>
      <w:r>
        <w:rPr>
          <w:rFonts w:ascii="Arial" w:cs="Arial" w:eastAsia="Arial" w:hAnsi="Arial"/>
          <w:sz w:val="24"/>
          <w:szCs w:val="24"/>
        </w:rPr>
        <w:t xml:space="preserve">The Portuguese Maritime Empire (1415-1580) represents the first global commercial network in human history, yet it failed to develop the institutional infrastructure necessary for sustained hegemony. Across four sessions of PhD-level analysis comprising approximately 35,000 words and 200+ scholarly sources, this research has established that Portugal achieved commercial dominance without corresponding financial, institutional, or knowledge system development—validating the core 'CAS Framework' proposition that hegemonic transitions require synchronized multi-domain transformation.</w:t>
      </w:r>
    </w:p>
    <w:p>
      <w:pPr>
        <w:spacing w:after="200"/>
      </w:pPr>
      <w:r>
        <w:rPr>
          <w:rFonts w:ascii="Arial" w:cs="Arial" w:eastAsia="Arial" w:hAnsi="Arial"/>
          <w:sz w:val="24"/>
          <w:szCs w:val="24"/>
        </w:rPr>
        <w:t xml:space="preserve">The Portuguese case provides decisive evidence for the '1694 thesis': financial revolutions are culminations, not causes, of systemic transitions. Despite controlling the world's most lucrative trade routes and generating extraordinary monopoly profits (Cabral's 1500 voyage returned 50x invested capital), Portugal developed no central bank, no securities exchange, no indigenous insurance market, and no investment banking capacity. Crown monopolization of trade, absolutist governance without constitutional constraints, and religious persecution of commercially sophisticated populations (1497 Jewish forced conversion) foreclosed the institutional pathways that later enabled Dutch and English financial revolutions.</w:t>
      </w:r>
    </w:p>
    <w:p>
      <w:pPr>
        <w:spacing w:after="200"/>
      </w:pPr>
      <w:r>
        <w:rPr>
          <w:rFonts w:ascii="Arial" w:cs="Arial" w:eastAsia="Arial" w:hAnsi="Arial"/>
          <w:sz w:val="24"/>
          <w:szCs w:val="24"/>
        </w:rPr>
        <w:t xml:space="preserve">Final CAS Score: 3.04/5.0 (placing Portuguese below Tang 4.10, Ottoman 4.22, Byzantine 3.61 but above Spanish Habsburg 3.17). The trajectory shows systematic decline: Rise Phase average 3.44, Peak Phase average 3.11, Decline Phase average 2.56. This descending pattern across all three tiers confirms that Portuguese institutional development was insufficient to sustain first-mover commercial advantages once competitors entered.</w:t>
      </w:r>
    </w:p>
    <w:p>
      <w:r>
        <w:br w:type="page"/>
      </w:r>
    </w:p>
    <w:p>
      <w:pPr>
        <w:pStyle w:val="Heading1"/>
      </w:pPr>
      <w:r>
        <w:t xml:space="preserve">1. Cross-Domain Integration Analysis</w:t>
      </w:r>
    </w:p>
    <w:p>
      <w:pPr>
        <w:spacing w:after="200"/>
      </w:pPr>
      <w:r>
        <w:rPr>
          <w:rFonts w:ascii="Arial" w:cs="Arial" w:eastAsia="Arial" w:hAnsi="Arial"/>
          <w:sz w:val="24"/>
          <w:szCs w:val="24"/>
        </w:rPr>
        <w:t xml:space="preserve">The CAS Framework posits that institutional capabilities must develop in mutually reinforcing configurations across three tiers: Foundational (Governance, Legal, Military), Capability (Social, Educational, Cultural, Technological, Demographic), and Culmination (Information, Financial). The Portuguese case reveals critical feedback loops that explain the gap between commercial success and institutional failure.</w:t>
      </w:r>
    </w:p>
    <w:p>
      <w:pPr>
        <w:pStyle w:val="Heading2"/>
      </w:pPr>
      <w:r>
        <w:t xml:space="preserve">1.1 Foundational → Capability Tier Constraints</w:t>
      </w:r>
    </w:p>
    <w:p>
      <w:pPr>
        <w:spacing w:after="200"/>
      </w:pPr>
      <w:r>
        <w:rPr>
          <w:rFonts w:ascii="Arial" w:cs="Arial" w:eastAsia="Arial" w:hAnsi="Arial"/>
          <w:sz w:val="24"/>
          <w:szCs w:val="24"/>
        </w:rPr>
        <w:t xml:space="preserve">The absolutist governance structure (Domain 1) created cascading constraints on capability development. Crown monopolization of overseas trade prevented merchant class formation, which in turn blocked the social mobility pathways (Domain 4) that would have created constituencies for institutional reform. The padroado system fused religious and commercial authority, embedding ideological constraints (Domain 6) that conflicted with commercial rationality—most destructively in the 1497 forced Jewish conversion that eliminated Portugal's most commercially sophisticated population.</w:t>
      </w:r>
    </w:p>
    <w:p>
      <w:pPr>
        <w:spacing w:after="200"/>
      </w:pPr>
      <w:r>
        <w:rPr>
          <w:rFonts w:ascii="Arial" w:cs="Arial" w:eastAsia="Arial" w:hAnsi="Arial"/>
          <w:sz w:val="24"/>
          <w:szCs w:val="24"/>
        </w:rPr>
        <w:t xml:space="preserve">The legal framework (Domain 2) evolved to support extraction rather than investment. Property rights in overseas territories remained Crown grants rather than secure private holdings. Contract enforcement depended on royal favor rather than independent judiciary. These legal constraints prevented the accumulation of private capital that could have funded institutional innovation.</w:t>
      </w:r>
    </w:p>
    <w:p>
      <w:pPr>
        <w:spacing w:after="200"/>
      </w:pPr>
      <w:r>
        <w:rPr>
          <w:rFonts w:ascii="Arial" w:cs="Arial" w:eastAsia="Arial" w:hAnsi="Arial"/>
          <w:sz w:val="24"/>
          <w:szCs w:val="24"/>
        </w:rPr>
        <w:t xml:space="preserve">Military overextension (Domain 3) consumed resources that might otherwise have funded institutional development. The Estado da Índia maintained approximately 50 fortresses across three continents with a population base of only 1.2-1.5 million—creating unsustainable defense cost ratios that depleted rather than accumulated capital.</w:t>
      </w:r>
    </w:p>
    <w:p>
      <w:pPr>
        <w:pStyle w:val="Heading2"/>
      </w:pPr>
      <w:r>
        <w:t xml:space="preserve">1.2 Capability Tier Internal Dynamics</w:t>
      </w:r>
    </w:p>
    <w:p>
      <w:pPr>
        <w:spacing w:after="200"/>
      </w:pPr>
      <w:r>
        <w:rPr>
          <w:rFonts w:ascii="Arial" w:cs="Arial" w:eastAsia="Arial" w:hAnsi="Arial"/>
          <w:sz w:val="24"/>
          <w:szCs w:val="24"/>
        </w:rPr>
        <w:t xml:space="preserve">Within the Capability Tier, educational underdevelopment (Domain 5) constrained technological diffusion (Domain 7). Portugal produced brilliant individual navigators and cartographers—Pêro Nunes, D. João de Castro—but failed to institutionalize knowledge transfer. The Casa da Índia accumulated geographic intelligence without developing educational infrastructure to train successors. When competitors like the Dutch acquired Portuguese knowledge (Linschoten's 1596 publications), they possessed superior institutional capacity to exploit it.</w:t>
      </w:r>
    </w:p>
    <w:p>
      <w:pPr>
        <w:spacing w:after="200"/>
      </w:pPr>
      <w:r>
        <w:rPr>
          <w:rFonts w:ascii="Arial" w:cs="Arial" w:eastAsia="Arial" w:hAnsi="Arial"/>
          <w:sz w:val="24"/>
          <w:szCs w:val="24"/>
        </w:rPr>
        <w:t xml:space="preserve">Demographic constraints (Domain 8) amplified all other limitations. With only 1.2-1.5 million population attempting global presence, Portugal faced impossible human capital ratios. The casado (married settler) policy and mestiçagem (racial mixing) represented pragmatic adaptation, but could not compensate for fundamental demographic inadequacy. Ship mortality rates of 20% on India voyages created continuous brain drain.</w:t>
      </w:r>
    </w:p>
    <w:p>
      <w:pPr>
        <w:spacing w:after="200"/>
      </w:pPr>
      <w:r>
        <w:rPr>
          <w:rFonts w:ascii="Arial" w:cs="Arial" w:eastAsia="Arial" w:hAnsi="Arial"/>
          <w:sz w:val="24"/>
          <w:szCs w:val="24"/>
        </w:rPr>
        <w:t xml:space="preserve">Cultural ideology (Domain 6) created unresolved tensions. The crusading mission ('we have come for Christians and spices') provided legitimacy but required exclusionary policies incompatible with commercial expansion. The Inquisition (established 1536) prioritized religious conformity over commercial capacity, eventually condemning 785 authors including scientists essential for navigation.</w:t>
      </w:r>
    </w:p>
    <w:p>
      <w:pPr>
        <w:pStyle w:val="Heading2"/>
      </w:pPr>
      <w:r>
        <w:t xml:space="preserve">1.3 Capability → Culmination Tier Blockage</w:t>
      </w:r>
    </w:p>
    <w:p>
      <w:pPr>
        <w:spacing w:after="200"/>
      </w:pPr>
      <w:r>
        <w:rPr>
          <w:rFonts w:ascii="Arial" w:cs="Arial" w:eastAsia="Arial" w:hAnsi="Arial"/>
          <w:sz w:val="24"/>
          <w:szCs w:val="24"/>
        </w:rPr>
        <w:t xml:space="preserve">The critical failure occurred at the Capability → Culmination transition. Despite generating vast information assets (Domain 9A) through exploration and trade networks, Portugal never developed the financial infrastructure (Domain 9B) that would have capitalized these assets. The information advantage eroded through leakage (Cantino map 1502, Linschoten 1596) without generating institutional returns.</w:t>
      </w:r>
    </w:p>
    <w:p>
      <w:pPr>
        <w:spacing w:after="200"/>
      </w:pPr>
      <w:r>
        <w:rPr>
          <w:rFonts w:ascii="Arial" w:cs="Arial" w:eastAsia="Arial" w:hAnsi="Arial"/>
          <w:sz w:val="24"/>
          <w:szCs w:val="24"/>
        </w:rPr>
        <w:t xml:space="preserve">The 1694 thesis identifies why: financial innovation requires constitutional constraints enabling credible commitment, empowered merchant constituencies demanding institutional innovation, and separation of commercial from political authority. Portugal possessed none of these prerequisites. Crown absolutism precluded credible commitment; merchant class suppression eliminated demand for innovation; padroado fusion of commerce and religion blocked institutional separation.</w:t>
      </w:r>
    </w:p>
    <w:p>
      <w:r>
        <w:br w:type="page"/>
      </w:r>
    </w:p>
    <w:p>
      <w:pPr>
        <w:pStyle w:val="Heading1"/>
      </w:pPr>
      <w:r>
        <w:t xml:space="preserve">2. Final CAS Scoring Matrix</w:t>
      </w:r>
    </w:p>
    <w:p>
      <w:pPr>
        <w:spacing w:after="200"/>
      </w:pPr>
      <w:r>
        <w:rPr>
          <w:rFonts w:ascii="Arial" w:cs="Arial" w:eastAsia="Arial" w:hAnsi="Arial"/>
          <w:sz w:val="24"/>
          <w:szCs w:val="24"/>
        </w:rPr>
        <w:t xml:space="preserve">The following matrix presents scores (1-5 scale) for all 9 domains across 3 phases, with brief evidence summaries. Scoring methodology: 5.0 = World-leading, transformative innovation; 4.0 = Strong, effective, competitive advantage; 3.0 = Adequate, functional, no major deficiencies; 2.0 = Problematic, significant weaknesses; 1.0 = Failed, collapsed, non-functional.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456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Domain</w:t>
            </w:r>
          </w:p>
        </w:tc>
        <w:tc>
          <w:tcPr>
            <w:tcW w:type="dxa" w:w="1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Rise</w:t>
            </w:r>
          </w:p>
        </w:tc>
        <w:tc>
          <w:tcPr>
            <w:tcW w:type="dxa" w:w="1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Peak</w:t>
            </w:r>
          </w:p>
        </w:tc>
        <w:tc>
          <w:tcPr>
            <w:tcW w:type="dxa" w:w="10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Decline</w:t>
            </w:r>
          </w:p>
        </w:tc>
        <w:tc>
          <w:tcPr>
            <w:tcW w:type="dxa" w:w="45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Key Evidence</w:t>
            </w:r>
          </w:p>
        </w:tc>
      </w:tr>
      <w:tr>
        <w:tc>
          <w:tcPr>
            <w:tcW w:type="dxa" w:w="9360"/>
            <w:gridSpan w:val="5"/>
            <w:tcBorders>
              <w:top w:val="single" w:color="CCCCCC" w:sz="1"/>
              <w:left w:val="single" w:color="CCCCCC" w:sz="1"/>
              <w:bottom w:val="single" w:color="CCCCCC" w:sz="1"/>
              <w:right w:val="single" w:color="CCCCCC" w:sz="1"/>
            </w:tcBorders>
            <w:shd w:fill="e2e8f0" w:val="clear"/>
          </w:tcPr>
          <w:p>
            <w:r>
              <w:rPr>
                <w:rFonts w:ascii="Arial" w:cs="Arial" w:eastAsia="Arial" w:hAnsi="Arial"/>
                <w:b/>
                <w:bCs/>
                <w:sz w:val="22"/>
                <w:szCs w:val="22"/>
              </w:rPr>
              <w:t xml:space="preserve">TIER 1: FOUNDATIONAL</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1. Governance</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4</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Strong under João II/Manuel I; succession crises from 1557; Sebastião's disastrous regency culminating in Alcácer Quibir 1578</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2. Legal</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Ordenações Manuelinas 1521 codified law; padroado enabled expansion; property rights remained Crown-dependent; no independent judiciary</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3. Military</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4</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4</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Caravel/carrack innovation; Albuquerque's choke-point strategy; ~50 fortresses globally; unsustainable cost ratios by 1560s</w:t>
            </w:r>
          </w:p>
        </w:tc>
      </w:tr>
      <w:tr>
        <w:tc>
          <w:tcPr>
            <w:tcW w:type="dxa" w:w="9360"/>
            <w:gridSpan w:val="5"/>
            <w:tcBorders>
              <w:top w:val="single" w:color="CCCCCC" w:sz="1"/>
              <w:left w:val="single" w:color="CCCCCC" w:sz="1"/>
              <w:bottom w:val="single" w:color="CCCCCC" w:sz="1"/>
              <w:right w:val="single" w:color="CCCCCC" w:sz="1"/>
            </w:tcBorders>
            <w:shd w:fill="e2e8f0" w:val="clear"/>
          </w:tcPr>
          <w:p>
            <w:r>
              <w:rPr>
                <w:rFonts w:ascii="Arial" w:cs="Arial" w:eastAsia="Arial" w:hAnsi="Arial"/>
                <w:b/>
                <w:bCs/>
                <w:sz w:val="22"/>
                <w:szCs w:val="22"/>
              </w:rPr>
              <w:t xml:space="preserve">TIER 2: CAPABILITY</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4. Social</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Casado integration policy; mestiçagem; but 95% land held by nobility/clergy; blocked social mobility</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5. Educational</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Navigation schools; Coimbra University; but no institutionalized knowledge transfer; Inquisition censorship from 1536</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6. Cultural</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Crusading ideology legitimized expansion; religious mission conflicted with commercial rationality; limpieza mentality</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7. Technological</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4</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4</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Caravel, astrolabe adaptation, Nunes loxodrome; but advantages eroded without institutional renewal</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8. Demographic</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Only 1.2-1.5M population; 20% voyage mortality; emigration to empire; fundamental constraint throughout</w:t>
            </w:r>
          </w:p>
        </w:tc>
      </w:tr>
      <w:tr>
        <w:tc>
          <w:tcPr>
            <w:tcW w:type="dxa" w:w="9360"/>
            <w:gridSpan w:val="5"/>
            <w:tcBorders>
              <w:top w:val="single" w:color="CCCCCC" w:sz="1"/>
              <w:left w:val="single" w:color="CCCCCC" w:sz="1"/>
              <w:bottom w:val="single" w:color="CCCCCC" w:sz="1"/>
              <w:right w:val="single" w:color="CCCCCC" w:sz="1"/>
            </w:tcBorders>
            <w:shd w:fill="e2e8f0" w:val="clear"/>
          </w:tcPr>
          <w:p>
            <w:r>
              <w:rPr>
                <w:rFonts w:ascii="Arial" w:cs="Arial" w:eastAsia="Arial" w:hAnsi="Arial"/>
                <w:b/>
                <w:bCs/>
                <w:sz w:val="22"/>
                <w:szCs w:val="22"/>
              </w:rPr>
              <w:t xml:space="preserve">TIER 3: CULMINATION</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9A. Information</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4</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Casa da Índia; roteiros; Padrão Real; but sigilo failed; Linschoten leak 1596; no publishing infrastructure</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9B. Financial</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w:t>
            </w:r>
          </w:p>
        </w:tc>
        <w:tc>
          <w:tcPr>
            <w:tcW w:type="dxa" w:w="10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1</w:t>
            </w:r>
          </w:p>
        </w:tc>
        <w:tc>
          <w:tcPr>
            <w:tcW w:type="dxa" w:w="45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No central bank (until 1846); no exchange (until 1769); Fugger/Genoese dependency; Casa da Índia insolvent ~1560</w:t>
            </w:r>
          </w:p>
        </w:tc>
      </w:tr>
      <w:tr>
        <w:tc>
          <w:tcPr>
            <w:tcW w:type="dxa" w:w="1800"/>
            <w:tcBorders>
              <w:top w:val="single" w:color="CCCCCC" w:sz="1"/>
              <w:left w:val="single" w:color="CCCCCC" w:sz="1"/>
              <w:bottom w:val="single" w:color="CCCCCC" w:sz="1"/>
              <w:right w:val="single" w:color="CCCCCC" w:sz="1"/>
            </w:tcBorders>
            <w:shd w:fill="2c5282" w:val="clear"/>
          </w:tcPr>
          <w:p>
            <w:pPr>
              <w:jc w:val="center"/>
            </w:pPr>
            <w:r>
              <w:rPr>
                <w:rFonts w:ascii="Arial" w:cs="Arial" w:eastAsia="Arial" w:hAnsi="Arial"/>
                <w:b/>
                <w:bCs/>
                <w:color w:val="FFFFFF"/>
                <w:sz w:val="22"/>
                <w:szCs w:val="22"/>
              </w:rPr>
              <w:t xml:space="preserve">PHASE AVG</w:t>
            </w:r>
          </w:p>
        </w:tc>
        <w:tc>
          <w:tcPr>
            <w:tcW w:type="dxa" w:w="1000"/>
            <w:tcBorders>
              <w:top w:val="single" w:color="CCCCCC" w:sz="1"/>
              <w:left w:val="single" w:color="CCCCCC" w:sz="1"/>
              <w:bottom w:val="single" w:color="CCCCCC" w:sz="1"/>
              <w:right w:val="single" w:color="CCCCCC" w:sz="1"/>
            </w:tcBorders>
            <w:shd w:fill="d6e4ff" w:val="clear"/>
          </w:tcPr>
          <w:p>
            <w:pPr>
              <w:jc w:val="center"/>
            </w:pPr>
            <w:r>
              <w:rPr>
                <w:rFonts w:ascii="Arial" w:cs="Arial" w:eastAsia="Arial" w:hAnsi="Arial"/>
                <w:b/>
                <w:bCs/>
                <w:color w:val="000000"/>
                <w:sz w:val="22"/>
                <w:szCs w:val="22"/>
              </w:rPr>
              <w:t xml:space="preserve">3.44</w:t>
            </w:r>
          </w:p>
        </w:tc>
        <w:tc>
          <w:tcPr>
            <w:tcW w:type="dxa" w:w="1000"/>
            <w:tcBorders>
              <w:top w:val="single" w:color="CCCCCC" w:sz="1"/>
              <w:left w:val="single" w:color="CCCCCC" w:sz="1"/>
              <w:bottom w:val="single" w:color="CCCCCC" w:sz="1"/>
              <w:right w:val="single" w:color="CCCCCC" w:sz="1"/>
            </w:tcBorders>
            <w:shd w:fill="ffe4d6" w:val="clear"/>
          </w:tcPr>
          <w:p>
            <w:pPr>
              <w:jc w:val="center"/>
            </w:pPr>
            <w:r>
              <w:rPr>
                <w:rFonts w:ascii="Arial" w:cs="Arial" w:eastAsia="Arial" w:hAnsi="Arial"/>
                <w:b/>
                <w:bCs/>
                <w:color w:val="000000"/>
                <w:sz w:val="22"/>
                <w:szCs w:val="22"/>
              </w:rPr>
              <w:t xml:space="preserve">3.11</w:t>
            </w:r>
          </w:p>
        </w:tc>
        <w:tc>
          <w:tcPr>
            <w:tcW w:type="dxa" w:w="1000"/>
            <w:tcBorders>
              <w:top w:val="single" w:color="CCCCCC" w:sz="1"/>
              <w:left w:val="single" w:color="CCCCCC" w:sz="1"/>
              <w:bottom w:val="single" w:color="CCCCCC" w:sz="1"/>
              <w:right w:val="single" w:color="CCCCCC" w:sz="1"/>
            </w:tcBorders>
            <w:shd w:fill="ffd6d6" w:val="clear"/>
          </w:tcPr>
          <w:p>
            <w:pPr>
              <w:jc w:val="center"/>
            </w:pPr>
            <w:r>
              <w:rPr>
                <w:rFonts w:ascii="Arial" w:cs="Arial" w:eastAsia="Arial" w:hAnsi="Arial"/>
                <w:b/>
                <w:bCs/>
                <w:color w:val="000000"/>
                <w:sz w:val="22"/>
                <w:szCs w:val="22"/>
              </w:rPr>
              <w:t xml:space="preserve">2.56</w:t>
            </w:r>
          </w:p>
        </w:tc>
        <w:tc>
          <w:tcPr>
            <w:tcW w:type="dxa" w:w="4560"/>
            <w:tcBorders>
              <w:top w:val="single" w:color="CCCCCC" w:sz="1"/>
              <w:left w:val="single" w:color="CCCCCC" w:sz="1"/>
              <w:bottom w:val="single" w:color="CCCCCC" w:sz="1"/>
              <w:right w:val="single" w:color="CCCCCC" w:sz="1"/>
            </w:tcBorders>
            <w:shd w:fill="2c5282" w:val="clear"/>
          </w:tcPr>
          <w:p>
            <w:pPr>
              <w:jc w:val="center"/>
            </w:pPr>
            <w:r>
              <w:rPr>
                <w:rFonts w:ascii="Arial" w:cs="Arial" w:eastAsia="Arial" w:hAnsi="Arial"/>
                <w:b/>
                <w:bCs/>
                <w:color w:val="FFFFFF"/>
                <w:sz w:val="22"/>
                <w:szCs w:val="22"/>
              </w:rPr>
              <w:t xml:space="preserve">OVERALL: 3.04/5.0</w:t>
            </w:r>
          </w:p>
        </w:tc>
      </w:tr>
    </w:tbl>
    <w:p>
      <w:pPr>
        <w:spacing w:before="200" w:after="200"/>
      </w:pPr>
      <w:r>
        <w:rPr>
          <w:rFonts w:ascii="Arial" w:cs="Arial" w:eastAsia="Arial" w:hAnsi="Arial"/>
          <w:sz w:val="24"/>
          <w:szCs w:val="24"/>
        </w:rPr>
        <w:t xml:space="preserve">Score Trajectory Analysis: The descending pattern (3.44 → 3.11 → 2.56) confirms systematic institutional erosion rather than exogenous shock. Portuguese decline was structural: inadequate foundational development constrained capability formation, which blocked culmination tier emergence. When first-mover advantages eroded and competitors entered, Portugal lacked the institutional reserves to adapt.</w:t>
      </w:r>
    </w:p>
    <w:p>
      <w:r>
        <w:br w:type="page"/>
      </w:r>
    </w:p>
    <w:p>
      <w:pPr>
        <w:pStyle w:val="Heading1"/>
      </w:pPr>
      <w:r>
        <w:t xml:space="preserve">3. Theoretical Framework Integration</w:t>
      </w:r>
    </w:p>
    <w:p>
      <w:pPr>
        <w:pStyle w:val="Heading2"/>
      </w:pPr>
      <w:r>
        <w:t xml:space="preserve">3.1 Arrighi: Systemic Cycles of Accumulation</w:t>
      </w:r>
    </w:p>
    <w:p>
      <w:pPr>
        <w:spacing w:after="200"/>
      </w:pPr>
      <w:r>
        <w:rPr>
          <w:rFonts w:ascii="Arial" w:cs="Arial" w:eastAsia="Arial" w:hAnsi="Arial"/>
          <w:sz w:val="24"/>
          <w:szCs w:val="24"/>
        </w:rPr>
        <w:t xml:space="preserve">Giovanni Arrighi's framework positions the Portuguese-Genoese partnership as the first systemic cycle of accumulation, characterized by a division of labor: Genoa provided financial sophistication while Portugal provided military power and territorial expansion. The Portuguese case validates Arrighi's core insight that such partnerships are inherently unstable.</w:t>
      </w:r>
    </w:p>
    <w:p>
      <w:pPr>
        <w:spacing w:after="200"/>
      </w:pPr>
      <w:r>
        <w:rPr>
          <w:rFonts w:ascii="Arial" w:cs="Arial" w:eastAsia="Arial" w:hAnsi="Arial"/>
          <w:sz w:val="24"/>
          <w:szCs w:val="24"/>
        </w:rPr>
        <w:t xml:space="preserve">The Portuguese-Genoese arrangement externalized financial capability to a partner over whom Portugal had no control. When the cycle matured and Genoese capital sought new opportunities (eventually migrating to the Dutch Republic), Portugal was left with the costs of territorial maintenance but without the financial capacity to sustain them. The lesson: commercial power without internalized financial capability is structurally dependent and therefore unsustainable.</w:t>
      </w:r>
    </w:p>
    <w:p>
      <w:pPr>
        <w:spacing w:after="200"/>
      </w:pPr>
      <w:r>
        <w:rPr>
          <w:rFonts w:ascii="Arial" w:cs="Arial" w:eastAsia="Arial" w:hAnsi="Arial"/>
          <w:sz w:val="24"/>
          <w:szCs w:val="24"/>
        </w:rPr>
        <w:t xml:space="preserve">The Dutch success in Arrighi's second cycle came precisely from internalizing what Portugal externalized. The VOC combined commercial, financial, and military functions in a single organization. The Bank of Amsterdam (1609) and Amsterdam Exchange created indigenous financial infrastructure. Dutch hegemony rested on institutional integration Portugal never achieved.</w:t>
      </w:r>
    </w:p>
    <w:p>
      <w:pPr>
        <w:pStyle w:val="Heading2"/>
      </w:pPr>
      <w:r>
        <w:t xml:space="preserve">3.2 North and Weingast: Credible Commitment</w:t>
      </w:r>
    </w:p>
    <w:p>
      <w:pPr>
        <w:spacing w:after="200"/>
      </w:pPr>
      <w:r>
        <w:rPr>
          <w:rFonts w:ascii="Arial" w:cs="Arial" w:eastAsia="Arial" w:hAnsi="Arial"/>
          <w:sz w:val="24"/>
          <w:szCs w:val="24"/>
        </w:rPr>
        <w:t xml:space="preserve">The Portuguese case provides the perfect negative case for credible commitment theory. North and Weingast argue that constitutional constraints on executive power are prerequisites for financial development because they enable credible commitment to property rights. Without such constraints, investors cannot trust that capital deployed in financial institutions will be safe from expropriation.</w:t>
      </w:r>
    </w:p>
    <w:p>
      <w:pPr>
        <w:spacing w:after="200"/>
      </w:pPr>
      <w:r>
        <w:rPr>
          <w:rFonts w:ascii="Arial" w:cs="Arial" w:eastAsia="Arial" w:hAnsi="Arial"/>
          <w:sz w:val="24"/>
          <w:szCs w:val="24"/>
        </w:rPr>
        <w:t xml:space="preserve">Portuguese kings ruled as absolute monarchs. The Cortes had no effective control over royal finances; it 'had only convened sporadically since 1640.' The Crown could 'alter property rights for his own benefit' without constitutional restraint—royal monopolies could be granted or revoked at will, and New Christian merchants faced constant Inquisition confiscation risk.</w:t>
      </w:r>
    </w:p>
    <w:p>
      <w:pPr>
        <w:spacing w:after="200"/>
      </w:pPr>
      <w:r>
        <w:rPr>
          <w:rFonts w:ascii="Arial" w:cs="Arial" w:eastAsia="Arial" w:hAnsi="Arial"/>
          <w:sz w:val="24"/>
          <w:szCs w:val="24"/>
        </w:rPr>
        <w:t xml:space="preserve">Interest rate differentials directly measured this institutional deficit. Spanish Crown asientos charged approximately 12%, rising to 31% during the 1552 crisis; Venetian public debt paid 5% nominal; Dutch rates eventually fell to 3-4%. The Portuguese Crown paid rates comparable to Spain's—reflecting equivalent institutional weakness. No credible commitment mechanism existed; therefore no financial innovation emerged.</w:t>
      </w:r>
    </w:p>
    <w:p>
      <w:pPr>
        <w:pStyle w:val="Heading2"/>
      </w:pPr>
      <w:r>
        <w:t xml:space="preserve">3.3 Acemoglu and Robinson: Extractive vs. Inclusive Institutions</w:t>
      </w:r>
    </w:p>
    <w:p>
      <w:pPr>
        <w:spacing w:after="200"/>
      </w:pPr>
      <w:r>
        <w:rPr>
          <w:rFonts w:ascii="Arial" w:cs="Arial" w:eastAsia="Arial" w:hAnsi="Arial"/>
          <w:sz w:val="24"/>
          <w:szCs w:val="24"/>
        </w:rPr>
        <w:t xml:space="preserve">The Estado da Índia was paradigmatically extractive in Acemoglu and Robinson's terminology. The system concentrated power in Crown and aristocratic hands, extracted wealth for narrow groups, and discouraged innovation because incumbents (Crown, nobility, Inquisition) feared disruption to existing arrangements.</w:t>
      </w:r>
    </w:p>
    <w:p>
      <w:pPr>
        <w:spacing w:after="200"/>
      </w:pPr>
      <w:r>
        <w:rPr>
          <w:rFonts w:ascii="Arial" w:cs="Arial" w:eastAsia="Arial" w:hAnsi="Arial"/>
          <w:sz w:val="24"/>
          <w:szCs w:val="24"/>
        </w:rPr>
        <w:t xml:space="preserve">Steensgaard characterized the Estado as 'a redistributive enterprise which traded in order [to obtain for itself] the full benefit of its use of violence.' Protection costs (cartazes, customs, pillaging) were internalized as revenue sources rather than treated as business costs requiring efficiency. The result was what Steensgaard termed 'constitutionally determined corruption'—cleaning it up would 'tear asunder the bonds that held Estado da India together.'</w:t>
      </w:r>
    </w:p>
    <w:p>
      <w:pPr>
        <w:spacing w:after="200"/>
      </w:pPr>
      <w:r>
        <w:rPr>
          <w:rFonts w:ascii="Arial" w:cs="Arial" w:eastAsia="Arial" w:hAnsi="Arial"/>
          <w:sz w:val="24"/>
          <w:szCs w:val="24"/>
        </w:rPr>
        <w:t xml:space="preserve">Path dependency from initial Crown monopolization blocked subsequent reform. The quintaladas system (cargo space allocations to officers) created vested interests in existing arrangements. The three-year deployment rules for colonial agents created 'end-game' incentives maximizing personal extraction rather than institutional development. Each institutional choice constrained subsequent choices, locking Portugal into extractive patterns that precluded inclusive development.</w:t>
      </w:r>
    </w:p>
    <w:p>
      <w:pPr>
        <w:pStyle w:val="Heading2"/>
      </w:pPr>
      <w:r>
        <w:t xml:space="preserve">3.4 Tainter: Complexity and Diminishing Returns</w:t>
      </w:r>
    </w:p>
    <w:p>
      <w:pPr>
        <w:spacing w:after="200"/>
      </w:pPr>
      <w:r>
        <w:rPr>
          <w:rFonts w:ascii="Arial" w:cs="Arial" w:eastAsia="Arial" w:hAnsi="Arial"/>
          <w:sz w:val="24"/>
          <w:szCs w:val="24"/>
        </w:rPr>
        <w:t xml:space="preserve">Joseph Tainter's theory of collapse through diminishing returns on complexity finds strong application in the Portuguese case. The Estado da Índia represented extraordinary administrative complexity: managing approximately 50 fortresses across three continents, coordinating annual fleets across 18-month communication cycles, maintaining military presence from Brazil to Macau with a population base of 1.5 million.</w:t>
      </w:r>
    </w:p>
    <w:p>
      <w:pPr>
        <w:spacing w:after="200"/>
      </w:pPr>
      <w:r>
        <w:rPr>
          <w:rFonts w:ascii="Arial" w:cs="Arial" w:eastAsia="Arial" w:hAnsi="Arial"/>
          <w:sz w:val="24"/>
          <w:szCs w:val="24"/>
        </w:rPr>
        <w:t xml:space="preserve">Returns on this complexity peaked in the 1510s-1520s when monopoly profits were highest. But complexity costs continued growing—fortress maintenance, fleet replacement, garrison supply—while returns declined as competitors entered and local resistance intensified. By 1560, Casa da Índia expenses exceeded income: classic Tainter dynamics where the marginal costs of complexity exceeded marginal benefits.</w:t>
      </w:r>
    </w:p>
    <w:p>
      <w:pPr>
        <w:spacing w:after="200"/>
      </w:pPr>
      <w:r>
        <w:rPr>
          <w:rFonts w:ascii="Arial" w:cs="Arial" w:eastAsia="Arial" w:hAnsi="Arial"/>
          <w:sz w:val="24"/>
          <w:szCs w:val="24"/>
        </w:rPr>
        <w:t xml:space="preserve">Portugal lacked the institutional capacity to simplify strategically. Unlike modern corporations that can exit unprofitable lines, the Estado could not abandon fortresses without triggering cascade failures. Defensive complexity became self-reinforcing: each new threat required additional investment, which required additional extraction, which generated additional resistance, which required additional investment. The 1580 Habsburg absorption was, in Tainter's terms, a simplification externally imposed when internal simplification proved impossible.</w:t>
      </w:r>
    </w:p>
    <w:p>
      <w:pPr>
        <w:pStyle w:val="Heading2"/>
      </w:pPr>
      <w:r>
        <w:t xml:space="preserve">3.5 Tilly: War-Making and State-Making</w:t>
      </w:r>
    </w:p>
    <w:p>
      <w:pPr>
        <w:spacing w:after="200"/>
      </w:pPr>
      <w:r>
        <w:rPr>
          <w:rFonts w:ascii="Arial" w:cs="Arial" w:eastAsia="Arial" w:hAnsi="Arial"/>
          <w:sz w:val="24"/>
          <w:szCs w:val="24"/>
        </w:rPr>
        <w:t xml:space="preserve">Charles Tilly's framework linking war-making to state-making illuminates Portuguese trajectory. Tilly argues that modern states emerged through the fiscal demands of warfare: states that could mobilize resources for war developed the administrative capacity that became modern governance. Portugal initially fit this pattern—Reconquista created the military orientation that drove overseas expansion, and naval warfare required sophisticated shipbuilding and navigation.</w:t>
      </w:r>
    </w:p>
    <w:p>
      <w:pPr>
        <w:spacing w:after="200"/>
      </w:pPr>
      <w:r>
        <w:rPr>
          <w:rFonts w:ascii="Arial" w:cs="Arial" w:eastAsia="Arial" w:hAnsi="Arial"/>
          <w:sz w:val="24"/>
          <w:szCs w:val="24"/>
        </w:rPr>
        <w:t xml:space="preserve">However, the Portuguese case reveals limits to the Tilly mechanism. Portuguese warfare was primarily maritime and expeditionary rather than continental and territorial. This created different state-building pressures: naval power required technological sophistication but smaller manpower mobilization than continental warfare. The demographic constraints that would have been fatal for a continental power were survivable for a maritime power—until competitors with larger populations developed comparable naval technology.</w:t>
      </w:r>
    </w:p>
    <w:p>
      <w:pPr>
        <w:spacing w:after="200"/>
      </w:pPr>
      <w:r>
        <w:rPr>
          <w:rFonts w:ascii="Arial" w:cs="Arial" w:eastAsia="Arial" w:hAnsi="Arial"/>
          <w:sz w:val="24"/>
          <w:szCs w:val="24"/>
        </w:rPr>
        <w:t xml:space="preserve">More importantly, Portuguese war-making did not generate the domestic fiscal institutions that Tilly identifies as state-building outcomes. Because overseas revenues flowed directly to the Crown without requiring domestic taxation, no constitutional bargaining process emerged. English and Dutch state-building required representative institutions because monarchs needed to negotiate taxation; Portuguese monarchs could fund warfare from overseas extraction, avoiding domestic institution-building entirely.</w:t>
      </w:r>
    </w:p>
    <w:p>
      <w:r>
        <w:br w:type="page"/>
      </w:r>
    </w:p>
    <w:p>
      <w:pPr>
        <w:pStyle w:val="Heading1"/>
      </w:pPr>
      <w:r>
        <w:t xml:space="preserve">4. Institutional Transfer Methodology: Portuguese → Spanish (1580)</w:t>
      </w:r>
    </w:p>
    <w:p>
      <w:pPr>
        <w:spacing w:after="200"/>
      </w:pPr>
      <w:r>
        <w:rPr>
          <w:rFonts w:ascii="Arial" w:cs="Arial" w:eastAsia="Arial" w:hAnsi="Arial"/>
          <w:sz w:val="24"/>
          <w:szCs w:val="24"/>
        </w:rPr>
        <w:t xml:space="preserve">The 1580 Iberian Union represents a critical hegemonic transfer case. Unlike the 1688 Dutch→English transition (which transferred financial institutions) or the 1694 moment (which consolidated transferred institutions), the 1580 transfer was primarily absorptive—Spain absorbed Portuguese territories and networks but developed few new institutional capabilities.</w:t>
      </w:r>
    </w:p>
    <w:p>
      <w:pPr>
        <w:pStyle w:val="Heading2"/>
      </w:pPr>
      <w:r>
        <w:t xml:space="preserve">4.1 What Transferred: The Seven Institutional Gene Categories</w:t>
      </w:r>
    </w:p>
    <w:p>
      <w:pPr>
        <w:pStyle w:val="Heading3"/>
      </w:pPr>
      <w:r>
        <w:t xml:space="preserve">Geographic Knowledge and Navigation Expertise</w:t>
      </w:r>
    </w:p>
    <w:p>
      <w:pPr>
        <w:spacing w:after="200"/>
      </w:pPr>
      <w:r>
        <w:rPr>
          <w:rFonts w:ascii="Arial" w:cs="Arial" w:eastAsia="Arial" w:hAnsi="Arial"/>
          <w:sz w:val="24"/>
          <w:szCs w:val="24"/>
        </w:rPr>
        <w:t xml:space="preserve">Transfer Success: HIGH. Spain acquired Portuguese cartographic knowledge, rutters, and navigation expertise. The Casa de Contratación in Seville already maintained comparable competencies for Atlantic navigation; Portuguese expertise extended this to the Indian Ocean and Pacific. Portuguese pilots were employed throughout the unified fleet system.</w:t>
      </w:r>
    </w:p>
    <w:p>
      <w:pPr>
        <w:pStyle w:val="Heading3"/>
      </w:pPr>
      <w:r>
        <w:t xml:space="preserve">Fortress and Commercial Network Infrastructure</w:t>
      </w:r>
    </w:p>
    <w:p>
      <w:pPr>
        <w:spacing w:after="200"/>
      </w:pPr>
      <w:r>
        <w:rPr>
          <w:rFonts w:ascii="Arial" w:cs="Arial" w:eastAsia="Arial" w:hAnsi="Arial"/>
          <w:sz w:val="24"/>
          <w:szCs w:val="24"/>
        </w:rPr>
        <w:t xml:space="preserve">Transfer Success: MODERATE. Spain inherited approximately 50 Portuguese fortresses and the feitoria trading network. However, the cost of maintaining this infrastructure exceeded revenues almost immediately. Spain prioritized Atlantic territories (silver flows from Americas) over Asian operations, leading to progressive abandonment of peripheral positions.</w:t>
      </w:r>
    </w:p>
    <w:p>
      <w:pPr>
        <w:pStyle w:val="Heading3"/>
      </w:pPr>
      <w:r>
        <w:t xml:space="preserve">Commercial Relationships and Trade Networks</w:t>
      </w:r>
    </w:p>
    <w:p>
      <w:pPr>
        <w:spacing w:after="200"/>
      </w:pPr>
      <w:r>
        <w:rPr>
          <w:rFonts w:ascii="Arial" w:cs="Arial" w:eastAsia="Arial" w:hAnsi="Arial"/>
          <w:sz w:val="24"/>
          <w:szCs w:val="24"/>
        </w:rPr>
        <w:t xml:space="preserve">Transfer Success: LOW. Portuguese commercial relationships depended on personal networks, local intermediaries, and Crown privilege systems that did not transfer cleanly. Spanish administration disrupted existing arrangements without developing replacements. The imposition of Spanish exclusionary policies (extending to Portuguese territories) damaged relationships with Asian trading partners.</w:t>
      </w:r>
    </w:p>
    <w:p>
      <w:pPr>
        <w:pStyle w:val="Heading3"/>
      </w:pPr>
      <w:r>
        <w:t xml:space="preserve">Legal and Regulatory Frameworks</w:t>
      </w:r>
    </w:p>
    <w:p>
      <w:pPr>
        <w:spacing w:after="200"/>
      </w:pPr>
      <w:r>
        <w:rPr>
          <w:rFonts w:ascii="Arial" w:cs="Arial" w:eastAsia="Arial" w:hAnsi="Arial"/>
          <w:sz w:val="24"/>
          <w:szCs w:val="24"/>
        </w:rPr>
        <w:t xml:space="preserve">Transfer Success: MODERATE. The padroado system continued nominally, and Portuguese administrative law remained operative in Estado da Índia territories. However, Spanish overlay created jurisdictional confusion. The 1580 Treaty of Tomar promised Portuguese institutional autonomy, but this eroded progressively, particularly after 1640 Portuguese restoration attempts.</w:t>
      </w:r>
    </w:p>
    <w:p>
      <w:pPr>
        <w:pStyle w:val="Heading3"/>
      </w:pPr>
      <w:r>
        <w:t xml:space="preserve">Financial Mechanisms and Banking Relationships</w:t>
      </w:r>
    </w:p>
    <w:p>
      <w:pPr>
        <w:spacing w:after="200"/>
      </w:pPr>
      <w:r>
        <w:rPr>
          <w:rFonts w:ascii="Arial" w:cs="Arial" w:eastAsia="Arial" w:hAnsi="Arial"/>
          <w:sz w:val="24"/>
          <w:szCs w:val="24"/>
        </w:rPr>
        <w:t xml:space="preserve">Transfer Success: NEGATIVE. Portugal had no indigenous financial institutions to transfer. Instead, the Union deepened dependency on the same Genoese and German banking houses that served Spain. Spanish Habsburg bankruptcies (1575, 1596, 1607, 1627, 1647) damaged these relationships progressively, harming Portuguese commercial interests tied to the same creditor networks.</w:t>
      </w:r>
    </w:p>
    <w:p>
      <w:pPr>
        <w:pStyle w:val="Heading3"/>
      </w:pPr>
      <w:r>
        <w:t xml:space="preserve">Human Capital and Technical Expertise</w:t>
      </w:r>
    </w:p>
    <w:p>
      <w:pPr>
        <w:spacing w:after="200"/>
      </w:pPr>
      <w:r>
        <w:rPr>
          <w:rFonts w:ascii="Arial" w:cs="Arial" w:eastAsia="Arial" w:hAnsi="Arial"/>
          <w:sz w:val="24"/>
          <w:szCs w:val="24"/>
        </w:rPr>
        <w:t xml:space="preserve">Transfer Success: LOW-MODERATE. Portuguese technical experts (pilots, shipwrights, factors) remained valuable and were retained. However, the Union accelerated New Christian emigration—Portuguese converso merchants who had maintained commercial presence despite Inquisition pressures now faced Spanish Inquisition intensification. This expertise migrated to Amsterdam, Hamburg, and Livorno, directly benefiting Portuguese competitors.</w:t>
      </w:r>
    </w:p>
    <w:p>
      <w:pPr>
        <w:pStyle w:val="Heading3"/>
      </w:pPr>
      <w:r>
        <w:t xml:space="preserve">Information Infrastructure and Intelligence Networks</w:t>
      </w:r>
    </w:p>
    <w:p>
      <w:pPr>
        <w:spacing w:after="200"/>
      </w:pPr>
      <w:r>
        <w:rPr>
          <w:rFonts w:ascii="Arial" w:cs="Arial" w:eastAsia="Arial" w:hAnsi="Arial"/>
          <w:sz w:val="24"/>
          <w:szCs w:val="24"/>
        </w:rPr>
        <w:t xml:space="preserve">Transfer Success: LOW. Portuguese information systems (Casa da Índia records, factor correspondence, intelligence networks) were valuable but institution-dependent. Spanish administration disrupted information flows without developing superior alternatives. Most critically, the Union exposed Portuguese geographic knowledge to broader European access—the 1587 Drake capture of São Filipe revealed Portuguese rutters to English rivals.</w:t>
      </w:r>
    </w:p>
    <w:p>
      <w:pPr>
        <w:pStyle w:val="Heading2"/>
      </w:pPr>
      <w:r>
        <w:t xml:space="preserve">4.2 What Was Lost</w:t>
      </w:r>
    </w:p>
    <w:p>
      <w:pPr>
        <w:spacing w:after="200"/>
      </w:pPr>
      <w:r>
        <w:rPr>
          <w:rFonts w:ascii="Arial" w:cs="Arial" w:eastAsia="Arial" w:hAnsi="Arial"/>
          <w:sz w:val="24"/>
          <w:szCs w:val="24"/>
        </w:rPr>
        <w:t xml:space="preserve">Strategic Autonomy: Portugal lost capacity for independent foreign policy, most critically the ability to negotiate with Protestant powers (England, Netherlands) who increasingly dominated Atlantic and Asian trade. Spanish religious and political priorities constrained Portuguese commercial flexibility.</w:t>
      </w:r>
    </w:p>
    <w:p>
      <w:pPr>
        <w:spacing w:after="200"/>
      </w:pPr>
      <w:r>
        <w:rPr>
          <w:rFonts w:ascii="Arial" w:cs="Arial" w:eastAsia="Arial" w:hAnsi="Arial"/>
          <w:sz w:val="24"/>
          <w:szCs w:val="24"/>
        </w:rPr>
        <w:t xml:space="preserve">Human Capital: New Christian emigration accelerated post-1580 as Spanish Inquisition extended to Portuguese territories. Boyajian estimates Portuguese converso bankers only became significant at the Spanish court during 1626-1650—and then transferred their operations to Amsterdam following the 1647 bankruptcy.</w:t>
      </w:r>
    </w:p>
    <w:p>
      <w:pPr>
        <w:spacing w:after="200"/>
      </w:pPr>
      <w:r>
        <w:rPr>
          <w:rFonts w:ascii="Arial" w:cs="Arial" w:eastAsia="Arial" w:hAnsi="Arial"/>
          <w:sz w:val="24"/>
          <w:szCs w:val="24"/>
        </w:rPr>
        <w:t xml:space="preserve">Commercial Focus: Spanish strategic priorities (American silver, European religious wars) diverted resources from Portuguese Asian trade. The Estado da Índia received diminishing investment while facing intensifying Dutch competition from the 1590s.</w:t>
      </w:r>
    </w:p>
    <w:p>
      <w:pPr>
        <w:pStyle w:val="Heading2"/>
      </w:pPr>
      <w:r>
        <w:t xml:space="preserve">4.3 Why the Union Accelerated Decline</w:t>
      </w:r>
    </w:p>
    <w:p>
      <w:pPr>
        <w:spacing w:after="200"/>
      </w:pPr>
      <w:r>
        <w:rPr>
          <w:rFonts w:ascii="Arial" w:cs="Arial" w:eastAsia="Arial" w:hAnsi="Arial"/>
          <w:sz w:val="24"/>
          <w:szCs w:val="24"/>
        </w:rPr>
        <w:t xml:space="preserve">The 1580 Union accelerated rather than arrested Portuguese decline for three structural reasons. First, Spain was already experiencing its own institutional crisis—the same extractive patterns, Genoese dependency, and fiscal exhaustion that afflicted Portugal. Union combined two declining systems rather than pairing decline with renewal. Second, the Union exposed Portuguese territories to Dutch Protestant attacks that targeted the unified Habsburg enemy rather than Portugal specifically—the 1602 VOC charter explicitly aimed at 'enemy' (Habsburg) positions. Third, Spanish strategic priorities consistently subordinated Portuguese commercial interests to Habsburg dynastic and religious goals.</w:t>
      </w:r>
    </w:p>
    <w:p>
      <w:pPr>
        <w:spacing w:after="200"/>
      </w:pPr>
      <w:r>
        <w:rPr>
          <w:rFonts w:ascii="Arial" w:cs="Arial" w:eastAsia="Arial" w:hAnsi="Arial"/>
          <w:sz w:val="24"/>
          <w:szCs w:val="24"/>
        </w:rPr>
        <w:t xml:space="preserve">The contrast with the 1688 Dutch→English transition is instructive. That transfer paired a declining hegemon (Netherlands) with a rising power (England) that already possessed institutional foundations (Glorious Revolution constitutional settlement) enabling absorption and development of transferred capabilities. The 1580 Union paired a declining first-mover (Portugal) with a declining hegemon (Spain) lacking institutional capacity to develop transferred capabilities. This explains why the Dutch surpassed both within two decades of Union.</w:t>
      </w:r>
    </w:p>
    <w:p>
      <w:r>
        <w:br w:type="page"/>
      </w:r>
    </w:p>
    <w:p>
      <w:pPr>
        <w:pStyle w:val="Heading1"/>
      </w:pPr>
      <w:r>
        <w:t xml:space="preserve">5. Consolidated Intellectual Honesty Addendum</w:t>
      </w:r>
    </w:p>
    <w:p>
      <w:pPr>
        <w:pStyle w:val="Heading2"/>
      </w:pPr>
      <w:r>
        <w:t xml:space="preserve">5.1 Source Quality and Limitations</w:t>
      </w:r>
    </w:p>
    <w:p>
      <w:pPr>
        <w:spacing w:after="200"/>
      </w:pPr>
      <w:r>
        <w:rPr>
          <w:rFonts w:ascii="Arial" w:cs="Arial" w:eastAsia="Arial" w:hAnsi="Arial"/>
          <w:sz w:val="24"/>
          <w:szCs w:val="24"/>
        </w:rPr>
        <w:t xml:space="preserve">Archival Destruction: The 1755 Lisbon earthquake destroyed Ribeira Palace and most Casa da Índia records, creating permanent gaps. Portuguese-specific financial data (Crown debt levels, domestic creditor shares) is largely unavailable pre-1580; analysis relies heavily on Spanish/Habsburg records post-Union.</w:t>
      </w:r>
    </w:p>
    <w:p>
      <w:pPr>
        <w:spacing w:after="200"/>
      </w:pPr>
      <w:r>
        <w:rPr>
          <w:rFonts w:ascii="Arial" w:cs="Arial" w:eastAsia="Arial" w:hAnsi="Arial"/>
          <w:sz w:val="24"/>
          <w:szCs w:val="24"/>
        </w:rPr>
        <w:t xml:space="preserve">Quantitative Data: Vitorino Magalhães Godinho's statistical work (Os Descobrimentos e a Economia Mundial, 1963-71) remains the gold standard for trade volumes but covers primarily commodity flows rather than financial metrics. James Boyajian's banking research focuses on the 1580-1650 period, after Portuguese absorption into Habsburg monarchy.</w:t>
      </w:r>
    </w:p>
    <w:p>
      <w:pPr>
        <w:spacing w:after="200"/>
      </w:pPr>
      <w:r>
        <w:rPr>
          <w:rFonts w:ascii="Arial" w:cs="Arial" w:eastAsia="Arial" w:hAnsi="Arial"/>
          <w:sz w:val="24"/>
          <w:szCs w:val="24"/>
        </w:rPr>
        <w:t xml:space="preserve">Comparative Asymmetry: Dutch and Venetian financial institutions are far better documented than Portuguese equivalents (or absences), creating asymmetric evidence quality. This risks overstating Portuguese failure relative to better-documented competitors.</w:t>
      </w:r>
    </w:p>
    <w:p>
      <w:pPr>
        <w:spacing w:after="200"/>
      </w:pPr>
      <w:r>
        <w:rPr>
          <w:rFonts w:ascii="Arial" w:cs="Arial" w:eastAsia="Arial" w:hAnsi="Arial"/>
          <w:sz w:val="24"/>
          <w:szCs w:val="24"/>
        </w:rPr>
        <w:t xml:space="preserve">European-Centric Records: Portuguese sources reflect Crown and elite perspectives; Asian, African, and lower-class Portuguese voices are largely absent. Indigenous perspectives on Portuguese commercial activities are available only through Portuguese or other European intermediaries.</w:t>
      </w:r>
    </w:p>
    <w:p>
      <w:pPr>
        <w:pStyle w:val="Heading2"/>
      </w:pPr>
      <w:r>
        <w:t xml:space="preserve">5.2 Scholarly Debates</w:t>
      </w:r>
    </w:p>
    <w:p>
      <w:pPr>
        <w:spacing w:after="200"/>
      </w:pPr>
      <w:r>
        <w:rPr>
          <w:rFonts w:ascii="Arial" w:cs="Arial" w:eastAsia="Arial" w:hAnsi="Arial"/>
          <w:sz w:val="24"/>
          <w:szCs w:val="24"/>
        </w:rPr>
        <w:t xml:space="preserve">Declinist vs. Revisionist Interpretations: Traditional accounts (Boxer 1969) portrayed the Estado da Índia as 'quasi-feudal, pre-modern, pre-capitalist and therefore not efficient.' Sanjay Subrahmanyam (1993) challenges this 'Weberian' interpretation, emphasizing Portuguese adaptability and arguing that global markets made 'regional, or even global, economic hegemony impossible to maintain.' This analysis incorporates both perspectives but leans toward institutional explanations.</w:t>
      </w:r>
    </w:p>
    <w:p>
      <w:pPr>
        <w:spacing w:after="200"/>
      </w:pPr>
      <w:r>
        <w:rPr>
          <w:rFonts w:ascii="Arial" w:cs="Arial" w:eastAsia="Arial" w:hAnsi="Arial"/>
          <w:sz w:val="24"/>
          <w:szCs w:val="24"/>
        </w:rPr>
        <w:t xml:space="preserve">Cultural vs. Institutional Causation: Godinho's 'incomplete transition' framework emphasizes cultural factors—aristocratic values preventing merchant class development. Claudia Rei (2011) argues 'not culture, but circumstance': Portugal monopolized trade because the Crown had capital; private capital mobilization was unnecessary and therefore undeveloped. This analysis prioritizes institutional over cultural explanations while acknowledging their interaction.</w:t>
      </w:r>
    </w:p>
    <w:p>
      <w:pPr>
        <w:pStyle w:val="Heading2"/>
      </w:pPr>
      <w:r>
        <w:t xml:space="preserve">5.3 Alternative Explanations</w:t>
      </w:r>
    </w:p>
    <w:p>
      <w:pPr>
        <w:spacing w:after="200"/>
      </w:pPr>
      <w:r>
        <w:rPr>
          <w:rFonts w:ascii="Arial" w:cs="Arial" w:eastAsia="Arial" w:hAnsi="Arial"/>
          <w:sz w:val="24"/>
          <w:szCs w:val="24"/>
        </w:rPr>
        <w:t xml:space="preserve">Overextension Thesis: Portugal's strategic reach exceeded defensive capacity; resources devoted to Morocco, Brazil, and Africa diluted Asian focus. This explanation has merit but does not explain why Portugal failed to develop financial institutions that might have addressed overextension through capital mobilization.</w:t>
      </w:r>
    </w:p>
    <w:p>
      <w:pPr>
        <w:spacing w:after="200"/>
      </w:pPr>
      <w:r>
        <w:rPr>
          <w:rFonts w:ascii="Arial" w:cs="Arial" w:eastAsia="Arial" w:hAnsi="Arial"/>
          <w:sz w:val="24"/>
          <w:szCs w:val="24"/>
        </w:rPr>
        <w:t xml:space="preserve">Competition Thesis: Portuguese decline resulted from superior Dutch and English organizational forms rather than Portuguese institutional failures. This explanation is partially correct but the question remains why Portugal could not develop comparable organizational innovations.</w:t>
      </w:r>
    </w:p>
    <w:p>
      <w:pPr>
        <w:spacing w:after="200"/>
      </w:pPr>
      <w:r>
        <w:rPr>
          <w:rFonts w:ascii="Arial" w:cs="Arial" w:eastAsia="Arial" w:hAnsi="Arial"/>
          <w:sz w:val="24"/>
          <w:szCs w:val="24"/>
        </w:rPr>
        <w:t xml:space="preserve">Geographic Thesis: Goa's problematic location—'the worst place the Portuguese could possibly have chosen as the endpoint of the Carreira da India'—created structural disadvantages. This explains some operational difficulties but not institutional underdevelopment.</w:t>
      </w:r>
    </w:p>
    <w:p>
      <w:pPr>
        <w:pStyle w:val="Heading2"/>
      </w:pPr>
      <w:r>
        <w:t xml:space="preserve">5.4 Framework Limitations Revealed</w:t>
      </w:r>
    </w:p>
    <w:p>
      <w:pPr>
        <w:spacing w:after="200"/>
      </w:pPr>
      <w:r>
        <w:rPr>
          <w:rFonts w:ascii="Arial" w:cs="Arial" w:eastAsia="Arial" w:hAnsi="Arial"/>
          <w:sz w:val="24"/>
          <w:szCs w:val="24"/>
        </w:rPr>
        <w:t xml:space="preserve">Timescale Issues: The Portuguese case operated on 165 years (1415-1580) compared to Byzantine (1,100 years) or Roman (500+ years) cases. The CAS Framework may not fully capture dynamics of shorter-duration commercial hegemonies.</w:t>
      </w:r>
    </w:p>
    <w:p>
      <w:pPr>
        <w:spacing w:after="200"/>
      </w:pPr>
      <w:r>
        <w:rPr>
          <w:rFonts w:ascii="Arial" w:cs="Arial" w:eastAsia="Arial" w:hAnsi="Arial"/>
          <w:sz w:val="24"/>
          <w:szCs w:val="24"/>
        </w:rPr>
        <w:t xml:space="preserve">Maritime vs. Territorial Hegemony: The Portuguese model (network of fortresses and trading posts without territorial control) differs fundamentally from territorial empires. The framework's domain structure may require adaptation for pure maritime powers.</w:t>
      </w:r>
    </w:p>
    <w:p>
      <w:pPr>
        <w:spacing w:after="200"/>
      </w:pPr>
      <w:r>
        <w:rPr>
          <w:rFonts w:ascii="Arial" w:cs="Arial" w:eastAsia="Arial" w:hAnsi="Arial"/>
          <w:sz w:val="24"/>
          <w:szCs w:val="24"/>
        </w:rPr>
        <w:t xml:space="preserve">First-Mover Dynamics: The framework does not explicitly model first-mover advantages and their erosion. Portuguese success was substantially first-mover dependent; framework enhancement should incorporate first-mover/fast-follower dynamics.</w:t>
      </w:r>
    </w:p>
    <w:p>
      <w:r>
        <w:br w:type="page"/>
      </w:r>
    </w:p>
    <w:p>
      <w:pPr>
        <w:pStyle w:val="Heading1"/>
      </w:pPr>
      <w:r>
        <w:t xml:space="preserve">6. Corporate Parallels</w:t>
      </w:r>
    </w:p>
    <w:p>
      <w:pPr>
        <w:pStyle w:val="Heading2"/>
      </w:pPr>
      <w:r>
        <w:t xml:space="preserve">6.1 Success Parallels</w:t>
      </w:r>
    </w:p>
    <w:p>
      <w:pPr>
        <w:pStyle w:val="Heading3"/>
      </w:pPr>
      <w:r>
        <w:t xml:space="preserve">First-Mover in Niche Markets: Intel (1970s-1990s)</w:t>
      </w:r>
    </w:p>
    <w:p>
      <w:pPr>
        <w:spacing w:after="200"/>
      </w:pPr>
      <w:r>
        <w:rPr>
          <w:rFonts w:ascii="Arial" w:cs="Arial" w:eastAsia="Arial" w:hAnsi="Arial"/>
          <w:sz w:val="24"/>
          <w:szCs w:val="24"/>
        </w:rPr>
        <w:t xml:space="preserve">Like Portugal in the spice trade, Intel achieved early dominance in microprocessors through technological leadership and aggressive strategic positioning. Intel's 'Intel Inside' campaign parallels Portuguese cartaz enforcement—using market power to establish advantageous commercial terms. Intel's later vulnerability to ARM and AMD competition parallels Portuguese vulnerability to Dutch entry: first-mover advantages erode when competitors develop comparable technology with superior organizational forms.</w:t>
      </w:r>
    </w:p>
    <w:p>
      <w:pPr>
        <w:pStyle w:val="Heading3"/>
      </w:pPr>
      <w:r>
        <w:t xml:space="preserve">Vertical Integration Strategy: Carnegie Steel (1870s-1900s)</w:t>
      </w:r>
    </w:p>
    <w:p>
      <w:pPr>
        <w:spacing w:after="200"/>
      </w:pPr>
      <w:r>
        <w:rPr>
          <w:rFonts w:ascii="Arial" w:cs="Arial" w:eastAsia="Arial" w:hAnsi="Arial"/>
          <w:sz w:val="24"/>
          <w:szCs w:val="24"/>
        </w:rPr>
        <w:t xml:space="preserve">Carnegie's vertical integration from ore mines to finished steel parallels Portuguese control of the complete spice supply chain from Asian sources to European distribution. Both achieved extraordinary margins through integration. Carnegie succeeded where Portugal failed by developing corresponding financial sophistication (eventually merging into U.S. Steel with J.P. Morgan's financial engineering) and by operating in an institutional environment (U.S. corporate law, capital markets) that enabled organizational innovation.</w:t>
      </w:r>
    </w:p>
    <w:p>
      <w:pPr>
        <w:pStyle w:val="Heading3"/>
      </w:pPr>
      <w:r>
        <w:t xml:space="preserve">Knowledge Monetization: IBM (1960s-1980s)</w:t>
      </w:r>
    </w:p>
    <w:p>
      <w:pPr>
        <w:spacing w:after="200"/>
      </w:pPr>
      <w:r>
        <w:rPr>
          <w:rFonts w:ascii="Arial" w:cs="Arial" w:eastAsia="Arial" w:hAnsi="Arial"/>
          <w:sz w:val="24"/>
          <w:szCs w:val="24"/>
        </w:rPr>
        <w:t xml:space="preserve">IBM's dominance in mainframe computing rested on accumulated knowledge (hardware, software, customer relationships) similar to Portuguese geographic and commercial knowledge. IBM's ability to monetize knowledge through licensing, services, and ecosystem development represents what Portugal failed to achieve with Casa da Índia information assets. IBM's eventual decline (PC commoditization) also parallels Portuguese experience: knowledge advantages erode when institutionalized transfer mechanisms (licensing, publishing) enable competitor catch-up.</w:t>
      </w:r>
    </w:p>
    <w:p>
      <w:pPr>
        <w:pStyle w:val="Heading2"/>
      </w:pPr>
      <w:r>
        <w:t xml:space="preserve">6.2 Failure Parallels</w:t>
      </w:r>
    </w:p>
    <w:p>
      <w:pPr>
        <w:pStyle w:val="Heading3"/>
      </w:pPr>
      <w:r>
        <w:t xml:space="preserve">Demographic-Constrained Expansion: General Motors (1960s-2000s)</w:t>
      </w:r>
    </w:p>
    <w:p>
      <w:pPr>
        <w:spacing w:after="200"/>
      </w:pPr>
      <w:r>
        <w:rPr>
          <w:rFonts w:ascii="Arial" w:cs="Arial" w:eastAsia="Arial" w:hAnsi="Arial"/>
          <w:sz w:val="24"/>
          <w:szCs w:val="24"/>
        </w:rPr>
        <w:t xml:space="preserve">GM's attempt to maintain global presence with increasingly uncompetitive domestic operations parallels Portuguese overextension with inadequate population base. Both organizations maintained infrastructure (GM's global factory network, Portugal's fortress system) that consumed resources without generating proportional returns. GM's resistance to organizational simplification until bankruptcy parallels Portugal's inability to abandon unprofitable positions.</w:t>
      </w:r>
    </w:p>
    <w:p>
      <w:pPr>
        <w:pStyle w:val="Heading3"/>
      </w:pPr>
      <w:r>
        <w:t xml:space="preserve">Dependency on External Financing: Enron (1985-2001)</w:t>
      </w:r>
    </w:p>
    <w:p>
      <w:pPr>
        <w:spacing w:after="200"/>
      </w:pPr>
      <w:r>
        <w:rPr>
          <w:rFonts w:ascii="Arial" w:cs="Arial" w:eastAsia="Arial" w:hAnsi="Arial"/>
          <w:sz w:val="24"/>
          <w:szCs w:val="24"/>
        </w:rPr>
        <w:t xml:space="preserve">Enron's dependency on continuous external financing to fund expansion parallels Portuguese dependency on Fugger and Genoese creditors. Both organizations achieved apparent commercial success while accumulating unsustainable financial obligations. Enron's collapse when financing dried up parallels Portugal's fiscal exhaustion when Casa da Índia revenues could no longer service debt obligations.</w:t>
      </w:r>
    </w:p>
    <w:p>
      <w:pPr>
        <w:pStyle w:val="Heading3"/>
      </w:pPr>
      <w:r>
        <w:t xml:space="preserve">Knowledge Leakage Without Institutional Protection: Kodak (1990s-2010s)</w:t>
      </w:r>
    </w:p>
    <w:p>
      <w:pPr>
        <w:spacing w:after="200"/>
      </w:pPr>
      <w:r>
        <w:rPr>
          <w:rFonts w:ascii="Arial" w:cs="Arial" w:eastAsia="Arial" w:hAnsi="Arial"/>
          <w:sz w:val="24"/>
          <w:szCs w:val="24"/>
        </w:rPr>
        <w:t xml:space="preserve">Kodak invented digital photography but failed to develop organizational capacity to exploit the technology, allowing competitors to capture markets Kodak's own innovation enabled. This parallels Portuguese cartographic innovation enabling Dutch and English competition. Both organizations generated valuable knowledge without developing institutional mechanisms to maintain advantage once the knowledge diffused.</w:t>
      </w:r>
    </w:p>
    <w:p>
      <w:pPr>
        <w:pStyle w:val="Heading3"/>
      </w:pPr>
      <w:r>
        <w:t xml:space="preserve">Extractive Leadership: Sears (1990s-2010s)</w:t>
      </w:r>
    </w:p>
    <w:p>
      <w:pPr>
        <w:spacing w:after="200"/>
      </w:pPr>
      <w:r>
        <w:rPr>
          <w:rFonts w:ascii="Arial" w:cs="Arial" w:eastAsia="Arial" w:hAnsi="Arial"/>
          <w:sz w:val="24"/>
          <w:szCs w:val="24"/>
        </w:rPr>
        <w:t xml:space="preserve">Eddie Lampert's extraction-focused management of Sears—selling real estate, cutting investment, distributing cash to shareholders—parallels Portuguese Crown extraction from Estado da Índia. Both prioritized near-term returns over institutional investment. Sears' progressive deterioration mirrors Portuguese decline: extraction strategies can sustain distributions temporarily but eventually consume the institutional capacity that generates value.</w:t>
      </w:r>
    </w:p>
    <w:p>
      <w:r>
        <w:br w:type="page"/>
      </w:r>
    </w:p>
    <w:p>
      <w:pPr>
        <w:pStyle w:val="Heading1"/>
      </w:pPr>
      <w:r>
        <w:t xml:space="preserve">7. Infonomics Implications</w:t>
      </w:r>
    </w:p>
    <w:p>
      <w:pPr>
        <w:spacing w:after="200"/>
      </w:pPr>
      <w:r>
        <w:rPr>
          <w:rFonts w:ascii="Arial" w:cs="Arial" w:eastAsia="Arial" w:hAnsi="Arial"/>
          <w:sz w:val="24"/>
          <w:szCs w:val="24"/>
        </w:rPr>
        <w:t xml:space="preserve">The Portuguese case offers critical lessons for the Infonomics Framework's development of data valuation and capitalization methodologies.</w:t>
      </w:r>
    </w:p>
    <w:p>
      <w:pPr>
        <w:pStyle w:val="Heading2"/>
      </w:pPr>
      <w:r>
        <w:t xml:space="preserve">7.1 Data Sovereignty and Institutional Prerequisites</w:t>
      </w:r>
    </w:p>
    <w:p>
      <w:pPr>
        <w:spacing w:after="200"/>
      </w:pPr>
      <w:r>
        <w:rPr>
          <w:rFonts w:ascii="Arial" w:cs="Arial" w:eastAsia="Arial" w:hAnsi="Arial"/>
          <w:sz w:val="24"/>
          <w:szCs w:val="24"/>
        </w:rPr>
        <w:t xml:space="preserve">Portuguese cartographic information represented the most valuable data asset of its era—geographic knowledge that enabled monopoly access to lucrative trade routes. Yet Portugal could not sustain data sovereignty because it lacked the institutional infrastructure to protect and capitalize information assets.</w:t>
      </w:r>
    </w:p>
    <w:p>
      <w:pPr>
        <w:spacing w:after="200"/>
      </w:pPr>
      <w:r>
        <w:rPr>
          <w:rFonts w:ascii="Arial" w:cs="Arial" w:eastAsia="Arial" w:hAnsi="Arial"/>
          <w:sz w:val="24"/>
          <w:szCs w:val="24"/>
        </w:rPr>
        <w:t xml:space="preserve">Implication for Modern Organizations: Data value is contingent on institutional capacity. Organizations that accumulate data assets without developing corresponding governance structures, legal frameworks, and financial mechanisms risk the Portuguese outcome: temporary advantage followed by value leakage to better-institutionalized competitors. Cloud provider dependency may parallel Portuguese Genoese dependency—outsourcing critical capabilities creates structural vulnerability.</w:t>
      </w:r>
    </w:p>
    <w:p>
      <w:pPr>
        <w:pStyle w:val="Heading2"/>
      </w:pPr>
      <w:r>
        <w:t xml:space="preserve">7.2 First-Mover Advantage Without Institutional Depth</w:t>
      </w:r>
    </w:p>
    <w:p>
      <w:pPr>
        <w:spacing w:after="200"/>
      </w:pPr>
      <w:r>
        <w:rPr>
          <w:rFonts w:ascii="Arial" w:cs="Arial" w:eastAsia="Arial" w:hAnsi="Arial"/>
          <w:sz w:val="24"/>
          <w:szCs w:val="24"/>
        </w:rPr>
        <w:t xml:space="preserve">Portugal achieved first-mover advantage in global trade but failed to develop the institutional depth to sustain it. First-mover status provided monopoly profits for approximately 80 years (1500-1580) before competition eroded advantages. Without institutional renewal, first-mover advantages proved temporary.</w:t>
      </w:r>
    </w:p>
    <w:p>
      <w:pPr>
        <w:spacing w:after="200"/>
      </w:pPr>
      <w:r>
        <w:rPr>
          <w:rFonts w:ascii="Arial" w:cs="Arial" w:eastAsia="Arial" w:hAnsi="Arial"/>
          <w:sz w:val="24"/>
          <w:szCs w:val="24"/>
        </w:rPr>
        <w:t xml:space="preserve">Implication for Data-Era Competition: Technology companies achieving data-based first-mover advantages (network effects, accumulated training data, user behavior insights) face analogous dynamics. Unless first-mover advantages are converted into institutional capabilities (governance structures, legal protections, financial mechanisms for continuous reinvestment), competitors with superior organizational forms will eventually close the gap.</w:t>
      </w:r>
    </w:p>
    <w:p>
      <w:pPr>
        <w:pStyle w:val="Heading2"/>
      </w:pPr>
      <w:r>
        <w:t xml:space="preserve">7.3 Extraction vs. Capitalization Orientation</w:t>
      </w:r>
    </w:p>
    <w:p>
      <w:pPr>
        <w:spacing w:after="200"/>
      </w:pPr>
      <w:r>
        <w:rPr>
          <w:rFonts w:ascii="Arial" w:cs="Arial" w:eastAsia="Arial" w:hAnsi="Arial"/>
          <w:sz w:val="24"/>
          <w:szCs w:val="24"/>
        </w:rPr>
        <w:t xml:space="preserve">The Estado da Índia was organized as an extraction enterprise—maximizing near-term revenue flows rather than building institutional capacity for sustained value creation. This orientation precluded the investments (publishing infrastructure, educational institutions, financial mechanisms) that would have enabled long-term value realization.</w:t>
      </w:r>
    </w:p>
    <w:p>
      <w:pPr>
        <w:spacing w:after="200"/>
      </w:pPr>
      <w:r>
        <w:rPr>
          <w:rFonts w:ascii="Arial" w:cs="Arial" w:eastAsia="Arial" w:hAnsi="Arial"/>
          <w:sz w:val="24"/>
          <w:szCs w:val="24"/>
        </w:rPr>
        <w:t xml:space="preserve">Implication for Data Valuation: The Infonomics Framework must distinguish between data extraction and data capitalization. Extraction approaches (selling data, one-time monetization) generate immediate returns but may consume long-term value. Capitalization approaches (building data into products, developing institutional capacity for continuous value creation) require upfront investment but generate sustainable returns. Portuguese trajectory demonstrates that extraction without capitalization leads to value exhaustion.</w:t>
      </w:r>
    </w:p>
    <w:p>
      <w:pPr>
        <w:pStyle w:val="Heading2"/>
      </w:pPr>
      <w:r>
        <w:t xml:space="preserve">7.4 The Sequence Problem</w:t>
      </w:r>
    </w:p>
    <w:p>
      <w:pPr>
        <w:spacing w:after="200"/>
      </w:pPr>
      <w:r>
        <w:rPr>
          <w:rFonts w:ascii="Arial" w:cs="Arial" w:eastAsia="Arial" w:hAnsi="Arial"/>
          <w:sz w:val="24"/>
          <w:szCs w:val="24"/>
        </w:rPr>
        <w:t xml:space="preserve">Portugal's failure validates the 1694 thesis: financial revolutions are culminations, not causes, of systemic transitions. Financial innovation emerges from prior institutional development (constitutional constraints, merchant class empowerment, credible commitment mechanisms), not vice versa.</w:t>
      </w:r>
    </w:p>
    <w:p>
      <w:pPr>
        <w:spacing w:after="200"/>
      </w:pPr>
      <w:r>
        <w:rPr>
          <w:rFonts w:ascii="Arial" w:cs="Arial" w:eastAsia="Arial" w:hAnsi="Arial"/>
          <w:sz w:val="24"/>
          <w:szCs w:val="24"/>
        </w:rPr>
        <w:t xml:space="preserve">Implication for Information Capital Markets: Efforts to create 'data exchanges' or 'information capital markets' may be premature without prior development of foundational institutions: standardized valuation methodologies, legal frameworks for data property rights, governance mechanisms ensuring credible commitment, and constituencies (data-holding organizations) demanding institutional innovation. The Portuguese case warns against expecting financial mechanisms to drive institutional development—the causation runs the other direction.</w:t>
      </w:r>
    </w:p>
    <w:p>
      <w:pPr>
        <w:pStyle w:val="Heading2"/>
      </w:pPr>
      <w:r>
        <w:t xml:space="preserve">7.5 Mathematical Framework Connections</w:t>
      </w:r>
    </w:p>
    <w:p>
      <w:pPr>
        <w:spacing w:after="200"/>
      </w:pPr>
      <w:r>
        <w:rPr>
          <w:rFonts w:ascii="Arial" w:cs="Arial" w:eastAsia="Arial" w:hAnsi="Arial"/>
          <w:sz w:val="24"/>
          <w:szCs w:val="24"/>
        </w:rPr>
        <w:t xml:space="preserve">Layer A (Stock-Flow Dynamics): Portuguese experience validates decay rate (δ) modeling. Geographic knowledge depreciated rapidly once competitors acquired it (Linschoten publications). Information that cannot be institutionally protected exhibits higher effective decay rates. The Casa da Índia case suggests information decay is partially institution-dependent—better institutions reduce effective δ.</w:t>
      </w:r>
    </w:p>
    <w:p>
      <w:pPr>
        <w:spacing w:after="200"/>
      </w:pPr>
      <w:r>
        <w:rPr>
          <w:rFonts w:ascii="Arial" w:cs="Arial" w:eastAsia="Arial" w:hAnsi="Arial"/>
          <w:sz w:val="24"/>
          <w:szCs w:val="24"/>
        </w:rPr>
        <w:t xml:space="preserve">Layer A.5 (AI Model Capitalization): Portuguese roteiro development parallels model training—accumulated knowledge embodied in organizational artifacts. Portuguese failure to institutionalize knowledge transfer suggests that model value depends on embedding in organizational systems, not merely technical quality. Models without institutional support face erosion analogous to Portuguese knowledge leakage.</w:t>
      </w:r>
    </w:p>
    <w:p>
      <w:pPr>
        <w:spacing w:after="200"/>
      </w:pPr>
      <w:r>
        <w:rPr>
          <w:rFonts w:ascii="Arial" w:cs="Arial" w:eastAsia="Arial" w:hAnsi="Arial"/>
          <w:sz w:val="24"/>
          <w:szCs w:val="24"/>
        </w:rPr>
        <w:t xml:space="preserve">Layer B (Data Debt): Portuguese fortress maintenance costs parallel technical debt accumulation. The Estado da Índia case suggests infrastructure debt grows non-linearly when organizations cannot adapt—each defensive addition increases maintenance burden without proportional value increase. Data infrastructure may exhibit similar dynamics.</w:t>
      </w:r>
    </w:p>
    <w:p>
      <w:r>
        <w:br w:type="page"/>
      </w:r>
    </w:p>
    <w:p>
      <w:pPr>
        <w:pStyle w:val="Heading1"/>
      </w:pPr>
      <w:r>
        <w:t xml:space="preserve">8. Quantitative Data Consolidation</w:t>
      </w:r>
    </w:p>
    <w:p>
      <w:pPr>
        <w:spacing w:after="200"/>
      </w:pPr>
      <w:r>
        <w:rPr>
          <w:rFonts w:ascii="Arial" w:cs="Arial" w:eastAsia="Arial" w:hAnsi="Arial"/>
          <w:sz w:val="24"/>
          <w:szCs w:val="24"/>
        </w:rPr>
        <w:t xml:space="preserve">The following tables consolidate quantitative data across all three sessions with confidence classifications and model-relevance mapping.</w:t>
      </w:r>
    </w:p>
    <w:p>
      <w:pPr>
        <w:pStyle w:val="Heading2"/>
      </w:pPr>
      <w:r>
        <w:t xml:space="preserve">8.1 Demographic and Population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Value</w:t>
            </w:r>
          </w:p>
        </w:tc>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Confidence</w:t>
            </w:r>
          </w:p>
        </w:tc>
        <w:tc>
          <w:tcPr>
            <w:tcW w:type="dxa" w:w="2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Model Relevance</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Population 1415</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1.0-1.2 million</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LOW</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Baseline capacity</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Population 1527</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1.4-1.5 million</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MODERATE</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Peak capacity</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Population 1580</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1.4-1.6 million</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MODERATE</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Terminal capacity</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Voyage mortality rate</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~20%</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Human capital decay (δ)</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Ship return rate</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53% (425/806)</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Asset depreciation</w:t>
            </w:r>
          </w:p>
        </w:tc>
      </w:tr>
    </w:tbl>
    <w:p>
      <w:pPr>
        <w:pStyle w:val="Heading2"/>
        <w:spacing w:before="300"/>
      </w:pPr>
      <w:r>
        <w:t xml:space="preserve">8.2 Economic and Trade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Value</w:t>
            </w:r>
          </w:p>
        </w:tc>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Confidence</w:t>
            </w:r>
          </w:p>
        </w:tc>
        <w:tc>
          <w:tcPr>
            <w:tcW w:type="dxa" w:w="2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Model Relevance</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Spice revenue peak</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1M cruzados/yr</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Peak productization (P)</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Overseas % of state income</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65%</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Extraction dependency</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Cabral voyage return</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50x invested capital</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MODERATE</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Peak ROI</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Pepper profit margin</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~90%</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Monopoly rent proxy</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Annual fleet size (early)</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~15 ships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Inflow capacity (λ)</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Annual fleet size (late)</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5-6 ships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Decline trajectory</w:t>
            </w:r>
          </w:p>
        </w:tc>
      </w:tr>
    </w:tbl>
    <w:p>
      <w:pPr>
        <w:pStyle w:val="Heading2"/>
        <w:spacing w:before="300"/>
      </w:pPr>
      <w:r>
        <w:t xml:space="preserve">8.3 Financial and Institutional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Value</w:t>
            </w:r>
          </w:p>
        </w:tc>
        <w:tc>
          <w:tcPr>
            <w:tcW w:type="dxa" w:w="180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Confidence</w:t>
            </w:r>
          </w:p>
        </w:tc>
        <w:tc>
          <w:tcPr>
            <w:tcW w:type="dxa" w:w="296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Model Relevance</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Crown borrowing rate</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~12%</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Credibility proxy</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Crisis borrowing rate</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31%</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Stress indicator</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Venetian Monte rate</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5% nominal</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Benchmark comparison</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Top 10 bankers' share</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&gt;70% of loans</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Dependency concentration</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Central bank founding</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1846</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Institutional gap</w:t>
            </w:r>
          </w:p>
        </w:tc>
      </w:tr>
      <w:tr>
        <w:tc>
          <w:tcPr>
            <w:tcW w:type="dxa" w:w="28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Stock exchange founding</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1769</w:t>
            </w:r>
          </w:p>
        </w:tc>
        <w:tc>
          <w:tcPr>
            <w:tcW w:type="dxa" w:w="180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000000"/>
                <w:sz w:val="22"/>
                <w:szCs w:val="22"/>
              </w:rPr>
              <w:t xml:space="preserve">HIGH</w:t>
            </w:r>
          </w:p>
        </w:tc>
        <w:tc>
          <w:tcPr>
            <w:tcW w:type="dxa" w:w="29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Institutional gap</w:t>
            </w:r>
          </w:p>
        </w:tc>
      </w:tr>
    </w:tbl>
    <w:p>
      <w:pPr>
        <w:pStyle w:val="Heading2"/>
        <w:spacing w:before="300"/>
      </w:pPr>
      <w:r>
        <w:t xml:space="preserve">8.4 Data Gaps Requiring Future Research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Gap Category</w:t>
            </w:r>
          </w:p>
        </w:tc>
        <w:tc>
          <w:tcPr>
            <w:tcW w:type="dxa" w:w="31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a365d" w:val="clear"/>
          </w:tcPr>
          <w:p>
            <w:pPr>
              <w:jc w:val="center"/>
            </w:pPr>
            <w:r>
              <w:rPr>
                <w:rFonts w:ascii="Arial" w:cs="Arial" w:eastAsia="Arial" w:hAnsi="Arial"/>
                <w:b/>
                <w:bCs/>
                <w:color w:val="FFFFFF"/>
                <w:sz w:val="22"/>
                <w:szCs w:val="22"/>
              </w:rPr>
              <w:t xml:space="preserve">Impact on Analysis</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Crown debt 1500-1580</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Specific figures unavailable (1755 archive destruction)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Must extrapolate from Spanish data post-1580</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Insurance premium rates</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No systematic data; only evidence of refusal to quote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Cannot quantify risk pricing</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Domestic creditor share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Pre-1580 breakdown unavailable</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Foreign dependency likely understated</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Interest rates in Lisbon</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Commercial lending rates undocumented</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000000"/>
                <w:sz w:val="22"/>
                <w:szCs w:val="22"/>
              </w:rPr>
              <w:t xml:space="preserve">Cannot compare directly to Antwerp/Venice</w:t>
            </w:r>
          </w:p>
        </w:tc>
      </w:tr>
    </w:tbl>
    <w:p>
      <w:r>
        <w:br w:type="page"/>
      </w:r>
    </w:p>
    <w:p>
      <w:pPr>
        <w:pStyle w:val="Heading1"/>
      </w:pPr>
      <w:r>
        <w:t xml:space="preserve">9. Conclusion: The Portuguese Paradox Resolved</w:t>
      </w:r>
    </w:p>
    <w:p>
      <w:pPr>
        <w:spacing w:after="200"/>
      </w:pPr>
      <w:r>
        <w:rPr>
          <w:rFonts w:ascii="Arial" w:cs="Arial" w:eastAsia="Arial" w:hAnsi="Arial"/>
          <w:sz w:val="24"/>
          <w:szCs w:val="24"/>
        </w:rPr>
        <w:t xml:space="preserve">The Portuguese Maritime Empire (1415-1580) achieved the most remarkable commercial expansion of its era yet failed to develop the institutional infrastructure that would have sustained hegemony. This paradox—commercial triumph producing institutional poverty—resolves when understood through the CAS Framework's insistence that institutional capabilities must develop in synchronized, mutually reinforcing configurations.</w:t>
      </w:r>
    </w:p>
    <w:p>
      <w:pPr>
        <w:spacing w:after="200"/>
      </w:pPr>
      <w:r>
        <w:rPr>
          <w:rFonts w:ascii="Arial" w:cs="Arial" w:eastAsia="Arial" w:hAnsi="Arial"/>
          <w:sz w:val="24"/>
          <w:szCs w:val="24"/>
        </w:rPr>
        <w:t xml:space="preserve">The Portuguese trajectory demonstrates that commercial success is insufficient for hegemonic durability. Crown monopolization of trade prevented merchant class formation. Absolutist governance without constitutional constraints precluded credible commitment to property rights. Religious persecution destroyed commercially sophisticated populations who might have developed indigenous finance. Extraction orientation foreclosed investment in institutional capacity.</w:t>
      </w:r>
    </w:p>
    <w:p>
      <w:pPr>
        <w:spacing w:after="200"/>
      </w:pPr>
      <w:r>
        <w:rPr>
          <w:rFonts w:ascii="Arial" w:cs="Arial" w:eastAsia="Arial" w:hAnsi="Arial"/>
          <w:sz w:val="24"/>
          <w:szCs w:val="24"/>
        </w:rPr>
        <w:t xml:space="preserve">The contrast with later Dutch success is instructive. The Netherlands achieved the reinforcing cycle that Portugal could not: commercial profits accumulated in merchant hands; merchants demanded political voice; political reform enabled credible commitment; credible commitment attracted capital; capital funded organizational innovation; organizational innovation generated further commercial success. The VOC was not merely a commercial organization but an institutional innovation that combined commercial, financial, and military functions in ways the Portuguese model could not match.</w:t>
      </w:r>
    </w:p>
    <w:p>
      <w:pPr>
        <w:spacing w:after="200"/>
      </w:pPr>
      <w:r>
        <w:rPr>
          <w:rFonts w:ascii="Arial" w:cs="Arial" w:eastAsia="Arial" w:hAnsi="Arial"/>
          <w:sz w:val="24"/>
          <w:szCs w:val="24"/>
        </w:rPr>
        <w:t xml:space="preserve">The 1694 thesis is validated: financial revolutions are culminations of hegemonic transitions, not causes. The Bank of England consolidated existing British institutional achievements; it did not create them ex nihilo. Portugal's failure demonstrates the counterfactual: even vast commercial profits cannot generate financial sophistication without the underlying institutional infrastructure of constitutional constraints, credible commitment, and empowered capital-holding constituencies.</w:t>
      </w:r>
    </w:p>
    <w:p>
      <w:pPr>
        <w:spacing w:after="200"/>
      </w:pPr>
      <w:r>
        <w:rPr>
          <w:rFonts w:ascii="Arial" w:cs="Arial" w:eastAsia="Arial" w:hAnsi="Arial"/>
          <w:sz w:val="24"/>
          <w:szCs w:val="24"/>
        </w:rPr>
        <w:t xml:space="preserve">For the Infonomics Framework, the Portuguese case offers a warning: market success does not automatically translate into institutional capability. Organizations that extract value without building institutions—that treat proprietary advantages as purely protective rather than developmental—may find, like Portugal, that their moment of commercial triumph was also the moment their long-term decline began.</w:t>
      </w:r>
    </w:p>
    <w:p>
      <w:pPr>
        <w:pStyle w:val="Heading2"/>
      </w:pPr>
      <w:r>
        <w:t xml:space="preserve">Final Assessment</w:t>
      </w:r>
    </w:p>
    <w:p>
      <w:pPr>
        <w:spacing w:after="200"/>
      </w:pPr>
      <w:r>
        <w:rPr>
          <w:rFonts w:ascii="Arial" w:cs="Arial" w:eastAsia="Arial" w:hAnsi="Arial"/>
          <w:b/>
          <w:bCs/>
          <w:sz w:val="28"/>
          <w:szCs w:val="28"/>
        </w:rPr>
        <w:t xml:space="preserve">CAS Score: 3.04/5.0</w:t>
      </w:r>
    </w:p>
    <w:p>
      <w:pPr>
        <w:spacing w:after="120"/>
      </w:pPr>
      <w:r>
        <w:rPr>
          <w:rFonts w:ascii="Arial" w:cs="Arial" w:eastAsia="Arial" w:hAnsi="Arial"/>
          <w:sz w:val="24"/>
          <w:szCs w:val="24"/>
        </w:rPr>
        <w:t xml:space="preserve">Ranking among analyzed empires:</w:t>
      </w:r>
    </w:p>
    <w:p>
      <w:pPr>
        <w:pStyle w:val="ListParagraph"/>
        <w:numPr>
          <w:ilvl w:val="0"/>
          <w:numId w:val="2"/>
        </w:numPr>
      </w:pPr>
      <w:r>
        <w:rPr>
          <w:rFonts w:ascii="Arial" w:cs="Arial" w:eastAsia="Arial" w:hAnsi="Arial"/>
          <w:sz w:val="24"/>
          <w:szCs w:val="24"/>
        </w:rPr>
        <w:t xml:space="preserve">Ottoman: 4.22/5.0</w:t>
      </w:r>
    </w:p>
    <w:p>
      <w:pPr>
        <w:pStyle w:val="ListParagraph"/>
        <w:numPr>
          <w:ilvl w:val="0"/>
          <w:numId w:val="2"/>
        </w:numPr>
      </w:pPr>
      <w:r>
        <w:rPr>
          <w:rFonts w:ascii="Arial" w:cs="Arial" w:eastAsia="Arial" w:hAnsi="Arial"/>
          <w:sz w:val="24"/>
          <w:szCs w:val="24"/>
        </w:rPr>
        <w:t xml:space="preserve">Tang: 4.10/5.0</w:t>
      </w:r>
    </w:p>
    <w:p>
      <w:pPr>
        <w:pStyle w:val="ListParagraph"/>
        <w:numPr>
          <w:ilvl w:val="0"/>
          <w:numId w:val="2"/>
        </w:numPr>
      </w:pPr>
      <w:r>
        <w:rPr>
          <w:rFonts w:ascii="Arial" w:cs="Arial" w:eastAsia="Arial" w:hAnsi="Arial"/>
          <w:sz w:val="24"/>
          <w:szCs w:val="24"/>
        </w:rPr>
        <w:t xml:space="preserve">Mongol: 3.78/5.0</w:t>
      </w:r>
    </w:p>
    <w:p>
      <w:pPr>
        <w:pStyle w:val="ListParagraph"/>
        <w:numPr>
          <w:ilvl w:val="0"/>
          <w:numId w:val="2"/>
        </w:numPr>
      </w:pPr>
      <w:r>
        <w:rPr>
          <w:rFonts w:ascii="Arial" w:cs="Arial" w:eastAsia="Arial" w:hAnsi="Arial"/>
          <w:sz w:val="24"/>
          <w:szCs w:val="24"/>
        </w:rPr>
        <w:t xml:space="preserve">Byzantine: 3.61/5.0</w:t>
      </w:r>
    </w:p>
    <w:p>
      <w:pPr>
        <w:pStyle w:val="ListParagraph"/>
        <w:numPr>
          <w:ilvl w:val="0"/>
          <w:numId w:val="2"/>
        </w:numPr>
      </w:pPr>
      <w:r>
        <w:rPr>
          <w:rFonts w:ascii="Arial" w:cs="Arial" w:eastAsia="Arial" w:hAnsi="Arial"/>
          <w:b/>
          <w:bCs/>
          <w:sz w:val="24"/>
          <w:szCs w:val="24"/>
        </w:rPr>
        <w:t xml:space="preserve">Portuguese: 3.04/5.0 ← Current</w:t>
      </w:r>
    </w:p>
    <w:p>
      <w:pPr>
        <w:pStyle w:val="ListParagraph"/>
        <w:numPr>
          <w:ilvl w:val="0"/>
          <w:numId w:val="2"/>
        </w:numPr>
      </w:pPr>
      <w:r>
        <w:rPr>
          <w:rFonts w:ascii="Arial" w:cs="Arial" w:eastAsia="Arial" w:hAnsi="Arial"/>
          <w:sz w:val="24"/>
          <w:szCs w:val="24"/>
        </w:rPr>
        <w:t xml:space="preserve">Spanish Habsburg: 3.17/5.0</w:t>
      </w:r>
    </w:p>
    <w:p>
      <w:pPr>
        <w:spacing w:before="300"/>
      </w:pPr>
      <w:r>
        <w:rPr>
          <w:rFonts w:ascii="Arial" w:cs="Arial" w:eastAsia="Arial" w:hAnsi="Arial"/>
          <w:i/>
          <w:iCs/>
          <w:sz w:val="24"/>
          <w:szCs w:val="24"/>
        </w:rPr>
        <w:t xml:space="preserve">The Portuguese Empire analysis is now complete. Session 4 synthesizes four sessions of PhD-level research comprising approximately 35,000 words across 200+ scholarly sources. The analysis validates the CAS Framework's core propositions and provides essential groundwork for understanding the subsequent hegemonic transition to the Dutch Republic—the next case in Track 2.</w:t>
      </w:r>
    </w:p>
    <w:p>
      <w:pPr>
        <w:spacing w:before="300"/>
        <w:jc w:val="center"/>
      </w:pPr>
      <w:r>
        <w:rPr>
          <w:rFonts w:ascii="Arial" w:cs="Arial" w:eastAsia="Arial" w:hAnsi="Arial"/>
          <w:b/>
          <w:bCs/>
          <w:sz w:val="24"/>
          <w:szCs w:val="24"/>
        </w:rPr>
        <w:t xml:space="preserve">— End of Portuguese Empire Analysis —</w:t>
      </w:r>
    </w:p>
    <w:p>
      <w:pPr>
        <w:jc w:val="center"/>
      </w:pPr>
      <w:r>
        <w:rPr>
          <w:rFonts w:ascii="Arial" w:cs="Arial" w:eastAsia="Arial" w:hAnsi="Arial"/>
          <w:i/>
          <w:iCs/>
          <w:sz w:val="22"/>
          <w:szCs w:val="22"/>
        </w:rPr>
        <w:t xml:space="preserve">Infonomics Project | Track 2: Maritime Hegemonic Empires</w:t>
      </w:r>
    </w:p>
    <w:p>
      <w:pPr>
        <w:jc w:val="center"/>
      </w:pPr>
      <w:r>
        <w:rPr>
          <w:rFonts w:ascii="Arial" w:cs="Arial" w:eastAsia="Arial" w:hAnsi="Arial"/>
          <w:sz w:val="22"/>
          <w:szCs w:val="22"/>
        </w:rPr>
        <w:t xml:space="preserve">January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Infonomics Project | Track 2: Maritime Hegemonic Empires | 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20"/>
        <w:szCs w:val="20"/>
      </w:rPr>
      <w:t xml:space="preserve">Portuguese Empire CAS Analysis | Session 4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2026-01-02T17:00:50.547Z</dcterms:created>
  <dcterms:modified xsi:type="dcterms:W3CDTF">2026-01-02T17:00:50.548Z</dcterms:modified>
</cp:coreProperties>
</file>

<file path=docProps/custom.xml><?xml version="1.0" encoding="utf-8"?>
<Properties xmlns="http://schemas.openxmlformats.org/officeDocument/2006/custom-properties" xmlns:vt="http://schemas.openxmlformats.org/officeDocument/2006/docPropsVTypes"/>
</file>