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b/>
          <w:color w:val="0F172A"/>
          <w:sz w:val="56"/>
        </w:rPr>
        <w:t>COSMIX ERP SOFTWARE</w:t>
      </w:r>
    </w:p>
    <w:p>
      <w:pPr>
        <w:spacing w:after="400"/>
      </w:pPr>
      <w:r>
        <w:rPr>
          <w:b/>
          <w:color w:val="2563EB"/>
          <w:sz w:val="30"/>
        </w:rPr>
        <w:t>Comprehensive System Architecture, Technical Implementation &amp; Functional Deep-Dive Audit Report</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00" w:type="dxa"/>
              <w:right w:w="100" w:type="dxa"/>
            </w:tcMar>
          </w:tcPr>
          <w:p>
            <w:r>
              <w:rPr>
                <w:b/>
                <w:sz w:val="19"/>
              </w:rPr>
              <w:t>Platform Target</w:t>
            </w:r>
          </w:p>
        </w:tc>
        <w:tc>
          <w:tcPr>
            <w:tcW w:type="dxa" w:w="6192"/>
            <w:shd w:fill="F8FAFC"/>
            <w:tcMar>
              <w:top w:w="80" w:type="dxa"/>
              <w:bottom w:w="80" w:type="dxa"/>
              <w:left w:w="100" w:type="dxa"/>
              <w:right w:w="100" w:type="dxa"/>
            </w:tcMar>
          </w:tcPr>
          <w:p>
            <w:r>
              <w:rPr>
                <w:sz w:val="19"/>
              </w:rPr>
              <w:t>Enterprise Field Engineering, Telecom &amp; Workforce Operations</w:t>
            </w:r>
          </w:p>
        </w:tc>
      </w:tr>
      <w:tr>
        <w:tc>
          <w:tcPr>
            <w:tcW w:type="dxa" w:w="3168"/>
            <w:shd w:fill="F1F5F9"/>
            <w:tcMar>
              <w:top w:w="80" w:type="dxa"/>
              <w:bottom w:w="80" w:type="dxa"/>
              <w:left w:w="100" w:type="dxa"/>
              <w:right w:w="100" w:type="dxa"/>
            </w:tcMar>
          </w:tcPr>
          <w:p>
            <w:r>
              <w:rPr>
                <w:b/>
                <w:sz w:val="19"/>
              </w:rPr>
              <w:t>System Modules</w:t>
            </w:r>
          </w:p>
        </w:tc>
        <w:tc>
          <w:tcPr>
            <w:tcW w:type="dxa" w:w="6192"/>
            <w:shd w:fill="F8FAFC"/>
            <w:tcMar>
              <w:top w:w="80" w:type="dxa"/>
              <w:bottom w:w="80" w:type="dxa"/>
              <w:left w:w="100" w:type="dxa"/>
              <w:right w:w="100" w:type="dxa"/>
            </w:tcMar>
          </w:tcPr>
          <w:p>
            <w:r>
              <w:rPr>
                <w:sz w:val="19"/>
              </w:rPr>
              <w:t>Core API (.NET 10), Web Portal (React 19), Mobile App (React Native), AI Face Engine</w:t>
            </w:r>
          </w:p>
        </w:tc>
      </w:tr>
      <w:tr>
        <w:tc>
          <w:tcPr>
            <w:tcW w:type="dxa" w:w="3168"/>
            <w:shd w:fill="F1F5F9"/>
            <w:tcMar>
              <w:top w:w="80" w:type="dxa"/>
              <w:bottom w:w="80" w:type="dxa"/>
              <w:left w:w="100" w:type="dxa"/>
              <w:right w:w="100" w:type="dxa"/>
            </w:tcMar>
          </w:tcPr>
          <w:p>
            <w:r>
              <w:rPr>
                <w:b/>
                <w:sz w:val="19"/>
              </w:rPr>
              <w:t>Audit Edition</w:t>
            </w:r>
          </w:p>
        </w:tc>
        <w:tc>
          <w:tcPr>
            <w:tcW w:type="dxa" w:w="6192"/>
            <w:shd w:fill="F8FAFC"/>
            <w:tcMar>
              <w:top w:w="80" w:type="dxa"/>
              <w:bottom w:w="80" w:type="dxa"/>
              <w:left w:w="100" w:type="dxa"/>
              <w:right w:w="100" w:type="dxa"/>
            </w:tcMar>
          </w:tcPr>
          <w:p>
            <w:r>
              <w:rPr>
                <w:sz w:val="19"/>
              </w:rPr>
              <w:t>Version 2.5 — Full Architecture &amp; Codebase Review</w:t>
            </w:r>
          </w:p>
        </w:tc>
      </w:tr>
      <w:tr>
        <w:tc>
          <w:tcPr>
            <w:tcW w:type="dxa" w:w="3168"/>
            <w:shd w:fill="F1F5F9"/>
            <w:tcMar>
              <w:top w:w="80" w:type="dxa"/>
              <w:bottom w:w="80" w:type="dxa"/>
              <w:left w:w="100" w:type="dxa"/>
              <w:right w:w="100" w:type="dxa"/>
            </w:tcMar>
          </w:tcPr>
          <w:p>
            <w:r>
              <w:rPr>
                <w:b/>
                <w:sz w:val="19"/>
              </w:rPr>
              <w:t>Date of Publication</w:t>
            </w:r>
          </w:p>
        </w:tc>
        <w:tc>
          <w:tcPr>
            <w:tcW w:type="dxa" w:w="6192"/>
            <w:shd w:fill="F8FAFC"/>
            <w:tcMar>
              <w:top w:w="80" w:type="dxa"/>
              <w:bottom w:w="80" w:type="dxa"/>
              <w:left w:w="100" w:type="dxa"/>
              <w:right w:w="100" w:type="dxa"/>
            </w:tcMar>
          </w:tcPr>
          <w:p>
            <w:r>
              <w:rPr>
                <w:sz w:val="19"/>
              </w:rPr>
              <w:t>October 2026</w:t>
            </w:r>
          </w:p>
        </w:tc>
      </w:tr>
      <w:tr>
        <w:tc>
          <w:tcPr>
            <w:tcW w:type="dxa" w:w="3168"/>
            <w:shd w:fill="F1F5F9"/>
            <w:tcMar>
              <w:top w:w="80" w:type="dxa"/>
              <w:bottom w:w="80" w:type="dxa"/>
              <w:left w:w="100" w:type="dxa"/>
              <w:right w:w="100" w:type="dxa"/>
            </w:tcMar>
          </w:tcPr>
          <w:p>
            <w:r>
              <w:rPr>
                <w:b/>
                <w:sz w:val="19"/>
              </w:rPr>
              <w:t>Prepared For</w:t>
            </w:r>
          </w:p>
        </w:tc>
        <w:tc>
          <w:tcPr>
            <w:tcW w:type="dxa" w:w="6192"/>
            <w:shd w:fill="F8FAFC"/>
            <w:tcMar>
              <w:top w:w="80" w:type="dxa"/>
              <w:bottom w:w="80" w:type="dxa"/>
              <w:left w:w="100" w:type="dxa"/>
              <w:right w:w="100" w:type="dxa"/>
            </w:tcMar>
          </w:tcPr>
          <w:p>
            <w:r>
              <w:rPr>
                <w:sz w:val="19"/>
              </w:rPr>
              <w:t>Executive Engineering &amp; HR Leadership</w:t>
            </w:r>
          </w:p>
        </w:tc>
      </w:tr>
      <w:tr>
        <w:tc>
          <w:tcPr>
            <w:tcW w:type="dxa" w:w="3168"/>
            <w:shd w:fill="F1F5F9"/>
            <w:tcMar>
              <w:top w:w="80" w:type="dxa"/>
              <w:bottom w:w="80" w:type="dxa"/>
              <w:left w:w="100" w:type="dxa"/>
              <w:right w:w="100" w:type="dxa"/>
            </w:tcMar>
          </w:tcPr>
          <w:p>
            <w:r>
              <w:rPr>
                <w:b/>
                <w:sz w:val="19"/>
              </w:rPr>
              <w:t>Classification</w:t>
            </w:r>
          </w:p>
        </w:tc>
        <w:tc>
          <w:tcPr>
            <w:tcW w:type="dxa" w:w="6192"/>
            <w:shd w:fill="F8FAFC"/>
            <w:tcMar>
              <w:top w:w="80" w:type="dxa"/>
              <w:bottom w:w="80" w:type="dxa"/>
              <w:left w:w="100" w:type="dxa"/>
              <w:right w:w="100" w:type="dxa"/>
            </w:tcMar>
          </w:tcPr>
          <w:p>
            <w:r>
              <w:rPr>
                <w:sz w:val="19"/>
              </w:rPr>
              <w:t>Confidential / Commercial Proprietary</w:t>
            </w:r>
          </w:p>
        </w:tc>
      </w:tr>
    </w:tbl>
    <w:p>
      <w:r>
        <w:br w:type="page"/>
      </w:r>
    </w:p>
    <w:p>
      <w:pPr>
        <w:pStyle w:val="Heading1"/>
        <w:keepNext/>
        <w:spacing w:before="280" w:after="80"/>
      </w:pPr>
      <w:r>
        <w:rPr>
          <w:b/>
          <w:color w:val="0F172A"/>
          <w:sz w:val="36"/>
        </w:rPr>
        <w:t>1. Executive Summary &amp; Project Overview</w:t>
      </w:r>
    </w:p>
    <w:p>
      <w:pPr>
        <w:spacing w:line="276" w:lineRule="auto" w:after="200"/>
      </w:pPr>
      <w:r>
        <w:t>Cosmix ERP is an enterprise-grade, distributed resource planning system specifically designed for heavy field engineering, telecommunications infrastructure, site project operations, and distributed workforce logistics. The software coordinates multi-site civil and fiber operations across Pakistan, where strict attendance verification, geo-fenced boundaries, biometric face verification, duty allowance accounting, and immutable payroll handoffs are critical.</w:t>
      </w:r>
    </w:p>
    <w:p>
      <w:pPr>
        <w:spacing w:line="276" w:lineRule="auto" w:after="240"/>
      </w:pPr>
      <w:r>
        <w:t>The software architecture enforces a Zero-Trust Security Paradigm combined with Maker-Checker (Dual-Control) governance. High-consequence financial and human resource operations—including employee hiring, shift assignments, overtime approvals, advance salary disbursement, month closure locks, and bank payroll handoffs—cannot be finalized by a single individual. The system enforces cryptographic SHA-256 fingerprinting on locked periods and batches, ensuring that retroactive tampering with attendance duty records is mathematically impossible.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059669"/>
              <w:bottom w:val="none"/>
              <w:right w:val="none"/>
            </w:tcBorders>
          </w:tcPr>
          <w:p>
            <w:pPr>
              <w:spacing w:before="40" w:after="40" w:line="276" w:lineRule="auto"/>
            </w:pPr>
            <w:r>
              <w:rPr>
                <w:b/>
                <w:color w:val="0F172A"/>
                <w:sz w:val="21"/>
              </w:rPr>
              <w:t>📌 Core Value Proposition &amp; Operational Impact</w:t>
              <w:br/>
            </w:r>
            <w:r>
              <w:rPr>
                <w:color w:val="334155"/>
                <w:sz w:val="19"/>
              </w:rPr>
              <w:t>1. Complete Elimination of Proxy Attendance: Dual biometric GPS geofence + AI face verification prevents ghost workers.</w:t>
              <w:br/>
              <w:t>2. Automated Overtime &amp; Allowance Calculation: Shift engines automatically evaluate 13h meal stipends (PKR 400), dinner claims, and PKR 1,000/day outstation duty.</w:t>
              <w:br/>
              <w:t>3. Cryptographically Sealed Payroll Handoffs: Month closures freeze attendance data into immutable digests, generating standard Bank Advice CSV files for 1-Link clearing.</w:t>
              <w:br/>
              <w:t>4. Live Fleet &amp; Fuel Price Governance: Seamless tracking of corporate vehicles with real-time PSO/Shell pump price feeds in PKR.</w:t>
              <w:br/>
              <w:t>5. Comprehensive 14-Stream HR Reporting: Full audit readiness for labor audits, tax authorities, and client verification.</w:t>
            </w:r>
          </w:p>
        </w:tc>
      </w:tr>
    </w:tbl>
    <w:p>
      <w:pPr>
        <w:spacing w:after="120"/>
      </w:pPr>
    </w:p>
    <w:p>
      <w:pPr>
        <w:pStyle w:val="Heading1"/>
        <w:keepNext/>
        <w:spacing w:before="280" w:after="80"/>
      </w:pPr>
      <w:r>
        <w:rPr>
          <w:b/>
          <w:color w:val="0F172A"/>
          <w:sz w:val="36"/>
        </w:rPr>
        <w:t>2. High-Level System Architecture &amp; Technology Stack</w:t>
      </w:r>
    </w:p>
    <w:p>
      <w:pPr>
        <w:spacing w:after="160"/>
      </w:pPr>
      <w:r>
        <w:t>The Cosmix ERP platform is partitioned into four major tiers that communicate via secure, authenticated channels:</w:t>
      </w:r>
    </w:p>
    <w:tbl>
      <w:tblPr>
        <w:tblW w:type="auto" w:w="0"/>
        <w:tblLook w:firstColumn="1" w:firstRow="1" w:lastColumn="0" w:lastRow="0" w:noHBand="0" w:noVBand="1" w:val="04A0"/>
      </w:tblPr>
      <w:tblGrid>
        <w:gridCol w:w="2340"/>
        <w:gridCol w:w="2340"/>
        <w:gridCol w:w="2340"/>
        <w:gridCol w:w="2340"/>
      </w:tblGrid>
      <w:tr>
        <w:tc>
          <w:tcPr>
            <w:tcW w:type="dxa" w:w="2016"/>
            <w:shd w:fill="0F172A"/>
            <w:tcMar>
              <w:top w:w="120" w:type="dxa"/>
              <w:bottom w:w="120" w:type="dxa"/>
              <w:left w:w="120" w:type="dxa"/>
              <w:right w:w="120" w:type="dxa"/>
            </w:tcMar>
          </w:tcPr>
          <w:p>
            <w:pPr>
              <w:jc w:val="left"/>
            </w:pPr>
            <w:r>
              <w:rPr>
                <w:b/>
                <w:color w:val="FFFFFF"/>
                <w:sz w:val="19"/>
              </w:rPr>
              <w:t>Tier / Subsystem</w:t>
            </w:r>
          </w:p>
        </w:tc>
        <w:tc>
          <w:tcPr>
            <w:tcW w:type="dxa" w:w="2016"/>
            <w:shd w:fill="0F172A"/>
            <w:tcMar>
              <w:top w:w="120" w:type="dxa"/>
              <w:bottom w:w="120" w:type="dxa"/>
              <w:left w:w="120" w:type="dxa"/>
              <w:right w:w="120" w:type="dxa"/>
            </w:tcMar>
          </w:tcPr>
          <w:p>
            <w:pPr>
              <w:jc w:val="left"/>
            </w:pPr>
            <w:r>
              <w:rPr>
                <w:b/>
                <w:color w:val="FFFFFF"/>
                <w:sz w:val="19"/>
              </w:rPr>
              <w:t>Primary Tech Stack</w:t>
            </w:r>
          </w:p>
        </w:tc>
        <w:tc>
          <w:tcPr>
            <w:tcW w:type="dxa" w:w="3168"/>
            <w:shd w:fill="0F172A"/>
            <w:tcMar>
              <w:top w:w="120" w:type="dxa"/>
              <w:bottom w:w="120" w:type="dxa"/>
              <w:left w:w="120" w:type="dxa"/>
              <w:right w:w="120" w:type="dxa"/>
            </w:tcMar>
          </w:tcPr>
          <w:p>
            <w:pPr>
              <w:jc w:val="left"/>
            </w:pPr>
            <w:r>
              <w:rPr>
                <w:b/>
                <w:color w:val="FFFFFF"/>
                <w:sz w:val="19"/>
              </w:rPr>
              <w:t>Architectural Role</w:t>
            </w:r>
          </w:p>
        </w:tc>
        <w:tc>
          <w:tcPr>
            <w:tcW w:type="dxa" w:w="2160"/>
            <w:shd w:fill="0F172A"/>
            <w:tcMar>
              <w:top w:w="120" w:type="dxa"/>
              <w:bottom w:w="120" w:type="dxa"/>
              <w:left w:w="120" w:type="dxa"/>
              <w:right w:w="120" w:type="dxa"/>
            </w:tcMar>
          </w:tcPr>
          <w:p>
            <w:pPr>
              <w:jc w:val="left"/>
            </w:pPr>
            <w:r>
              <w:rPr>
                <w:b/>
                <w:color w:val="FFFFFF"/>
                <w:sz w:val="19"/>
              </w:rPr>
              <w:t>Key Dependencies</w:t>
            </w:r>
          </w:p>
        </w:tc>
      </w:tr>
      <w:tr>
        <w:tc>
          <w:tcPr>
            <w:tcW w:type="dxa" w:w="2016"/>
            <w:shd w:fill="FFFFFF"/>
            <w:tcMar>
              <w:top w:w="100" w:type="dxa"/>
              <w:bottom w:w="100" w:type="dxa"/>
              <w:left w:w="120" w:type="dxa"/>
              <w:right w:w="120" w:type="dxa"/>
            </w:tcMar>
          </w:tcPr>
          <w:p>
            <w:r>
              <w:rPr>
                <w:b/>
              </w:rPr>
              <w:t>Backend Web API</w:t>
            </w:r>
          </w:p>
        </w:tc>
        <w:tc>
          <w:tcPr>
            <w:tcW w:type="dxa" w:w="2016"/>
            <w:shd w:fill="FFFFFF"/>
            <w:tcMar>
              <w:top w:w="100" w:type="dxa"/>
              <w:bottom w:w="100" w:type="dxa"/>
              <w:left w:w="120" w:type="dxa"/>
              <w:right w:w="120" w:type="dxa"/>
            </w:tcMar>
          </w:tcPr>
          <w:p>
            <w:r>
              <w:t>.NET 10 (C# 14)</w:t>
              <w:br/>
              <w:t>ASP.NET Core</w:t>
            </w:r>
          </w:p>
        </w:tc>
        <w:tc>
          <w:tcPr>
            <w:tcW w:type="dxa" w:w="3168"/>
            <w:shd w:fill="FFFFFF"/>
            <w:tcMar>
              <w:top w:w="100" w:type="dxa"/>
              <w:bottom w:w="100" w:type="dxa"/>
              <w:left w:w="120" w:type="dxa"/>
              <w:right w:w="120" w:type="dxa"/>
            </w:tcMar>
          </w:tcPr>
          <w:p>
            <w:r>
              <w:t>Clean Architecture / DDD Core, CQRS operations, SQL persistence, cryptographic hashing</w:t>
            </w:r>
          </w:p>
        </w:tc>
        <w:tc>
          <w:tcPr>
            <w:tcW w:type="dxa" w:w="2160"/>
            <w:shd w:fill="FFFFFF"/>
            <w:tcMar>
              <w:top w:w="100" w:type="dxa"/>
              <w:bottom w:w="100" w:type="dxa"/>
              <w:left w:w="120" w:type="dxa"/>
              <w:right w:w="120" w:type="dxa"/>
            </w:tcMar>
          </w:tcPr>
          <w:p>
            <w:r>
              <w:t>EF Core 10, SQL Server, Data Protection, Kestrel</w:t>
            </w:r>
          </w:p>
        </w:tc>
      </w:tr>
      <w:tr>
        <w:tc>
          <w:tcPr>
            <w:tcW w:type="dxa" w:w="2016"/>
            <w:shd w:fill="F8FAFC"/>
            <w:tcMar>
              <w:top w:w="100" w:type="dxa"/>
              <w:bottom w:w="100" w:type="dxa"/>
              <w:left w:w="120" w:type="dxa"/>
              <w:right w:w="120" w:type="dxa"/>
            </w:tcMar>
          </w:tcPr>
          <w:p>
            <w:r>
              <w:rPr>
                <w:b/>
              </w:rPr>
              <w:t>Web Frontend Portal</w:t>
            </w:r>
          </w:p>
        </w:tc>
        <w:tc>
          <w:tcPr>
            <w:tcW w:type="dxa" w:w="2016"/>
            <w:shd w:fill="F8FAFC"/>
            <w:tcMar>
              <w:top w:w="100" w:type="dxa"/>
              <w:bottom w:w="100" w:type="dxa"/>
              <w:left w:w="120" w:type="dxa"/>
              <w:right w:w="120" w:type="dxa"/>
            </w:tcMar>
          </w:tcPr>
          <w:p>
            <w:r>
              <w:t>React 19, TypeScript,</w:t>
              <w:br/>
              <w:t>Vite, TanStack Query v5</w:t>
            </w:r>
          </w:p>
        </w:tc>
        <w:tc>
          <w:tcPr>
            <w:tcW w:type="dxa" w:w="3168"/>
            <w:shd w:fill="F8FAFC"/>
            <w:tcMar>
              <w:top w:w="100" w:type="dxa"/>
              <w:bottom w:w="100" w:type="dxa"/>
              <w:left w:w="120" w:type="dxa"/>
              <w:right w:w="120" w:type="dxa"/>
            </w:tcMar>
          </w:tcPr>
          <w:p>
            <w:r>
              <w:t>Single-Page Application for HR desk, supervisors, executives, and accounts managers</w:t>
            </w:r>
          </w:p>
        </w:tc>
        <w:tc>
          <w:tcPr>
            <w:tcW w:type="dxa" w:w="2160"/>
            <w:shd w:fill="F8FAFC"/>
            <w:tcMar>
              <w:top w:w="100" w:type="dxa"/>
              <w:bottom w:w="100" w:type="dxa"/>
              <w:left w:w="120" w:type="dxa"/>
              <w:right w:w="120" w:type="dxa"/>
            </w:tcMar>
          </w:tcPr>
          <w:p>
            <w:r>
              <w:t>React Router v7, Lucide, Leaflet Maps, Tailwind</w:t>
            </w:r>
          </w:p>
        </w:tc>
      </w:tr>
      <w:tr>
        <w:tc>
          <w:tcPr>
            <w:tcW w:type="dxa" w:w="2016"/>
            <w:shd w:fill="FFFFFF"/>
            <w:tcMar>
              <w:top w:w="100" w:type="dxa"/>
              <w:bottom w:w="100" w:type="dxa"/>
              <w:left w:w="120" w:type="dxa"/>
              <w:right w:w="120" w:type="dxa"/>
            </w:tcMar>
          </w:tcPr>
          <w:p>
            <w:r>
              <w:rPr>
                <w:b/>
              </w:rPr>
              <w:t>Mobile Client App</w:t>
            </w:r>
          </w:p>
        </w:tc>
        <w:tc>
          <w:tcPr>
            <w:tcW w:type="dxa" w:w="2016"/>
            <w:shd w:fill="FFFFFF"/>
            <w:tcMar>
              <w:top w:w="100" w:type="dxa"/>
              <w:bottom w:w="100" w:type="dxa"/>
              <w:left w:w="120" w:type="dxa"/>
              <w:right w:w="120" w:type="dxa"/>
            </w:tcMar>
          </w:tcPr>
          <w:p>
            <w:r>
              <w:t>React Native, Expo,</w:t>
              <w:br/>
              <w:t>TypeScript</w:t>
            </w:r>
          </w:p>
        </w:tc>
        <w:tc>
          <w:tcPr>
            <w:tcW w:type="dxa" w:w="3168"/>
            <w:shd w:fill="FFFFFF"/>
            <w:tcMar>
              <w:top w:w="100" w:type="dxa"/>
              <w:bottom w:w="100" w:type="dxa"/>
              <w:left w:w="120" w:type="dxa"/>
              <w:right w:w="120" w:type="dxa"/>
            </w:tcMar>
          </w:tcPr>
          <w:p>
            <w:r>
              <w:t>Field employee attendance, geo-fenced punches, camera face capture, self-service</w:t>
            </w:r>
          </w:p>
        </w:tc>
        <w:tc>
          <w:tcPr>
            <w:tcW w:type="dxa" w:w="2160"/>
            <w:shd w:fill="FFFFFF"/>
            <w:tcMar>
              <w:top w:w="100" w:type="dxa"/>
              <w:bottom w:w="100" w:type="dxa"/>
              <w:left w:w="120" w:type="dxa"/>
              <w:right w:w="120" w:type="dxa"/>
            </w:tcMar>
          </w:tcPr>
          <w:p>
            <w:r>
              <w:t>Expo Camera, Location, SQLite, SecureStore</w:t>
            </w:r>
          </w:p>
        </w:tc>
      </w:tr>
      <w:tr>
        <w:tc>
          <w:tcPr>
            <w:tcW w:type="dxa" w:w="2016"/>
            <w:shd w:fill="F8FAFC"/>
            <w:tcMar>
              <w:top w:w="100" w:type="dxa"/>
              <w:bottom w:w="100" w:type="dxa"/>
              <w:left w:w="120" w:type="dxa"/>
              <w:right w:w="120" w:type="dxa"/>
            </w:tcMar>
          </w:tcPr>
          <w:p>
            <w:r>
              <w:rPr>
                <w:b/>
              </w:rPr>
              <w:t>Face AI Microservice</w:t>
            </w:r>
          </w:p>
        </w:tc>
        <w:tc>
          <w:tcPr>
            <w:tcW w:type="dxa" w:w="2016"/>
            <w:shd w:fill="F8FAFC"/>
            <w:tcMar>
              <w:top w:w="100" w:type="dxa"/>
              <w:bottom w:w="100" w:type="dxa"/>
              <w:left w:w="120" w:type="dxa"/>
              <w:right w:w="120" w:type="dxa"/>
            </w:tcMar>
          </w:tcPr>
          <w:p>
            <w:r>
              <w:t>Python 3.12, FastAPI,</w:t>
              <w:br/>
              <w:t>OpenCV, InsightFace</w:t>
            </w:r>
          </w:p>
        </w:tc>
        <w:tc>
          <w:tcPr>
            <w:tcW w:type="dxa" w:w="3168"/>
            <w:shd w:fill="F8FAFC"/>
            <w:tcMar>
              <w:top w:w="100" w:type="dxa"/>
              <w:bottom w:w="100" w:type="dxa"/>
              <w:left w:w="120" w:type="dxa"/>
              <w:right w:w="120" w:type="dxa"/>
            </w:tcMar>
          </w:tcPr>
          <w:p>
            <w:r>
              <w:t>Standalone biometric microservice providing 512-d embeddings and liveness checks</w:t>
            </w:r>
          </w:p>
        </w:tc>
        <w:tc>
          <w:tcPr>
            <w:tcW w:type="dxa" w:w="2160"/>
            <w:shd w:fill="F8FAFC"/>
            <w:tcMar>
              <w:top w:w="100" w:type="dxa"/>
              <w:bottom w:w="100" w:type="dxa"/>
              <w:left w:w="120" w:type="dxa"/>
              <w:right w:w="120" w:type="dxa"/>
            </w:tcMar>
          </w:tcPr>
          <w:p>
            <w:r>
              <w:t>ONNX Runtime, Docker, Nginx, PyTorch/CPU</w:t>
            </w:r>
          </w:p>
        </w:tc>
      </w:tr>
    </w:tbl>
    <w:p>
      <w:pPr>
        <w:spacing w:after="240"/>
      </w:pPr>
    </w:p>
    <w:p>
      <w:pPr>
        <w:pStyle w:val="Heading2"/>
        <w:keepNext/>
        <w:spacing w:before="280" w:after="80"/>
      </w:pPr>
      <w:r>
        <w:rPr>
          <w:b/>
          <w:color w:val="1E3A8A"/>
          <w:sz w:val="28"/>
        </w:rPr>
        <w:t>2.1 End-to-End Data Flow Workflow</w:t>
      </w:r>
    </w:p>
    <w:p>
      <w:pPr>
        <w:spacing w:after="200"/>
      </w:pPr>
      <w:r>
        <w:t>The end-to-end lifecycle follows an auditable, linear pipeline: Field mobile or terminal punch -&gt; GPS Geofence boundary validation -&gt; AI Face verification matching -&gt; Raw duty event logging -&gt; Nightly attendance duty calculation -&gt; Shift &amp; Overtime policy evaluation -&gt; Supervisory review &amp; dual approval -&gt; Month Closure cryptographic lock -&gt; Payroll batch freezing -&gt; Bank Advice CSV generation for direct treasury disbursement.</w:t>
      </w:r>
    </w:p>
    <w:p>
      <w:pPr>
        <w:pStyle w:val="Heading1"/>
        <w:keepNext/>
        <w:spacing w:before="280" w:after="80"/>
      </w:pPr>
      <w:r>
        <w:rPr>
          <w:b/>
          <w:color w:val="0F172A"/>
          <w:sz w:val="36"/>
        </w:rPr>
        <w:t>3. Backend Deep-Dive: .NET 10 Clean Architecture</w:t>
      </w:r>
    </w:p>
    <w:p>
      <w:pPr>
        <w:spacing w:after="160"/>
      </w:pPr>
      <w:r>
        <w:t>The backend is constructed strictly according to Clean Architecture and Domain-Driven Design (DDD) principles. Dependencies flow strictly inward toward the domain layer. The solution is organized into four main projects:</w:t>
      </w:r>
    </w:p>
    <w:tbl>
      <w:tblPr>
        <w:tblW w:type="auto" w:w="0"/>
        <w:tblLook w:firstColumn="1" w:firstRow="1" w:lastColumn="0" w:lastRow="0" w:noHBand="0" w:noVBand="1" w:val="04A0"/>
      </w:tblPr>
      <w:tblGrid>
        <w:gridCol w:w="3120"/>
        <w:gridCol w:w="3120"/>
        <w:gridCol w:w="3120"/>
      </w:tblGrid>
      <w:tr>
        <w:tc>
          <w:tcPr>
            <w:tcW w:type="dxa" w:w="2592"/>
            <w:shd w:fill="1E3A8A"/>
            <w:tcMar>
              <w:top w:w="120" w:type="dxa"/>
              <w:bottom w:w="120" w:type="dxa"/>
              <w:left w:w="120" w:type="dxa"/>
              <w:right w:w="120" w:type="dxa"/>
            </w:tcMar>
          </w:tcPr>
          <w:p>
            <w:pPr>
              <w:jc w:val="left"/>
            </w:pPr>
            <w:r>
              <w:rPr>
                <w:b/>
                <w:color w:val="FFFFFF"/>
                <w:sz w:val="19"/>
              </w:rPr>
              <w:t>Project Layer</w:t>
            </w:r>
          </w:p>
        </w:tc>
        <w:tc>
          <w:tcPr>
            <w:tcW w:type="dxa" w:w="2448"/>
            <w:shd w:fill="1E3A8A"/>
            <w:tcMar>
              <w:top w:w="120" w:type="dxa"/>
              <w:bottom w:w="120" w:type="dxa"/>
              <w:left w:w="120" w:type="dxa"/>
              <w:right w:w="120" w:type="dxa"/>
            </w:tcMar>
          </w:tcPr>
          <w:p>
            <w:pPr>
              <w:jc w:val="left"/>
            </w:pPr>
            <w:r>
              <w:rPr>
                <w:b/>
                <w:color w:val="FFFFFF"/>
                <w:sz w:val="19"/>
              </w:rPr>
              <w:t>Namespace</w:t>
            </w:r>
          </w:p>
        </w:tc>
        <w:tc>
          <w:tcPr>
            <w:tcW w:type="dxa" w:w="4320"/>
            <w:shd w:fill="1E3A8A"/>
            <w:tcMar>
              <w:top w:w="120" w:type="dxa"/>
              <w:bottom w:w="120" w:type="dxa"/>
              <w:left w:w="120" w:type="dxa"/>
              <w:right w:w="120" w:type="dxa"/>
            </w:tcMar>
          </w:tcPr>
          <w:p>
            <w:pPr>
              <w:jc w:val="left"/>
            </w:pPr>
            <w:r>
              <w:rPr>
                <w:b/>
                <w:color w:val="FFFFFF"/>
                <w:sz w:val="19"/>
              </w:rPr>
              <w:t>Key Responsibilities &amp; Components</w:t>
            </w:r>
          </w:p>
        </w:tc>
      </w:tr>
      <w:tr>
        <w:tc>
          <w:tcPr>
            <w:tcW w:type="dxa" w:w="2592"/>
            <w:shd w:fill="FFFFFF"/>
            <w:tcMar>
              <w:top w:w="100" w:type="dxa"/>
              <w:bottom w:w="100" w:type="dxa"/>
              <w:left w:w="120" w:type="dxa"/>
              <w:right w:w="120" w:type="dxa"/>
            </w:tcMar>
          </w:tcPr>
          <w:p>
            <w:r>
              <w:rPr>
                <w:b/>
              </w:rPr>
              <w:t>Domain Layer</w:t>
            </w:r>
          </w:p>
        </w:tc>
        <w:tc>
          <w:tcPr>
            <w:tcW w:type="dxa" w:w="2448"/>
            <w:shd w:fill="FFFFFF"/>
            <w:tcMar>
              <w:top w:w="100" w:type="dxa"/>
              <w:bottom w:w="100" w:type="dxa"/>
              <w:left w:w="120" w:type="dxa"/>
              <w:right w:w="120" w:type="dxa"/>
            </w:tcMar>
          </w:tcPr>
          <w:p>
            <w:r>
              <w:t>Cosmix.Domain</w:t>
            </w:r>
          </w:p>
        </w:tc>
        <w:tc>
          <w:tcPr>
            <w:tcW w:type="dxa" w:w="4320"/>
            <w:shd w:fill="FFFFFF"/>
            <w:tcMar>
              <w:top w:w="100" w:type="dxa"/>
              <w:bottom w:w="100" w:type="dxa"/>
              <w:left w:w="120" w:type="dxa"/>
              <w:right w:w="120" w:type="dxa"/>
            </w:tcMar>
          </w:tcPr>
          <w:p>
            <w:r>
              <w:t>Defines core business entities, aggregates, and value objects. Contains zero external dependencies. Houses Employee, AttendanceLog, ShiftPolicy, AllowanceClaim, AdvanceLoan, and PayrollHandoffBatch aggregates.</w:t>
            </w:r>
          </w:p>
        </w:tc>
      </w:tr>
      <w:tr>
        <w:tc>
          <w:tcPr>
            <w:tcW w:type="dxa" w:w="2592"/>
            <w:shd w:fill="F8FAFC"/>
            <w:tcMar>
              <w:top w:w="100" w:type="dxa"/>
              <w:bottom w:w="100" w:type="dxa"/>
              <w:left w:w="120" w:type="dxa"/>
              <w:right w:w="120" w:type="dxa"/>
            </w:tcMar>
          </w:tcPr>
          <w:p>
            <w:r>
              <w:rPr>
                <w:b/>
              </w:rPr>
              <w:t>Application Layer</w:t>
            </w:r>
          </w:p>
        </w:tc>
        <w:tc>
          <w:tcPr>
            <w:tcW w:type="dxa" w:w="2448"/>
            <w:shd w:fill="F8FAFC"/>
            <w:tcMar>
              <w:top w:w="100" w:type="dxa"/>
              <w:bottom w:w="100" w:type="dxa"/>
              <w:left w:w="120" w:type="dxa"/>
              <w:right w:w="120" w:type="dxa"/>
            </w:tcMar>
          </w:tcPr>
          <w:p>
            <w:r>
              <w:t>Cosmix.Application</w:t>
            </w:r>
          </w:p>
        </w:tc>
        <w:tc>
          <w:tcPr>
            <w:tcW w:type="dxa" w:w="4320"/>
            <w:shd w:fill="F8FAFC"/>
            <w:tcMar>
              <w:top w:w="100" w:type="dxa"/>
              <w:bottom w:w="100" w:type="dxa"/>
              <w:left w:w="120" w:type="dxa"/>
              <w:right w:w="120" w:type="dxa"/>
            </w:tcMar>
          </w:tcPr>
          <w:p>
            <w:r>
              <w:t>Encapsulates business use cases, orchestrations, security validations, and service contracts. Houses AttendanceProcessingService, PayrollHandoffService, and MonthLockCoverage.</w:t>
            </w:r>
          </w:p>
        </w:tc>
      </w:tr>
      <w:tr>
        <w:tc>
          <w:tcPr>
            <w:tcW w:type="dxa" w:w="2592"/>
            <w:shd w:fill="FFFFFF"/>
            <w:tcMar>
              <w:top w:w="100" w:type="dxa"/>
              <w:bottom w:w="100" w:type="dxa"/>
              <w:left w:w="120" w:type="dxa"/>
              <w:right w:w="120" w:type="dxa"/>
            </w:tcMar>
          </w:tcPr>
          <w:p>
            <w:r>
              <w:rPr>
                <w:b/>
              </w:rPr>
              <w:t>Infrastructure Layer</w:t>
            </w:r>
          </w:p>
        </w:tc>
        <w:tc>
          <w:tcPr>
            <w:tcW w:type="dxa" w:w="2448"/>
            <w:shd w:fill="FFFFFF"/>
            <w:tcMar>
              <w:top w:w="100" w:type="dxa"/>
              <w:bottom w:w="100" w:type="dxa"/>
              <w:left w:w="120" w:type="dxa"/>
              <w:right w:w="120" w:type="dxa"/>
            </w:tcMar>
          </w:tcPr>
          <w:p>
            <w:r>
              <w:t>Cosmix.Infrastructure</w:t>
            </w:r>
          </w:p>
        </w:tc>
        <w:tc>
          <w:tcPr>
            <w:tcW w:type="dxa" w:w="4320"/>
            <w:shd w:fill="FFFFFF"/>
            <w:tcMar>
              <w:top w:w="100" w:type="dxa"/>
              <w:bottom w:w="100" w:type="dxa"/>
              <w:left w:w="120" w:type="dxa"/>
              <w:right w:w="120" w:type="dxa"/>
            </w:tcMar>
          </w:tcPr>
          <w:p>
            <w:r>
              <w:t>Implements interfaces defined in the domain and application layers. Manages EF Core DbContext, SQL Server schema configurations, PrivateFileStore, and DPAPI key management.</w:t>
            </w:r>
          </w:p>
        </w:tc>
      </w:tr>
      <w:tr>
        <w:tc>
          <w:tcPr>
            <w:tcW w:type="dxa" w:w="2592"/>
            <w:shd w:fill="F8FAFC"/>
            <w:tcMar>
              <w:top w:w="100" w:type="dxa"/>
              <w:bottom w:w="100" w:type="dxa"/>
              <w:left w:w="120" w:type="dxa"/>
              <w:right w:w="120" w:type="dxa"/>
            </w:tcMar>
          </w:tcPr>
          <w:p>
            <w:r>
              <w:rPr>
                <w:b/>
              </w:rPr>
              <w:t>Presentation API Layer</w:t>
            </w:r>
          </w:p>
        </w:tc>
        <w:tc>
          <w:tcPr>
            <w:tcW w:type="dxa" w:w="2448"/>
            <w:shd w:fill="F8FAFC"/>
            <w:tcMar>
              <w:top w:w="100" w:type="dxa"/>
              <w:bottom w:w="100" w:type="dxa"/>
              <w:left w:w="120" w:type="dxa"/>
              <w:right w:w="120" w:type="dxa"/>
            </w:tcMar>
          </w:tcPr>
          <w:p>
            <w:r>
              <w:t>Cosmix.Api</w:t>
            </w:r>
          </w:p>
        </w:tc>
        <w:tc>
          <w:tcPr>
            <w:tcW w:type="dxa" w:w="4320"/>
            <w:shd w:fill="F8FAFC"/>
            <w:tcMar>
              <w:top w:w="100" w:type="dxa"/>
              <w:bottom w:w="100" w:type="dxa"/>
              <w:left w:w="120" w:type="dxa"/>
              <w:right w:w="120" w:type="dxa"/>
            </w:tcMar>
          </w:tcPr>
          <w:p>
            <w:r>
              <w:t>RESTful HTTP endpoints, route controllers, authentication middlewares, OpenAPI documentation, rate limiting, and LocalTesting environment harnesses.</w:t>
            </w:r>
          </w:p>
        </w:tc>
      </w:tr>
    </w:tbl>
    <w:p>
      <w:pPr>
        <w:spacing w:after="200"/>
      </w:pPr>
    </w:p>
    <w:p>
      <w:pPr>
        <w:pStyle w:val="Heading2"/>
        <w:keepNext/>
        <w:spacing w:before="280" w:after="80"/>
      </w:pPr>
      <w:r>
        <w:rPr>
          <w:b/>
          <w:color w:val="1E3A8A"/>
          <w:sz w:val="28"/>
        </w:rPr>
        <w:t>3.1 Cryptographic Snapshotting &amp; Immutability Rules</w:t>
      </w:r>
    </w:p>
    <w:p>
      <w:pPr>
        <w:spacing w:after="120"/>
      </w:pPr>
      <w:r>
        <w:t>A foundational design requirement of Cosmix ERP is financial and operational immutability. When an attendance period is finalized (via `attendance.month-close`), the backend creates an immutable cryptographic snapshot containing:</w:t>
      </w:r>
    </w:p>
    <w:p>
      <w:pPr>
        <w:pStyle w:val="ListBullet"/>
        <w:spacing w:after="60"/>
      </w:pPr>
      <w:r>
        <w:rPr>
          <w:b/>
          <w:color w:val="0F172A"/>
        </w:rPr>
        <w:t xml:space="preserve">SHA-256 Fingerprint Digest: </w:t>
      </w:r>
      <w:r>
        <w:rPr>
          <w:color w:val="334155"/>
        </w:rPr>
        <w:t>A canonical JSON representation of all employee attendance summaries, duty hours, approved overtime, and allowances is cryptographically hashed.</w:t>
      </w:r>
    </w:p>
    <w:p>
      <w:pPr>
        <w:pStyle w:val="ListBullet"/>
        <w:spacing w:after="60"/>
      </w:pPr>
      <w:r>
        <w:rPr>
          <w:b/>
          <w:color w:val="0F172A"/>
        </w:rPr>
        <w:t xml:space="preserve">Storage in Retained Private Store: </w:t>
      </w:r>
      <w:r>
        <w:rPr>
          <w:color w:val="334155"/>
        </w:rPr>
        <w:t>The snapshot JSON is written to a tamper-resistant local directory (`PrivateBootstrapSnapshotStore`), verified on startup.</w:t>
      </w:r>
    </w:p>
    <w:p>
      <w:pPr>
        <w:pStyle w:val="ListBullet"/>
        <w:spacing w:after="60"/>
      </w:pPr>
      <w:r>
        <w:rPr>
          <w:b/>
          <w:color w:val="0F172A"/>
        </w:rPr>
        <w:t xml:space="preserve">Versioned Membership Schema: </w:t>
      </w:r>
      <w:r>
        <w:rPr>
          <w:color w:val="334155"/>
        </w:rPr>
        <w:t>Schema versions 3 and 4 enforce strict employee population integrity. If any attendance record is altered directly in the SQL database, the calculated hash mismatches the lock event and the system throws a tamper conflict.</w:t>
      </w:r>
    </w:p>
    <w:p>
      <w:pPr>
        <w:pStyle w:val="ListBullet"/>
        <w:spacing w:after="60"/>
      </w:pPr>
      <w:r>
        <w:rPr>
          <w:b/>
          <w:color w:val="0F172A"/>
        </w:rPr>
        <w:t xml:space="preserve">Sealed Payroll Handoff Batches: </w:t>
      </w:r>
      <w:r>
        <w:rPr>
          <w:color w:val="334155"/>
        </w:rPr>
        <w:t>When HR prepares a payroll batch, the batch records the exact `expectedPreviewFingerprint`. The batch becomes an immutable legal instrument before Accounts processes it.</w:t>
      </w:r>
    </w:p>
    <w:p>
      <w:pPr>
        <w:spacing w:after="200"/>
      </w:pPr>
    </w:p>
    <w:p>
      <w:pPr>
        <w:pStyle w:val="Heading1"/>
        <w:keepNext/>
        <w:spacing w:before="280" w:after="80"/>
      </w:pPr>
      <w:r>
        <w:rPr>
          <w:b/>
          <w:color w:val="0F172A"/>
          <w:sz w:val="36"/>
        </w:rPr>
        <w:t>4. Web Frontend Portal Deep-Dive (React 19 &amp; TypeScript)</w:t>
      </w:r>
    </w:p>
    <w:p>
      <w:pPr>
        <w:spacing w:after="160"/>
      </w:pPr>
      <w:r>
        <w:t>The frontend portal is built on React 19, Vite, TypeScript, and TanStack Query v5. It is organized into cohesive business modules that directly map to enterprise departmental workflows:</w:t>
      </w:r>
    </w:p>
    <w:tbl>
      <w:tblPr>
        <w:tblW w:type="auto" w:w="0"/>
        <w:tblLook w:firstColumn="1" w:firstRow="1" w:lastColumn="0" w:lastRow="0" w:noHBand="0" w:noVBand="1" w:val="04A0"/>
      </w:tblPr>
      <w:tblGrid>
        <w:gridCol w:w="3120"/>
        <w:gridCol w:w="3120"/>
        <w:gridCol w:w="3120"/>
      </w:tblGrid>
      <w:tr>
        <w:tc>
          <w:tcPr>
            <w:tcW w:type="dxa" w:w="2304"/>
            <w:shd w:fill="1E3A8A"/>
            <w:tcMar>
              <w:top w:w="120" w:type="dxa"/>
              <w:bottom w:w="120" w:type="dxa"/>
              <w:left w:w="120" w:type="dxa"/>
              <w:right w:w="120" w:type="dxa"/>
            </w:tcMar>
          </w:tcPr>
          <w:p>
            <w:pPr>
              <w:jc w:val="left"/>
            </w:pPr>
            <w:r>
              <w:rPr>
                <w:b/>
                <w:color w:val="FFFFFF"/>
                <w:sz w:val="19"/>
              </w:rPr>
              <w:t>Module Name</w:t>
            </w:r>
          </w:p>
        </w:tc>
        <w:tc>
          <w:tcPr>
            <w:tcW w:type="dxa" w:w="2592"/>
            <w:shd w:fill="1E3A8A"/>
            <w:tcMar>
              <w:top w:w="120" w:type="dxa"/>
              <w:bottom w:w="120" w:type="dxa"/>
              <w:left w:w="120" w:type="dxa"/>
              <w:right w:w="120" w:type="dxa"/>
            </w:tcMar>
          </w:tcPr>
          <w:p>
            <w:pPr>
              <w:jc w:val="left"/>
            </w:pPr>
            <w:r>
              <w:rPr>
                <w:b/>
                <w:color w:val="FFFFFF"/>
                <w:sz w:val="19"/>
              </w:rPr>
              <w:t>Route Path</w:t>
            </w:r>
          </w:p>
        </w:tc>
        <w:tc>
          <w:tcPr>
            <w:tcW w:type="dxa" w:w="4464"/>
            <w:shd w:fill="1E3A8A"/>
            <w:tcMar>
              <w:top w:w="120" w:type="dxa"/>
              <w:bottom w:w="120" w:type="dxa"/>
              <w:left w:w="120" w:type="dxa"/>
              <w:right w:w="120" w:type="dxa"/>
            </w:tcMar>
          </w:tcPr>
          <w:p>
            <w:pPr>
              <w:jc w:val="left"/>
            </w:pPr>
            <w:r>
              <w:rPr>
                <w:b/>
                <w:color w:val="FFFFFF"/>
                <w:sz w:val="19"/>
              </w:rPr>
              <w:t>Functional Capabilities &amp; Screens</w:t>
            </w:r>
          </w:p>
        </w:tc>
      </w:tr>
      <w:tr>
        <w:tc>
          <w:tcPr>
            <w:tcW w:type="dxa" w:w="2304"/>
            <w:shd w:fill="FFFFFF"/>
            <w:tcMar>
              <w:top w:w="100" w:type="dxa"/>
              <w:bottom w:w="100" w:type="dxa"/>
              <w:left w:w="120" w:type="dxa"/>
              <w:right w:w="120" w:type="dxa"/>
            </w:tcMar>
          </w:tcPr>
          <w:p>
            <w:r>
              <w:rPr>
                <w:b/>
              </w:rPr>
              <w:t>Attendance Operations</w:t>
            </w:r>
          </w:p>
        </w:tc>
        <w:tc>
          <w:tcPr>
            <w:tcW w:type="dxa" w:w="2592"/>
            <w:shd w:fill="FFFFFF"/>
            <w:tcMar>
              <w:top w:w="100" w:type="dxa"/>
              <w:bottom w:w="100" w:type="dxa"/>
              <w:left w:w="120" w:type="dxa"/>
              <w:right w:w="120" w:type="dxa"/>
            </w:tcMar>
          </w:tcPr>
          <w:p>
            <w:r>
              <w:rPr>
                <w:rFonts w:ascii="Consolas" w:hAnsi="Consolas"/>
                <w:sz w:val="17"/>
              </w:rPr>
              <w:t>/hr/attendance/*</w:t>
            </w:r>
          </w:p>
        </w:tc>
        <w:tc>
          <w:tcPr>
            <w:tcW w:type="dxa" w:w="4464"/>
            <w:shd w:fill="FFFFFF"/>
            <w:tcMar>
              <w:top w:w="100" w:type="dxa"/>
              <w:bottom w:w="100" w:type="dxa"/>
              <w:left w:w="120" w:type="dxa"/>
              <w:right w:w="120" w:type="dxa"/>
            </w:tcMar>
          </w:tcPr>
          <w:p>
            <w:r>
              <w:t>Daily Attendance Ledger, 30-Day Monthly Register, Punch Audit Trail with raw biometric evidence, Operational Zone monitoring (Green/Amber/Red), and Month Closure lock console.</w:t>
            </w:r>
          </w:p>
        </w:tc>
      </w:tr>
      <w:tr>
        <w:tc>
          <w:tcPr>
            <w:tcW w:type="dxa" w:w="2304"/>
            <w:shd w:fill="F8FAFC"/>
            <w:tcMar>
              <w:top w:w="100" w:type="dxa"/>
              <w:bottom w:w="100" w:type="dxa"/>
              <w:left w:w="120" w:type="dxa"/>
              <w:right w:w="120" w:type="dxa"/>
            </w:tcMar>
          </w:tcPr>
          <w:p>
            <w:r>
              <w:rPr>
                <w:b/>
              </w:rPr>
              <w:t>Shift &amp; Overtime Policy</w:t>
            </w:r>
          </w:p>
        </w:tc>
        <w:tc>
          <w:tcPr>
            <w:tcW w:type="dxa" w:w="2592"/>
            <w:shd w:fill="F8FAFC"/>
            <w:tcMar>
              <w:top w:w="100" w:type="dxa"/>
              <w:bottom w:w="100" w:type="dxa"/>
              <w:left w:w="120" w:type="dxa"/>
              <w:right w:w="120" w:type="dxa"/>
            </w:tcMar>
          </w:tcPr>
          <w:p>
            <w:r>
              <w:rPr>
                <w:rFonts w:ascii="Consolas" w:hAnsi="Consolas"/>
                <w:sz w:val="17"/>
              </w:rPr>
              <w:t>/hr/shifts, /hr/overtime</w:t>
            </w:r>
          </w:p>
        </w:tc>
        <w:tc>
          <w:tcPr>
            <w:tcW w:type="dxa" w:w="4464"/>
            <w:shd w:fill="F8FAFC"/>
            <w:tcMar>
              <w:top w:w="100" w:type="dxa"/>
              <w:bottom w:w="100" w:type="dxa"/>
              <w:left w:w="120" w:type="dxa"/>
              <w:right w:w="120" w:type="dxa"/>
            </w:tcMar>
          </w:tcPr>
          <w:p>
            <w:r>
              <w:t>Configurable shift timings, grace period enforcement (15 min), double-rate site overtime rosters, and field supervisor bulk duty approvals.</w:t>
            </w:r>
          </w:p>
        </w:tc>
      </w:tr>
      <w:tr>
        <w:tc>
          <w:tcPr>
            <w:tcW w:type="dxa" w:w="2304"/>
            <w:shd w:fill="FFFFFF"/>
            <w:tcMar>
              <w:top w:w="100" w:type="dxa"/>
              <w:bottom w:w="100" w:type="dxa"/>
              <w:left w:w="120" w:type="dxa"/>
              <w:right w:w="120" w:type="dxa"/>
            </w:tcMar>
          </w:tcPr>
          <w:p>
            <w:r>
              <w:rPr>
                <w:b/>
              </w:rPr>
              <w:t>Leaves &amp; Encashments</w:t>
            </w:r>
          </w:p>
        </w:tc>
        <w:tc>
          <w:tcPr>
            <w:tcW w:type="dxa" w:w="2592"/>
            <w:shd w:fill="FFFFFF"/>
            <w:tcMar>
              <w:top w:w="100" w:type="dxa"/>
              <w:bottom w:w="100" w:type="dxa"/>
              <w:left w:w="120" w:type="dxa"/>
              <w:right w:w="120" w:type="dxa"/>
            </w:tcMar>
          </w:tcPr>
          <w:p>
            <w:r>
              <w:rPr>
                <w:rFonts w:ascii="Consolas" w:hAnsi="Consolas"/>
                <w:sz w:val="17"/>
              </w:rPr>
              <w:t>/hr/leaves, /hr/leave-encashment</w:t>
            </w:r>
          </w:p>
        </w:tc>
        <w:tc>
          <w:tcPr>
            <w:tcW w:type="dxa" w:w="4464"/>
            <w:shd w:fill="FFFFFF"/>
            <w:tcMar>
              <w:top w:w="100" w:type="dxa"/>
              <w:bottom w:w="100" w:type="dxa"/>
              <w:left w:w="120" w:type="dxa"/>
              <w:right w:w="120" w:type="dxa"/>
            </w:tcMar>
          </w:tcPr>
          <w:p>
            <w:r>
              <w:t>Fiscal leave quotas (12 Casual, 6 Sick, 14 Annual), medical attachment uploads, multi-stage approval routing, and end-of-year encashment calculators.</w:t>
            </w:r>
          </w:p>
        </w:tc>
      </w:tr>
      <w:tr>
        <w:tc>
          <w:tcPr>
            <w:tcW w:type="dxa" w:w="2304"/>
            <w:shd w:fill="F8FAFC"/>
            <w:tcMar>
              <w:top w:w="100" w:type="dxa"/>
              <w:bottom w:w="100" w:type="dxa"/>
              <w:left w:w="120" w:type="dxa"/>
              <w:right w:w="120" w:type="dxa"/>
            </w:tcMar>
          </w:tcPr>
          <w:p>
            <w:r>
              <w:rPr>
                <w:b/>
              </w:rPr>
              <w:t>Allowances &amp; Claims</w:t>
            </w:r>
          </w:p>
        </w:tc>
        <w:tc>
          <w:tcPr>
            <w:tcW w:type="dxa" w:w="2592"/>
            <w:shd w:fill="F8FAFC"/>
            <w:tcMar>
              <w:top w:w="100" w:type="dxa"/>
              <w:bottom w:w="100" w:type="dxa"/>
              <w:left w:w="120" w:type="dxa"/>
              <w:right w:w="120" w:type="dxa"/>
            </w:tcMar>
          </w:tcPr>
          <w:p>
            <w:r>
              <w:rPr>
                <w:rFonts w:ascii="Consolas" w:hAnsi="Consolas"/>
                <w:sz w:val="17"/>
              </w:rPr>
              <w:t>/hr/allowances</w:t>
            </w:r>
          </w:p>
        </w:tc>
        <w:tc>
          <w:tcPr>
            <w:tcW w:type="dxa" w:w="4464"/>
            <w:shd w:fill="F8FAFC"/>
            <w:tcMar>
              <w:top w:w="100" w:type="dxa"/>
              <w:bottom w:w="100" w:type="dxa"/>
              <w:left w:w="120" w:type="dxa"/>
              <w:right w:w="120" w:type="dxa"/>
            </w:tcMar>
          </w:tcPr>
          <w:p>
            <w:r>
              <w:t>Daily 13h meal allowance claims (PKR 400), dinner allowances, and PKR 1,000/day outstation travel per-diems with receipt verification.</w:t>
            </w:r>
          </w:p>
        </w:tc>
      </w:tr>
      <w:tr>
        <w:tc>
          <w:tcPr>
            <w:tcW w:type="dxa" w:w="2304"/>
            <w:shd w:fill="FFFFFF"/>
            <w:tcMar>
              <w:top w:w="100" w:type="dxa"/>
              <w:bottom w:w="100" w:type="dxa"/>
              <w:left w:w="120" w:type="dxa"/>
              <w:right w:w="120" w:type="dxa"/>
            </w:tcMar>
          </w:tcPr>
          <w:p>
            <w:r>
              <w:rPr>
                <w:b/>
              </w:rPr>
              <w:t>Fleet &amp; Fuel Management</w:t>
            </w:r>
          </w:p>
        </w:tc>
        <w:tc>
          <w:tcPr>
            <w:tcW w:type="dxa" w:w="2592"/>
            <w:shd w:fill="FFFFFF"/>
            <w:tcMar>
              <w:top w:w="100" w:type="dxa"/>
              <w:bottom w:w="100" w:type="dxa"/>
              <w:left w:w="120" w:type="dxa"/>
              <w:right w:w="120" w:type="dxa"/>
            </w:tcMar>
          </w:tcPr>
          <w:p>
            <w:r>
              <w:rPr>
                <w:rFonts w:ascii="Consolas" w:hAnsi="Consolas"/>
                <w:sz w:val="17"/>
              </w:rPr>
              <w:t>/hr/vehicles</w:t>
            </w:r>
          </w:p>
        </w:tc>
        <w:tc>
          <w:tcPr>
            <w:tcW w:type="dxa" w:w="4464"/>
            <w:shd w:fill="FFFFFF"/>
            <w:tcMar>
              <w:top w:w="100" w:type="dxa"/>
              <w:bottom w:w="100" w:type="dxa"/>
              <w:left w:w="120" w:type="dxa"/>
              <w:right w:w="120" w:type="dxa"/>
            </w:tcMar>
          </w:tcPr>
          <w:p>
            <w:r>
              <w:t>Vehicle registration, odometer inspection, fuel claim approval, and live real-time PSO/Shell petrol and high-speed diesel rates in PKR.</w:t>
            </w:r>
          </w:p>
        </w:tc>
      </w:tr>
      <w:tr>
        <w:tc>
          <w:tcPr>
            <w:tcW w:type="dxa" w:w="2304"/>
            <w:shd w:fill="F8FAFC"/>
            <w:tcMar>
              <w:top w:w="100" w:type="dxa"/>
              <w:bottom w:w="100" w:type="dxa"/>
              <w:left w:w="120" w:type="dxa"/>
              <w:right w:w="120" w:type="dxa"/>
            </w:tcMar>
          </w:tcPr>
          <w:p>
            <w:r>
              <w:rPr>
                <w:b/>
              </w:rPr>
              <w:t>Payroll Handoff &amp; Settlement</w:t>
            </w:r>
          </w:p>
        </w:tc>
        <w:tc>
          <w:tcPr>
            <w:tcW w:type="dxa" w:w="2592"/>
            <w:shd w:fill="F8FAFC"/>
            <w:tcMar>
              <w:top w:w="100" w:type="dxa"/>
              <w:bottom w:w="100" w:type="dxa"/>
              <w:left w:w="120" w:type="dxa"/>
              <w:right w:w="120" w:type="dxa"/>
            </w:tcMar>
          </w:tcPr>
          <w:p>
            <w:r>
              <w:rPr>
                <w:rFonts w:ascii="Consolas" w:hAnsi="Consolas"/>
                <w:sz w:val="17"/>
              </w:rPr>
              <w:t>/hr/payroll-handoff</w:t>
            </w:r>
          </w:p>
        </w:tc>
        <w:tc>
          <w:tcPr>
            <w:tcW w:type="dxa" w:w="4464"/>
            <w:shd w:fill="F8FAFC"/>
            <w:tcMar>
              <w:top w:w="100" w:type="dxa"/>
              <w:bottom w:w="100" w:type="dxa"/>
              <w:left w:w="120" w:type="dxa"/>
              <w:right w:w="120" w:type="dxa"/>
            </w:tcMar>
          </w:tcPr>
          <w:p>
            <w:r>
              <w:t>Provisional and locked attendance payroll calculation, KPI financial cards, detailed staff rows with bank IBAN details, direct Bank Advice CSV export, and batch approval.</w:t>
            </w:r>
          </w:p>
        </w:tc>
      </w:tr>
    </w:tbl>
    <w:p>
      <w:pPr>
        <w:spacing w:after="200"/>
      </w:pPr>
    </w:p>
    <w:p>
      <w:pPr>
        <w:pStyle w:val="Heading2"/>
        <w:keepNext/>
        <w:spacing w:before="280" w:after="80"/>
      </w:pPr>
      <w:r>
        <w:rPr>
          <w:b/>
          <w:color w:val="1E3A8A"/>
          <w:sz w:val="28"/>
        </w:rPr>
        <w:t>4.1 Payroll Handoff &amp; Settlement Architecture (Detailed)</w:t>
      </w:r>
    </w:p>
    <w:p>
      <w:pPr>
        <w:spacing w:after="120"/>
      </w:pPr>
      <w:r>
        <w:t>The Payroll Handoff module (`PayrollHandoffPage.tsx`) acts as the critical bridge between operational attendance duties and Accounts financial settlement. It guarantees that finance teams receive clean, pre-verified, and mathematically consistent compensation records without manual spreadsheet manipulation.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24" w:space="0" w:color="2563EB"/>
              <w:bottom w:val="none"/>
              <w:right w:val="none"/>
            </w:tcBorders>
          </w:tcPr>
          <w:p>
            <w:pPr>
              <w:spacing w:before="40" w:after="40" w:line="276" w:lineRule="auto"/>
            </w:pPr>
            <w:r>
              <w:rPr>
                <w:b/>
                <w:color w:val="0F172A"/>
                <w:sz w:val="21"/>
              </w:rPr>
              <w:t>📌 Key Payroll Capabilities Implemented &amp; Verified</w:t>
              <w:br/>
            </w:r>
            <w:r>
              <w:rPr>
                <w:color w:val="334155"/>
                <w:sz w:val="19"/>
              </w:rPr>
              <w:t>• Dual-Mode Preview: Operates seamlessly in Live Locked Mode (when formal attendance period lock exists) and in Provisional Mode (providing real-time calculations from open attendance records).</w:t>
              <w:br/>
              <w:t>• Comprehensive KPI Cards: Real-time visual cards for Projected Net Hand-off (PKR), Approved Overtime, Approved Allowances, Attendance Deductions, and Eligible Staff count.</w:t>
              <w:br/>
              <w:t>• Granular Staff Breakdown: Displays 14 distinct compensation lines across active engineers (Tariq Mehmood, Muhammad Rashid, Bilal Aslam, Imran Saeed, Hamza Farooq, Fahad Mustafa) with their verified bank details (MCB, HBL, Meezan, UBL, ABL, Bank Alfalah).</w:t>
              <w:br/>
              <w:t>• Direct Bank Advice CSV Generation: RFC 4180 compliant CSV export ready for direct import into corporate banking portals (1-Link / Rawalpindi &amp; Islamabad clearing).</w:t>
              <w:br/>
              <w:t>• Dual-Control Batch Approval: Maker freezes the batch; independent Checker approves and locks the batch; Accounts records external reference evidence.</w:t>
            </w:r>
          </w:p>
        </w:tc>
      </w:tr>
    </w:tbl>
    <w:p>
      <w:pPr>
        <w:spacing w:after="120"/>
      </w:pPr>
    </w:p>
    <w:p>
      <w:pPr>
        <w:pStyle w:val="Heading1"/>
        <w:keepNext/>
        <w:spacing w:before="280" w:after="80"/>
      </w:pPr>
      <w:r>
        <w:rPr>
          <w:b/>
          <w:color w:val="0F172A"/>
          <w:sz w:val="36"/>
        </w:rPr>
        <w:t>5. Mobile App &amp; Biometric Face Verification Engine</w:t>
      </w:r>
    </w:p>
    <w:p>
      <w:pPr>
        <w:spacing w:after="160"/>
      </w:pPr>
      <w:r>
        <w:t>Field engineers and site workers operate across remote substations and transmission towers where cellular connectivity can be intermittent. The mobile architecture (`cosmix_mobile`) and AI face verification engine (`face-verification-deployment`) provide robust offline-capable identity assurance.</w:t>
      </w:r>
    </w:p>
    <w:p>
      <w:pPr>
        <w:pStyle w:val="ListBullet"/>
        <w:spacing w:after="60"/>
      </w:pPr>
      <w:r>
        <w:rPr>
          <w:b/>
          <w:color w:val="0F172A"/>
        </w:rPr>
        <w:t xml:space="preserve">High-Precision Geofence Enforcement: </w:t>
      </w:r>
      <w:r>
        <w:rPr>
          <w:color w:val="334155"/>
        </w:rPr>
        <w:t>Punches are only accepted when the worker's device is within the authorized polygon or radius (typically 100-300m) of an approved engineering site. Mock location providers and GPS spoofing apps are actively detected and rejected.</w:t>
      </w:r>
    </w:p>
    <w:p>
      <w:pPr>
        <w:pStyle w:val="ListBullet"/>
        <w:spacing w:after="60"/>
      </w:pPr>
      <w:r>
        <w:rPr>
          <w:b/>
          <w:color w:val="0F172A"/>
        </w:rPr>
        <w:t xml:space="preserve">Anti-Spoofing AI Face Verification: </w:t>
      </w:r>
      <w:r>
        <w:rPr>
          <w:color w:val="334155"/>
        </w:rPr>
        <w:t>Mobile app captures live front-facing selfies during check-in/out. The image is passed to the containerized InsightFace service running ArcFace embeddings. Replay attacks and printed photo spoofs are eliminated.</w:t>
      </w:r>
    </w:p>
    <w:p>
      <w:pPr>
        <w:pStyle w:val="ListBullet"/>
        <w:spacing w:after="60"/>
      </w:pPr>
      <w:r>
        <w:rPr>
          <w:b/>
          <w:color w:val="0F172A"/>
        </w:rPr>
        <w:t xml:space="preserve">Offline Punch Queue: </w:t>
      </w:r>
      <w:r>
        <w:rPr>
          <w:color w:val="334155"/>
        </w:rPr>
        <w:t>When out of network coverage, punches are signed with device private keys and queued in local SQLite storage. Upon reconnecting, punches replay with cryptographic integrity checks.</w:t>
      </w:r>
    </w:p>
    <w:p>
      <w:pPr>
        <w:pStyle w:val="ListBullet"/>
        <w:spacing w:after="60"/>
      </w:pPr>
      <w:r>
        <w:rPr>
          <w:b/>
          <w:color w:val="0F172A"/>
        </w:rPr>
        <w:t xml:space="preserve">Self-Service &amp; Pay Slips: </w:t>
      </w:r>
      <w:r>
        <w:rPr>
          <w:color w:val="334155"/>
        </w:rPr>
        <w:t>Staff can check shift assignments, submit emergency leave requests, track allowance approvals, and view verified duty hours directly on Android and iOS devices.</w:t>
      </w:r>
    </w:p>
    <w:p>
      <w:pPr>
        <w:spacing w:after="200"/>
      </w:pPr>
    </w:p>
    <w:p>
      <w:pPr>
        <w:pStyle w:val="Heading1"/>
        <w:keepNext/>
        <w:spacing w:before="280" w:after="80"/>
      </w:pPr>
      <w:r>
        <w:rPr>
          <w:b/>
          <w:color w:val="0F172A"/>
          <w:sz w:val="36"/>
        </w:rPr>
        <w:t>6. Database Architecture &amp; Schema Reference</w:t>
      </w:r>
    </w:p>
    <w:p>
      <w:pPr>
        <w:spacing w:after="160"/>
      </w:pPr>
      <w:r>
        <w:t>Cosmix ERP utilizes Microsoft SQL Server with strict domain schema separation. Cross-schema access is strictly mediated by transactional repositories. The database is partitioned into four major relational schemas:</w:t>
      </w:r>
    </w:p>
    <w:tbl>
      <w:tblPr>
        <w:tblW w:type="auto" w:w="0"/>
        <w:tblLook w:firstColumn="1" w:firstRow="1" w:lastColumn="0" w:lastRow="0" w:noHBand="0" w:noVBand="1" w:val="04A0"/>
      </w:tblPr>
      <w:tblGrid>
        <w:gridCol w:w="3120"/>
        <w:gridCol w:w="3120"/>
        <w:gridCol w:w="3120"/>
      </w:tblGrid>
      <w:tr>
        <w:tc>
          <w:tcPr>
            <w:tcW w:type="dxa" w:w="2160"/>
            <w:shd w:fill="0F172A"/>
            <w:tcMar>
              <w:top w:w="120" w:type="dxa"/>
              <w:bottom w:w="120" w:type="dxa"/>
              <w:left w:w="120" w:type="dxa"/>
              <w:right w:w="120" w:type="dxa"/>
            </w:tcMar>
          </w:tcPr>
          <w:p>
            <w:pPr>
              <w:jc w:val="left"/>
            </w:pPr>
            <w:r>
              <w:rPr>
                <w:b/>
                <w:color w:val="FFFFFF"/>
                <w:sz w:val="19"/>
              </w:rPr>
              <w:t>Schema Name</w:t>
            </w:r>
          </w:p>
        </w:tc>
        <w:tc>
          <w:tcPr>
            <w:tcW w:type="dxa" w:w="3168"/>
            <w:shd w:fill="0F172A"/>
            <w:tcMar>
              <w:top w:w="120" w:type="dxa"/>
              <w:bottom w:w="120" w:type="dxa"/>
              <w:left w:w="120" w:type="dxa"/>
              <w:right w:w="120" w:type="dxa"/>
            </w:tcMar>
          </w:tcPr>
          <w:p>
            <w:pPr>
              <w:jc w:val="left"/>
            </w:pPr>
            <w:r>
              <w:rPr>
                <w:b/>
                <w:color w:val="FFFFFF"/>
                <w:sz w:val="19"/>
              </w:rPr>
              <w:t>Core Tables &amp; Entities</w:t>
            </w:r>
          </w:p>
        </w:tc>
        <w:tc>
          <w:tcPr>
            <w:tcW w:type="dxa" w:w="4032"/>
            <w:shd w:fill="0F172A"/>
            <w:tcMar>
              <w:top w:w="120" w:type="dxa"/>
              <w:bottom w:w="120" w:type="dxa"/>
              <w:left w:w="120" w:type="dxa"/>
              <w:right w:w="120" w:type="dxa"/>
            </w:tcMar>
          </w:tcPr>
          <w:p>
            <w:pPr>
              <w:jc w:val="left"/>
            </w:pPr>
            <w:r>
              <w:rPr>
                <w:b/>
                <w:color w:val="FFFFFF"/>
                <w:sz w:val="19"/>
              </w:rPr>
              <w:t>Governance &amp; Integrity Invariants</w:t>
            </w:r>
          </w:p>
        </w:tc>
      </w:tr>
      <w:tr>
        <w:tc>
          <w:tcPr>
            <w:tcW w:type="dxa" w:w="2160"/>
            <w:shd w:fill="FFFFFF"/>
            <w:tcMar>
              <w:top w:w="100" w:type="dxa"/>
              <w:bottom w:w="100" w:type="dxa"/>
              <w:left w:w="120" w:type="dxa"/>
              <w:right w:w="120" w:type="dxa"/>
            </w:tcMar>
          </w:tcPr>
          <w:p>
            <w:r>
              <w:rPr>
                <w:rFonts w:ascii="Consolas" w:hAnsi="Consolas"/>
                <w:b/>
              </w:rPr>
              <w:t>auth</w:t>
            </w:r>
          </w:p>
        </w:tc>
        <w:tc>
          <w:tcPr>
            <w:tcW w:type="dxa" w:w="3168"/>
            <w:shd w:fill="FFFFFF"/>
            <w:tcMar>
              <w:top w:w="100" w:type="dxa"/>
              <w:bottom w:w="100" w:type="dxa"/>
              <w:left w:w="120" w:type="dxa"/>
              <w:right w:w="120" w:type="dxa"/>
            </w:tcMar>
          </w:tcPr>
          <w:p>
            <w:r>
              <w:t>Accounts, Credentials, RefreshTokens, DeviceBindings, AuditLog</w:t>
            </w:r>
          </w:p>
        </w:tc>
        <w:tc>
          <w:tcPr>
            <w:tcW w:type="dxa" w:w="4032"/>
            <w:shd w:fill="FFFFFF"/>
            <w:tcMar>
              <w:top w:w="100" w:type="dxa"/>
              <w:bottom w:w="100" w:type="dxa"/>
              <w:left w:w="120" w:type="dxa"/>
              <w:right w:w="120" w:type="dxa"/>
            </w:tcMar>
          </w:tcPr>
          <w:p>
            <w:r>
              <w:t>Passwordless OTP verification, argon2/PBKDF2 hashing, single active session policies, device hardware fingerprinters.</w:t>
            </w:r>
          </w:p>
        </w:tc>
      </w:tr>
      <w:tr>
        <w:tc>
          <w:tcPr>
            <w:tcW w:type="dxa" w:w="2160"/>
            <w:shd w:fill="F8FAFC"/>
            <w:tcMar>
              <w:top w:w="100" w:type="dxa"/>
              <w:bottom w:w="100" w:type="dxa"/>
              <w:left w:w="120" w:type="dxa"/>
              <w:right w:w="120" w:type="dxa"/>
            </w:tcMar>
          </w:tcPr>
          <w:p>
            <w:r>
              <w:rPr>
                <w:rFonts w:ascii="Consolas" w:hAnsi="Consolas"/>
                <w:b/>
              </w:rPr>
              <w:t>hr</w:t>
            </w:r>
          </w:p>
        </w:tc>
        <w:tc>
          <w:tcPr>
            <w:tcW w:type="dxa" w:w="3168"/>
            <w:shd w:fill="F8FAFC"/>
            <w:tcMar>
              <w:top w:w="100" w:type="dxa"/>
              <w:bottom w:w="100" w:type="dxa"/>
              <w:left w:w="120" w:type="dxa"/>
              <w:right w:w="120" w:type="dxa"/>
            </w:tcMar>
          </w:tcPr>
          <w:p>
            <w:r>
              <w:t>Employees, Sites, Geofences, Rosters, Shifts, Allowances, AdvancesLoans, Vehicles, FuelClaims, PayrollHandoffBatches</w:t>
            </w:r>
          </w:p>
        </w:tc>
        <w:tc>
          <w:tcPr>
            <w:tcW w:type="dxa" w:w="4032"/>
            <w:shd w:fill="F8FAFC"/>
            <w:tcMar>
              <w:top w:w="100" w:type="dxa"/>
              <w:bottom w:w="100" w:type="dxa"/>
              <w:left w:w="120" w:type="dxa"/>
              <w:right w:w="120" w:type="dxa"/>
            </w:tcMar>
          </w:tcPr>
          <w:p>
            <w:r>
              <w:t>Employee identity uniqueness (CNIC/EmployeeNumber), immutable batch handoffs, dual-approval records, live fuel ledger.</w:t>
            </w:r>
          </w:p>
        </w:tc>
      </w:tr>
      <w:tr>
        <w:tc>
          <w:tcPr>
            <w:tcW w:type="dxa" w:w="2160"/>
            <w:shd w:fill="FFFFFF"/>
            <w:tcMar>
              <w:top w:w="100" w:type="dxa"/>
              <w:bottom w:w="100" w:type="dxa"/>
              <w:left w:w="120" w:type="dxa"/>
              <w:right w:w="120" w:type="dxa"/>
            </w:tcMar>
          </w:tcPr>
          <w:p>
            <w:r>
              <w:rPr>
                <w:rFonts w:ascii="Consolas" w:hAnsi="Consolas"/>
                <w:b/>
              </w:rPr>
              <w:t>attendance</w:t>
            </w:r>
          </w:p>
        </w:tc>
        <w:tc>
          <w:tcPr>
            <w:tcW w:type="dxa" w:w="3168"/>
            <w:shd w:fill="FFFFFF"/>
            <w:tcMar>
              <w:top w:w="100" w:type="dxa"/>
              <w:bottom w:w="100" w:type="dxa"/>
              <w:left w:w="120" w:type="dxa"/>
              <w:right w:w="120" w:type="dxa"/>
            </w:tcMar>
          </w:tcPr>
          <w:p>
            <w:r>
              <w:t>AttendanceLogs, BiometricPunches, DutyPeriods, OvertimeRecords, LeaveRequests, MonthClosureLocks</w:t>
            </w:r>
          </w:p>
        </w:tc>
        <w:tc>
          <w:tcPr>
            <w:tcW w:type="dxa" w:w="4032"/>
            <w:shd w:fill="FFFFFF"/>
            <w:tcMar>
              <w:top w:w="100" w:type="dxa"/>
              <w:bottom w:w="100" w:type="dxa"/>
              <w:left w:w="120" w:type="dxa"/>
              <w:right w:w="120" w:type="dxa"/>
            </w:tcMar>
          </w:tcPr>
          <w:p>
            <w:r>
              <w:t>Immutable raw punch events, audit logs of manual adjustments, cryptographic lock event SHA-256 digests.</w:t>
            </w:r>
          </w:p>
        </w:tc>
      </w:tr>
      <w:tr>
        <w:tc>
          <w:tcPr>
            <w:tcW w:type="dxa" w:w="2160"/>
            <w:shd w:fill="F8FAFC"/>
            <w:tcMar>
              <w:top w:w="100" w:type="dxa"/>
              <w:bottom w:w="100" w:type="dxa"/>
              <w:left w:w="120" w:type="dxa"/>
              <w:right w:w="120" w:type="dxa"/>
            </w:tcMar>
          </w:tcPr>
          <w:p>
            <w:r>
              <w:rPr>
                <w:rFonts w:ascii="Consolas" w:hAnsi="Consolas"/>
                <w:b/>
              </w:rPr>
              <w:t>approvals</w:t>
            </w:r>
          </w:p>
        </w:tc>
        <w:tc>
          <w:tcPr>
            <w:tcW w:type="dxa" w:w="3168"/>
            <w:shd w:fill="F8FAFC"/>
            <w:tcMar>
              <w:top w:w="100" w:type="dxa"/>
              <w:bottom w:w="100" w:type="dxa"/>
              <w:left w:w="120" w:type="dxa"/>
              <w:right w:w="120" w:type="dxa"/>
            </w:tcMar>
          </w:tcPr>
          <w:p>
            <w:r>
              <w:t>RoutingRules, DecisionRecords, MultiStageApprovals</w:t>
            </w:r>
          </w:p>
        </w:tc>
        <w:tc>
          <w:tcPr>
            <w:tcW w:type="dxa" w:w="4032"/>
            <w:shd w:fill="F8FAFC"/>
            <w:tcMar>
              <w:top w:w="100" w:type="dxa"/>
              <w:bottom w:w="100" w:type="dxa"/>
              <w:left w:w="120" w:type="dxa"/>
              <w:right w:w="120" w:type="dxa"/>
            </w:tcMar>
          </w:tcPr>
          <w:p>
            <w:r>
              <w:t>Maker-checker enforcement, sequential and parallel multi-tier approval states, tamper-evident sign-offs.</w:t>
            </w:r>
          </w:p>
        </w:tc>
      </w:tr>
    </w:tbl>
    <w:p>
      <w:pPr>
        <w:spacing w:after="240"/>
      </w:pPr>
    </w:p>
    <w:p>
      <w:pPr>
        <w:pStyle w:val="Heading1"/>
        <w:keepNext/>
        <w:spacing w:before="280" w:after="80"/>
      </w:pPr>
      <w:r>
        <w:rPr>
          <w:b/>
          <w:color w:val="0F172A"/>
          <w:sz w:val="36"/>
        </w:rPr>
        <w:t>7. SRS Acceptance Criteria (AC-001 to AC-010) Compliance Matrix</w:t>
      </w:r>
    </w:p>
    <w:p>
      <w:pPr>
        <w:spacing w:after="160"/>
      </w:pPr>
      <w:r>
        <w:t>A formal evaluation of the software implementation against the core Software Requirements Specifications (SRS):</w:t>
      </w:r>
    </w:p>
    <w:tbl>
      <w:tblPr>
        <w:tblW w:type="auto" w:w="0"/>
        <w:tblLook w:firstColumn="1" w:firstRow="1" w:lastColumn="0" w:lastRow="0" w:noHBand="0" w:noVBand="1" w:val="04A0"/>
      </w:tblPr>
      <w:tblGrid>
        <w:gridCol w:w="2340"/>
        <w:gridCol w:w="2340"/>
        <w:gridCol w:w="2340"/>
        <w:gridCol w:w="2340"/>
      </w:tblGrid>
      <w:tr>
        <w:tc>
          <w:tcPr>
            <w:tcW w:type="dxa" w:w="1296"/>
            <w:shd w:fill="1E3A8A"/>
            <w:tcMar>
              <w:top w:w="120" w:type="dxa"/>
              <w:bottom w:w="120" w:type="dxa"/>
              <w:left w:w="120" w:type="dxa"/>
              <w:right w:w="120" w:type="dxa"/>
            </w:tcMar>
          </w:tcPr>
          <w:p>
            <w:pPr>
              <w:jc w:val="left"/>
            </w:pPr>
            <w:r>
              <w:rPr>
                <w:b/>
                <w:color w:val="FFFFFF"/>
                <w:sz w:val="19"/>
              </w:rPr>
              <w:t>Criteria</w:t>
            </w:r>
          </w:p>
        </w:tc>
        <w:tc>
          <w:tcPr>
            <w:tcW w:type="dxa" w:w="2592"/>
            <w:shd w:fill="1E3A8A"/>
            <w:tcMar>
              <w:top w:w="120" w:type="dxa"/>
              <w:bottom w:w="120" w:type="dxa"/>
              <w:left w:w="120" w:type="dxa"/>
              <w:right w:w="120" w:type="dxa"/>
            </w:tcMar>
          </w:tcPr>
          <w:p>
            <w:pPr>
              <w:jc w:val="left"/>
            </w:pPr>
            <w:r>
              <w:rPr>
                <w:b/>
                <w:color w:val="FFFFFF"/>
                <w:sz w:val="19"/>
              </w:rPr>
              <w:t>SRS Scope &amp; Title</w:t>
            </w:r>
          </w:p>
        </w:tc>
        <w:tc>
          <w:tcPr>
            <w:tcW w:type="dxa" w:w="1872"/>
            <w:shd w:fill="1E3A8A"/>
            <w:tcMar>
              <w:top w:w="120" w:type="dxa"/>
              <w:bottom w:w="120" w:type="dxa"/>
              <w:left w:w="120" w:type="dxa"/>
              <w:right w:w="120" w:type="dxa"/>
            </w:tcMar>
          </w:tcPr>
          <w:p>
            <w:pPr>
              <w:jc w:val="left"/>
            </w:pPr>
            <w:r>
              <w:rPr>
                <w:b/>
                <w:color w:val="FFFFFF"/>
                <w:sz w:val="19"/>
              </w:rPr>
              <w:t>Audit Status</w:t>
            </w:r>
          </w:p>
        </w:tc>
        <w:tc>
          <w:tcPr>
            <w:tcW w:type="dxa" w:w="3600"/>
            <w:shd w:fill="1E3A8A"/>
            <w:tcMar>
              <w:top w:w="120" w:type="dxa"/>
              <w:bottom w:w="120" w:type="dxa"/>
              <w:left w:w="120" w:type="dxa"/>
              <w:right w:w="120" w:type="dxa"/>
            </w:tcMar>
          </w:tcPr>
          <w:p>
            <w:pPr>
              <w:jc w:val="left"/>
            </w:pPr>
            <w:r>
              <w:rPr>
                <w:b/>
                <w:color w:val="FFFFFF"/>
                <w:sz w:val="19"/>
              </w:rPr>
              <w:t>Implementation Verification &amp; Evidence</w:t>
            </w:r>
          </w:p>
        </w:tc>
      </w:tr>
      <w:tr>
        <w:tc>
          <w:tcPr>
            <w:tcW w:type="dxa" w:w="1296"/>
            <w:shd w:fill="FFFFFF"/>
            <w:tcMar>
              <w:top w:w="100" w:type="dxa"/>
              <w:bottom w:w="100" w:type="dxa"/>
              <w:left w:w="120" w:type="dxa"/>
              <w:right w:w="120" w:type="dxa"/>
            </w:tcMar>
          </w:tcPr>
          <w:p>
            <w:r>
              <w:rPr>
                <w:b/>
              </w:rPr>
              <w:t>AC-001</w:t>
            </w:r>
          </w:p>
        </w:tc>
        <w:tc>
          <w:tcPr>
            <w:tcW w:type="dxa" w:w="2592"/>
            <w:shd w:fill="FFFFFF"/>
            <w:tcMar>
              <w:top w:w="100" w:type="dxa"/>
              <w:bottom w:w="100" w:type="dxa"/>
              <w:left w:w="120" w:type="dxa"/>
              <w:right w:w="120" w:type="dxa"/>
            </w:tcMar>
          </w:tcPr>
          <w:p>
            <w:r>
              <w:t>Hiring, Onboarding &amp; Access Control</w:t>
            </w:r>
          </w:p>
        </w:tc>
        <w:tc>
          <w:tcPr>
            <w:tcW w:type="dxa" w:w="1872"/>
            <w:shd w:fill="FFFFFF"/>
            <w:tcMar>
              <w:top w:w="100" w:type="dxa"/>
              <w:bottom w:w="100" w:type="dxa"/>
              <w:left w:w="120" w:type="dxa"/>
              <w:right w:w="120" w:type="dxa"/>
            </w:tcMar>
          </w:tcPr>
          <w:p>
            <w:r>
              <w:rPr>
                <w:b/>
                <w:color w:val="059669"/>
              </w:rPr>
              <w:t>Delivered &amp; Verified</w:t>
            </w:r>
          </w:p>
        </w:tc>
        <w:tc>
          <w:tcPr>
            <w:tcW w:type="dxa" w:w="3600"/>
            <w:shd w:fill="FFFFFF"/>
            <w:tcMar>
              <w:top w:w="100" w:type="dxa"/>
              <w:bottom w:w="100" w:type="dxa"/>
              <w:left w:w="120" w:type="dxa"/>
              <w:right w:w="120" w:type="dxa"/>
            </w:tcMar>
          </w:tcPr>
          <w:p>
            <w:r>
              <w:t>Multi-stage onboarding with dual-control admin approvals and role-based access setup.</w:t>
            </w:r>
          </w:p>
        </w:tc>
      </w:tr>
      <w:tr>
        <w:tc>
          <w:tcPr>
            <w:tcW w:type="dxa" w:w="1296"/>
            <w:shd w:fill="F8FAFC"/>
            <w:tcMar>
              <w:top w:w="100" w:type="dxa"/>
              <w:bottom w:w="100" w:type="dxa"/>
              <w:left w:w="120" w:type="dxa"/>
              <w:right w:w="120" w:type="dxa"/>
            </w:tcMar>
          </w:tcPr>
          <w:p>
            <w:r>
              <w:rPr>
                <w:b/>
              </w:rPr>
              <w:t>AC-002</w:t>
            </w:r>
          </w:p>
        </w:tc>
        <w:tc>
          <w:tcPr>
            <w:tcW w:type="dxa" w:w="2592"/>
            <w:shd w:fill="F8FAFC"/>
            <w:tcMar>
              <w:top w:w="100" w:type="dxa"/>
              <w:bottom w:w="100" w:type="dxa"/>
              <w:left w:w="120" w:type="dxa"/>
              <w:right w:w="120" w:type="dxa"/>
            </w:tcMar>
          </w:tcPr>
          <w:p>
            <w:r>
              <w:t>Mobile Biometric &amp; Face Verification</w:t>
            </w:r>
          </w:p>
        </w:tc>
        <w:tc>
          <w:tcPr>
            <w:tcW w:type="dxa" w:w="1872"/>
            <w:shd w:fill="F8FAFC"/>
            <w:tcMar>
              <w:top w:w="100" w:type="dxa"/>
              <w:bottom w:w="100" w:type="dxa"/>
              <w:left w:w="120" w:type="dxa"/>
              <w:right w:w="120" w:type="dxa"/>
            </w:tcMar>
          </w:tcPr>
          <w:p>
            <w:r>
              <w:rPr>
                <w:b/>
                <w:color w:val="D97706"/>
              </w:rPr>
              <w:t>Substantial (Docker Service Ready)</w:t>
            </w:r>
          </w:p>
        </w:tc>
        <w:tc>
          <w:tcPr>
            <w:tcW w:type="dxa" w:w="3600"/>
            <w:shd w:fill="F8FAFC"/>
            <w:tcMar>
              <w:top w:w="100" w:type="dxa"/>
              <w:bottom w:w="100" w:type="dxa"/>
              <w:left w:w="120" w:type="dxa"/>
              <w:right w:w="120" w:type="dxa"/>
            </w:tcMar>
          </w:tcPr>
          <w:p>
            <w:r>
              <w:t>Face verification API containerized; mobile capture integration points functional.</w:t>
            </w:r>
          </w:p>
        </w:tc>
      </w:tr>
      <w:tr>
        <w:tc>
          <w:tcPr>
            <w:tcW w:type="dxa" w:w="1296"/>
            <w:shd w:fill="FFFFFF"/>
            <w:tcMar>
              <w:top w:w="100" w:type="dxa"/>
              <w:bottom w:w="100" w:type="dxa"/>
              <w:left w:w="120" w:type="dxa"/>
              <w:right w:w="120" w:type="dxa"/>
            </w:tcMar>
          </w:tcPr>
          <w:p>
            <w:r>
              <w:rPr>
                <w:b/>
              </w:rPr>
              <w:t>AC-003</w:t>
            </w:r>
          </w:p>
        </w:tc>
        <w:tc>
          <w:tcPr>
            <w:tcW w:type="dxa" w:w="2592"/>
            <w:shd w:fill="FFFFFF"/>
            <w:tcMar>
              <w:top w:w="100" w:type="dxa"/>
              <w:bottom w:w="100" w:type="dxa"/>
              <w:left w:w="120" w:type="dxa"/>
              <w:right w:w="120" w:type="dxa"/>
            </w:tcMar>
          </w:tcPr>
          <w:p>
            <w:r>
              <w:t>Immutable Duty Log &amp; Corrections</w:t>
            </w:r>
          </w:p>
        </w:tc>
        <w:tc>
          <w:tcPr>
            <w:tcW w:type="dxa" w:w="1872"/>
            <w:shd w:fill="FFFFFF"/>
            <w:tcMar>
              <w:top w:w="100" w:type="dxa"/>
              <w:bottom w:w="100" w:type="dxa"/>
              <w:left w:w="120" w:type="dxa"/>
              <w:right w:w="120" w:type="dxa"/>
            </w:tcMar>
          </w:tcPr>
          <w:p>
            <w:r>
              <w:rPr>
                <w:b/>
                <w:color w:val="059669"/>
              </w:rPr>
              <w:t>Delivered &amp; Verified</w:t>
            </w:r>
          </w:p>
        </w:tc>
        <w:tc>
          <w:tcPr>
            <w:tcW w:type="dxa" w:w="3600"/>
            <w:shd w:fill="FFFFFF"/>
            <w:tcMar>
              <w:top w:w="100" w:type="dxa"/>
              <w:bottom w:w="100" w:type="dxa"/>
              <w:left w:w="120" w:type="dxa"/>
              <w:right w:w="120" w:type="dxa"/>
            </w:tcMar>
          </w:tcPr>
          <w:p>
            <w:r>
              <w:t>Raw punch logs are permanent; corrections tracked with revision histories and separate audit lines.</w:t>
            </w:r>
          </w:p>
        </w:tc>
      </w:tr>
      <w:tr>
        <w:tc>
          <w:tcPr>
            <w:tcW w:type="dxa" w:w="1296"/>
            <w:shd w:fill="F8FAFC"/>
            <w:tcMar>
              <w:top w:w="100" w:type="dxa"/>
              <w:bottom w:w="100" w:type="dxa"/>
              <w:left w:w="120" w:type="dxa"/>
              <w:right w:w="120" w:type="dxa"/>
            </w:tcMar>
          </w:tcPr>
          <w:p>
            <w:r>
              <w:rPr>
                <w:b/>
              </w:rPr>
              <w:t>AC-004</w:t>
            </w:r>
          </w:p>
        </w:tc>
        <w:tc>
          <w:tcPr>
            <w:tcW w:type="dxa" w:w="2592"/>
            <w:shd w:fill="F8FAFC"/>
            <w:tcMar>
              <w:top w:w="100" w:type="dxa"/>
              <w:bottom w:w="100" w:type="dxa"/>
              <w:left w:w="120" w:type="dxa"/>
              <w:right w:w="120" w:type="dxa"/>
            </w:tcMar>
          </w:tcPr>
          <w:p>
            <w:r>
              <w:t>Shift Engine, Overtime &amp; Allowances</w:t>
            </w:r>
          </w:p>
        </w:tc>
        <w:tc>
          <w:tcPr>
            <w:tcW w:type="dxa" w:w="1872"/>
            <w:shd w:fill="F8FAFC"/>
            <w:tcMar>
              <w:top w:w="100" w:type="dxa"/>
              <w:bottom w:w="100" w:type="dxa"/>
              <w:left w:w="120" w:type="dxa"/>
              <w:right w:w="120" w:type="dxa"/>
            </w:tcMar>
          </w:tcPr>
          <w:p>
            <w:r>
              <w:rPr>
                <w:b/>
                <w:color w:val="059669"/>
              </w:rPr>
              <w:t>Delivered &amp; Verified</w:t>
            </w:r>
          </w:p>
        </w:tc>
        <w:tc>
          <w:tcPr>
            <w:tcW w:type="dxa" w:w="3600"/>
            <w:shd w:fill="F8FAFC"/>
            <w:tcMar>
              <w:top w:w="100" w:type="dxa"/>
              <w:bottom w:w="100" w:type="dxa"/>
              <w:left w:w="120" w:type="dxa"/>
              <w:right w:w="120" w:type="dxa"/>
            </w:tcMar>
          </w:tcPr>
          <w:p>
            <w:r>
              <w:t>Automatic 15m grace evaluation, standard &amp; double overtime calculations, and 13h meal stipends.</w:t>
            </w:r>
          </w:p>
        </w:tc>
      </w:tr>
      <w:tr>
        <w:tc>
          <w:tcPr>
            <w:tcW w:type="dxa" w:w="1296"/>
            <w:shd w:fill="FFFFFF"/>
            <w:tcMar>
              <w:top w:w="100" w:type="dxa"/>
              <w:bottom w:w="100" w:type="dxa"/>
              <w:left w:w="120" w:type="dxa"/>
              <w:right w:w="120" w:type="dxa"/>
            </w:tcMar>
          </w:tcPr>
          <w:p>
            <w:r>
              <w:rPr>
                <w:b/>
              </w:rPr>
              <w:t>AC-005</w:t>
            </w:r>
          </w:p>
        </w:tc>
        <w:tc>
          <w:tcPr>
            <w:tcW w:type="dxa" w:w="2592"/>
            <w:shd w:fill="FFFFFF"/>
            <w:tcMar>
              <w:top w:w="100" w:type="dxa"/>
              <w:bottom w:w="100" w:type="dxa"/>
              <w:left w:w="120" w:type="dxa"/>
              <w:right w:w="120" w:type="dxa"/>
            </w:tcMar>
          </w:tcPr>
          <w:p>
            <w:r>
              <w:t>Geofencing &amp; Site Compliance</w:t>
            </w:r>
          </w:p>
        </w:tc>
        <w:tc>
          <w:tcPr>
            <w:tcW w:type="dxa" w:w="1872"/>
            <w:shd w:fill="FFFFFF"/>
            <w:tcMar>
              <w:top w:w="100" w:type="dxa"/>
              <w:bottom w:w="100" w:type="dxa"/>
              <w:left w:w="120" w:type="dxa"/>
              <w:right w:w="120" w:type="dxa"/>
            </w:tcMar>
          </w:tcPr>
          <w:p>
            <w:r>
              <w:rPr>
                <w:b/>
                <w:color w:val="059669"/>
              </w:rPr>
              <w:t>Delivered &amp; Verified</w:t>
            </w:r>
          </w:p>
        </w:tc>
        <w:tc>
          <w:tcPr>
            <w:tcW w:type="dxa" w:w="3600"/>
            <w:shd w:fill="FFFFFF"/>
            <w:tcMar>
              <w:top w:w="100" w:type="dxa"/>
              <w:bottom w:w="100" w:type="dxa"/>
              <w:left w:w="120" w:type="dxa"/>
              <w:right w:w="120" w:type="dxa"/>
            </w:tcMar>
          </w:tcPr>
          <w:p>
            <w:r>
              <w:t>Interactive Leaflet mapping, polygon geofence validation, and out-of-boundary warnings.</w:t>
            </w:r>
          </w:p>
        </w:tc>
      </w:tr>
      <w:tr>
        <w:tc>
          <w:tcPr>
            <w:tcW w:type="dxa" w:w="1296"/>
            <w:shd w:fill="F8FAFC"/>
            <w:tcMar>
              <w:top w:w="100" w:type="dxa"/>
              <w:bottom w:w="100" w:type="dxa"/>
              <w:left w:w="120" w:type="dxa"/>
              <w:right w:w="120" w:type="dxa"/>
            </w:tcMar>
          </w:tcPr>
          <w:p>
            <w:r>
              <w:rPr>
                <w:b/>
              </w:rPr>
              <w:t>AC-005A</w:t>
            </w:r>
          </w:p>
        </w:tc>
        <w:tc>
          <w:tcPr>
            <w:tcW w:type="dxa" w:w="2592"/>
            <w:shd w:fill="F8FAFC"/>
            <w:tcMar>
              <w:top w:w="100" w:type="dxa"/>
              <w:bottom w:w="100" w:type="dxa"/>
              <w:left w:w="120" w:type="dxa"/>
              <w:right w:w="120" w:type="dxa"/>
            </w:tcMar>
          </w:tcPr>
          <w:p>
            <w:r>
              <w:t>Operational Zones (Green/Amber/Red)</w:t>
            </w:r>
          </w:p>
        </w:tc>
        <w:tc>
          <w:tcPr>
            <w:tcW w:type="dxa" w:w="1872"/>
            <w:shd w:fill="F8FAFC"/>
            <w:tcMar>
              <w:top w:w="100" w:type="dxa"/>
              <w:bottom w:w="100" w:type="dxa"/>
              <w:left w:w="120" w:type="dxa"/>
              <w:right w:w="120" w:type="dxa"/>
            </w:tcMar>
          </w:tcPr>
          <w:p>
            <w:r>
              <w:rPr>
                <w:b/>
                <w:color w:val="059669"/>
              </w:rPr>
              <w:t>Delivered &amp; Verified</w:t>
            </w:r>
          </w:p>
        </w:tc>
        <w:tc>
          <w:tcPr>
            <w:tcW w:type="dxa" w:w="3600"/>
            <w:shd w:fill="F8FAFC"/>
            <w:tcMar>
              <w:top w:w="100" w:type="dxa"/>
              <w:bottom w:w="100" w:type="dxa"/>
              <w:left w:w="120" w:type="dxa"/>
              <w:right w:w="120" w:type="dxa"/>
            </w:tcMar>
          </w:tcPr>
          <w:p>
            <w:r>
              <w:t>Real-time zone monitoring, high-risk red zone breach alerts, and supervisory escalation.</w:t>
            </w:r>
          </w:p>
        </w:tc>
      </w:tr>
      <w:tr>
        <w:tc>
          <w:tcPr>
            <w:tcW w:type="dxa" w:w="1296"/>
            <w:shd w:fill="FFFFFF"/>
            <w:tcMar>
              <w:top w:w="100" w:type="dxa"/>
              <w:bottom w:w="100" w:type="dxa"/>
              <w:left w:w="120" w:type="dxa"/>
              <w:right w:w="120" w:type="dxa"/>
            </w:tcMar>
          </w:tcPr>
          <w:p>
            <w:r>
              <w:rPr>
                <w:b/>
              </w:rPr>
              <w:t>AC-005B</w:t>
            </w:r>
          </w:p>
        </w:tc>
        <w:tc>
          <w:tcPr>
            <w:tcW w:type="dxa" w:w="2592"/>
            <w:shd w:fill="FFFFFF"/>
            <w:tcMar>
              <w:top w:w="100" w:type="dxa"/>
              <w:bottom w:w="100" w:type="dxa"/>
              <w:left w:w="120" w:type="dxa"/>
              <w:right w:w="120" w:type="dxa"/>
            </w:tcMar>
          </w:tcPr>
          <w:p>
            <w:r>
              <w:t>Field Site Attendance Reports</w:t>
            </w:r>
          </w:p>
        </w:tc>
        <w:tc>
          <w:tcPr>
            <w:tcW w:type="dxa" w:w="1872"/>
            <w:shd w:fill="FFFFFF"/>
            <w:tcMar>
              <w:top w:w="100" w:type="dxa"/>
              <w:bottom w:w="100" w:type="dxa"/>
              <w:left w:w="120" w:type="dxa"/>
              <w:right w:w="120" w:type="dxa"/>
            </w:tcMar>
          </w:tcPr>
          <w:p>
            <w:r>
              <w:rPr>
                <w:b/>
                <w:color w:val="059669"/>
              </w:rPr>
              <w:t>Delivered &amp; Verified</w:t>
            </w:r>
          </w:p>
        </w:tc>
        <w:tc>
          <w:tcPr>
            <w:tcW w:type="dxa" w:w="3600"/>
            <w:shd w:fill="FFFFFF"/>
            <w:tcMar>
              <w:top w:w="100" w:type="dxa"/>
              <w:bottom w:w="100" w:type="dxa"/>
              <w:left w:w="120" w:type="dxa"/>
              <w:right w:w="120" w:type="dxa"/>
            </w:tcMar>
          </w:tcPr>
          <w:p>
            <w:r>
              <w:t>Field supervisor structured shift logs and mobile roster reporting.</w:t>
            </w:r>
          </w:p>
        </w:tc>
      </w:tr>
      <w:tr>
        <w:tc>
          <w:tcPr>
            <w:tcW w:type="dxa" w:w="1296"/>
            <w:shd w:fill="F8FAFC"/>
            <w:tcMar>
              <w:top w:w="100" w:type="dxa"/>
              <w:bottom w:w="100" w:type="dxa"/>
              <w:left w:w="120" w:type="dxa"/>
              <w:right w:w="120" w:type="dxa"/>
            </w:tcMar>
          </w:tcPr>
          <w:p>
            <w:r>
              <w:rPr>
                <w:b/>
              </w:rPr>
              <w:t>AC-006</w:t>
            </w:r>
          </w:p>
        </w:tc>
        <w:tc>
          <w:tcPr>
            <w:tcW w:type="dxa" w:w="2592"/>
            <w:shd w:fill="F8FAFC"/>
            <w:tcMar>
              <w:top w:w="100" w:type="dxa"/>
              <w:bottom w:w="100" w:type="dxa"/>
              <w:left w:w="120" w:type="dxa"/>
              <w:right w:w="120" w:type="dxa"/>
            </w:tcMar>
          </w:tcPr>
          <w:p>
            <w:r>
              <w:t>Employee Self-Service Portal</w:t>
            </w:r>
          </w:p>
        </w:tc>
        <w:tc>
          <w:tcPr>
            <w:tcW w:type="dxa" w:w="1872"/>
            <w:shd w:fill="F8FAFC"/>
            <w:tcMar>
              <w:top w:w="100" w:type="dxa"/>
              <w:bottom w:w="100" w:type="dxa"/>
              <w:left w:w="120" w:type="dxa"/>
              <w:right w:w="120" w:type="dxa"/>
            </w:tcMar>
          </w:tcPr>
          <w:p>
            <w:r>
              <w:rPr>
                <w:b/>
                <w:color w:val="D97706"/>
              </w:rPr>
              <w:t>Substantial</w:t>
            </w:r>
          </w:p>
        </w:tc>
        <w:tc>
          <w:tcPr>
            <w:tcW w:type="dxa" w:w="3600"/>
            <w:shd w:fill="F8FAFC"/>
            <w:tcMar>
              <w:top w:w="100" w:type="dxa"/>
              <w:bottom w:w="100" w:type="dxa"/>
              <w:left w:w="120" w:type="dxa"/>
              <w:right w:w="120" w:type="dxa"/>
            </w:tcMar>
          </w:tcPr>
          <w:p>
            <w:r>
              <w:t>Leave requests, profile view, attendance history, and loan applications enabled on web portal.</w:t>
            </w:r>
          </w:p>
        </w:tc>
      </w:tr>
      <w:tr>
        <w:tc>
          <w:tcPr>
            <w:tcW w:type="dxa" w:w="1296"/>
            <w:shd w:fill="FFFFFF"/>
            <w:tcMar>
              <w:top w:w="100" w:type="dxa"/>
              <w:bottom w:w="100" w:type="dxa"/>
              <w:left w:w="120" w:type="dxa"/>
              <w:right w:w="120" w:type="dxa"/>
            </w:tcMar>
          </w:tcPr>
          <w:p>
            <w:r>
              <w:rPr>
                <w:b/>
              </w:rPr>
              <w:t>AC-007</w:t>
            </w:r>
          </w:p>
        </w:tc>
        <w:tc>
          <w:tcPr>
            <w:tcW w:type="dxa" w:w="2592"/>
            <w:shd w:fill="FFFFFF"/>
            <w:tcMar>
              <w:top w:w="100" w:type="dxa"/>
              <w:bottom w:w="100" w:type="dxa"/>
              <w:left w:w="120" w:type="dxa"/>
              <w:right w:w="120" w:type="dxa"/>
            </w:tcMar>
          </w:tcPr>
          <w:p>
            <w:r>
              <w:t>Month Closure &amp; Payroll Handoff</w:t>
            </w:r>
          </w:p>
        </w:tc>
        <w:tc>
          <w:tcPr>
            <w:tcW w:type="dxa" w:w="1872"/>
            <w:shd w:fill="FFFFFF"/>
            <w:tcMar>
              <w:top w:w="100" w:type="dxa"/>
              <w:bottom w:w="100" w:type="dxa"/>
              <w:left w:w="120" w:type="dxa"/>
              <w:right w:w="120" w:type="dxa"/>
            </w:tcMar>
          </w:tcPr>
          <w:p>
            <w:r>
              <w:rPr>
                <w:b/>
                <w:color w:val="059669"/>
              </w:rPr>
              <w:t>Fully Delivered &amp; Verified</w:t>
            </w:r>
          </w:p>
        </w:tc>
        <w:tc>
          <w:tcPr>
            <w:tcW w:type="dxa" w:w="3600"/>
            <w:shd w:fill="FFFFFF"/>
            <w:tcMar>
              <w:top w:w="100" w:type="dxa"/>
              <w:bottom w:w="100" w:type="dxa"/>
              <w:left w:w="120" w:type="dxa"/>
              <w:right w:w="120" w:type="dxa"/>
            </w:tcMar>
          </w:tcPr>
          <w:p>
            <w:r>
              <w:t>Provisional and locked payroll projections, KPI analytics, Bank Advice CSV export, and batch freeze.</w:t>
            </w:r>
          </w:p>
        </w:tc>
      </w:tr>
      <w:tr>
        <w:tc>
          <w:tcPr>
            <w:tcW w:type="dxa" w:w="1296"/>
            <w:shd w:fill="F8FAFC"/>
            <w:tcMar>
              <w:top w:w="100" w:type="dxa"/>
              <w:bottom w:w="100" w:type="dxa"/>
              <w:left w:w="120" w:type="dxa"/>
              <w:right w:w="120" w:type="dxa"/>
            </w:tcMar>
          </w:tcPr>
          <w:p>
            <w:r>
              <w:rPr>
                <w:b/>
              </w:rPr>
              <w:t>AC-008</w:t>
            </w:r>
          </w:p>
        </w:tc>
        <w:tc>
          <w:tcPr>
            <w:tcW w:type="dxa" w:w="2592"/>
            <w:shd w:fill="F8FAFC"/>
            <w:tcMar>
              <w:top w:w="100" w:type="dxa"/>
              <w:bottom w:w="100" w:type="dxa"/>
              <w:left w:w="120" w:type="dxa"/>
              <w:right w:w="120" w:type="dxa"/>
            </w:tcMar>
          </w:tcPr>
          <w:p>
            <w:r>
              <w:t>14-Stream HR Reports Catalog</w:t>
            </w:r>
          </w:p>
        </w:tc>
        <w:tc>
          <w:tcPr>
            <w:tcW w:type="dxa" w:w="1872"/>
            <w:shd w:fill="F8FAFC"/>
            <w:tcMar>
              <w:top w:w="100" w:type="dxa"/>
              <w:bottom w:w="100" w:type="dxa"/>
              <w:left w:w="120" w:type="dxa"/>
              <w:right w:w="120" w:type="dxa"/>
            </w:tcMar>
          </w:tcPr>
          <w:p>
            <w:r>
              <w:rPr>
                <w:b/>
                <w:color w:val="059669"/>
              </w:rPr>
              <w:t>Fully Delivered &amp; Verified</w:t>
            </w:r>
          </w:p>
        </w:tc>
        <w:tc>
          <w:tcPr>
            <w:tcW w:type="dxa" w:w="3600"/>
            <w:shd w:fill="F8FAFC"/>
            <w:tcMar>
              <w:top w:w="100" w:type="dxa"/>
              <w:bottom w:w="100" w:type="dxa"/>
              <w:left w:w="120" w:type="dxa"/>
              <w:right w:w="120" w:type="dxa"/>
            </w:tcMar>
          </w:tcPr>
          <w:p>
            <w:r>
              <w:t>Interactive card catalog across 4 categories, custom parameter drawers, and CSV/Excel exports.</w:t>
            </w:r>
          </w:p>
        </w:tc>
      </w:tr>
    </w:tbl>
    <w:p>
      <w:pPr>
        <w:spacing w:after="240"/>
      </w:pPr>
    </w:p>
    <w:p>
      <w:pPr>
        <w:pStyle w:val="Heading1"/>
        <w:keepNext/>
        <w:spacing w:before="280" w:after="80"/>
      </w:pPr>
      <w:r>
        <w:rPr>
          <w:b/>
          <w:color w:val="0F172A"/>
          <w:sz w:val="36"/>
        </w:rPr>
        <w:t>8. DevOps, Hosting &amp; Operational Runbook</w:t>
      </w:r>
    </w:p>
    <w:p>
      <w:pPr>
        <w:spacing w:after="160"/>
      </w:pPr>
      <w:r>
        <w:t>Cosmix ERP is engineered for seamless deployment on Windows Server, Linux (Ubuntu/Debian), or containerized clouds:</w:t>
      </w:r>
    </w:p>
    <w:p>
      <w:pPr>
        <w:pStyle w:val="ListBullet"/>
        <w:spacing w:after="80"/>
      </w:pPr>
      <w:r>
        <w:rPr>
          <w:b/>
          <w:color w:val="0F172A"/>
        </w:rPr>
        <w:t xml:space="preserve">1. Backend API Deployment (.NET 10): </w:t>
      </w:r>
      <w:r>
        <w:rPr>
          <w:color w:val="334155"/>
        </w:rPr>
        <w:t>Publish via `dotnet publish -c Release -o ./dist`. Hosted as a systemd service on Linux behind Nginx or as an IIS Web Application on Windows Server 2022. Configure `ASPNETCORE_ENVIRONMENT=Production` and connection strings in `appsettings.Production.json`.</w:t>
      </w:r>
    </w:p>
    <w:p>
      <w:pPr>
        <w:pStyle w:val="ListBullet"/>
        <w:spacing w:after="80"/>
      </w:pPr>
      <w:r>
        <w:rPr>
          <w:b/>
          <w:color w:val="0F172A"/>
        </w:rPr>
        <w:t xml:space="preserve">2. Frontend Web Portal Deployment: </w:t>
      </w:r>
      <w:r>
        <w:rPr>
          <w:color w:val="334155"/>
        </w:rPr>
        <w:t>Build static assets via `npm run build` in `cosmix_frotned`. Distribute generated `./dist` files via Nginx, Cloudflare CDN, or Azure Static Web Apps. Configure reverse proxy to route `/api/*` requests to the .NET Kestrel port (7240).</w:t>
      </w:r>
    </w:p>
    <w:p>
      <w:pPr>
        <w:pStyle w:val="ListBullet"/>
        <w:spacing w:after="80"/>
      </w:pPr>
      <w:r>
        <w:rPr>
          <w:b/>
          <w:color w:val="0F172A"/>
        </w:rPr>
        <w:t xml:space="preserve">3. Biometric Face Microservice: </w:t>
      </w:r>
      <w:r>
        <w:rPr>
          <w:color w:val="334155"/>
        </w:rPr>
        <w:t>Deploy via `docker compose up -d` in `face-verification-deployment`. Exposes REST API on port 8000 mapped through local Nginx with CORS restricted to the backend IP.</w:t>
      </w:r>
    </w:p>
    <w:p>
      <w:pPr>
        <w:pStyle w:val="ListBullet"/>
        <w:spacing w:after="80"/>
      </w:pPr>
      <w:r>
        <w:rPr>
          <w:b/>
          <w:color w:val="0F172A"/>
        </w:rPr>
        <w:t xml:space="preserve">4. SQL Server Database Configuration: </w:t>
      </w:r>
      <w:r>
        <w:rPr>
          <w:color w:val="334155"/>
        </w:rPr>
        <w:t>Apply EF Core migrations via `dotnet ef database update`. Ensure daily full backups and transaction log backups every 15 minutes to guarantee RPO &lt; 15 minutes.</w:t>
      </w:r>
    </w:p>
    <w:p>
      <w:pPr>
        <w:spacing w:after="240"/>
      </w:pPr>
    </w:p>
    <w:p>
      <w:pPr>
        <w:pStyle w:val="Heading1"/>
        <w:keepNext/>
        <w:spacing w:before="280" w:after="80"/>
      </w:pPr>
      <w:r>
        <w:rPr>
          <w:b/>
          <w:color w:val="0F172A"/>
          <w:sz w:val="36"/>
        </w:rPr>
        <w:t>9. Strategic Recommendations &amp; Enterprise Roadmap</w:t>
      </w:r>
    </w:p>
    <w:p>
      <w:pPr>
        <w:pStyle w:val="ListBullet"/>
        <w:spacing w:after="80"/>
      </w:pPr>
      <w:r>
        <w:rPr>
          <w:b/>
          <w:color w:val="0F172A"/>
        </w:rPr>
        <w:t xml:space="preserve">Automated Attendance Month Closure: </w:t>
      </w:r>
      <w:r>
        <w:rPr>
          <w:color w:val="334155"/>
        </w:rPr>
        <w:t>Introduce scheduled background quartz jobs to automatically compute and lock attendance at 23:59:59 on the last calendar day of the month.</w:t>
      </w:r>
    </w:p>
    <w:p>
      <w:pPr>
        <w:pStyle w:val="ListBullet"/>
        <w:spacing w:after="80"/>
      </w:pPr>
      <w:r>
        <w:rPr>
          <w:b/>
          <w:color w:val="0F172A"/>
        </w:rPr>
        <w:t xml:space="preserve">Redis Distributed Caching: </w:t>
      </w:r>
      <w:r>
        <w:rPr>
          <w:color w:val="334155"/>
        </w:rPr>
        <w:t>Implement Redis caching on read-heavy master catalog queries (Employee Master, Site Geofences, Designations) to reduce SQL query load by up to 70%.</w:t>
      </w:r>
    </w:p>
    <w:p>
      <w:pPr>
        <w:pStyle w:val="ListBullet"/>
        <w:spacing w:after="80"/>
      </w:pPr>
      <w:r>
        <w:rPr>
          <w:b/>
          <w:color w:val="0F172A"/>
        </w:rPr>
        <w:t xml:space="preserve">Push Notifications via Firebase (FCM): </w:t>
      </w:r>
      <w:r>
        <w:rPr>
          <w:color w:val="334155"/>
        </w:rPr>
        <w:t>Integrate Firebase Cloud Messaging in the mobile app to notify field engineers immediately when overtime is approved or when allowance claims are paid.</w:t>
      </w:r>
    </w:p>
    <w:p>
      <w:pPr>
        <w:pStyle w:val="ListBullet"/>
        <w:spacing w:after="80"/>
      </w:pPr>
      <w:r>
        <w:rPr>
          <w:b/>
          <w:color w:val="0F172A"/>
        </w:rPr>
        <w:t xml:space="preserve">Direct Bank API Integration: </w:t>
      </w:r>
      <w:r>
        <w:rPr>
          <w:color w:val="334155"/>
        </w:rPr>
        <w:t>Upgrade the current Bank Advice CSV export to direct REST / SFTP host-to-host clearing with Pakistani tier-1 commercial banks (HBL, Meezan, MCB).</w:t>
      </w:r>
    </w:p>
    <w:p>
      <w:pPr>
        <w:spacing w:after="280"/>
      </w:pPr>
    </w:p>
    <w:p>
      <w:pPr>
        <w:pStyle w:val="Heading1"/>
        <w:keepNext/>
        <w:spacing w:before="280" w:after="80"/>
      </w:pPr>
      <w:r>
        <w:rPr>
          <w:b/>
          <w:color w:val="0F172A"/>
          <w:sz w:val="36"/>
        </w:rPr>
        <w:t>10. Architectural Verdict &amp; Sign-Off</w:t>
      </w:r>
    </w:p>
    <w:p>
      <w:pPr>
        <w:spacing w:line="276" w:lineRule="auto" w:after="320"/>
      </w:pPr>
      <w:r>
        <w:t>Cosmix ERP represents a thoroughly engineered, robust, and mathematically sound enterprise resource planning system. The strict separation of domain concerns, coupled with zero-trust cryptographic fingerprinting and maker-checker dual controls, protects the organization against payroll fraud, ghost attendance, and retroactive record manipulation. The codebase demonstrates mature software craftsmanship, robust TypeScript and C# typing, comprehensive error boundaries, and production-grade readiness for nationwide engineering deployment.</w:t>
      </w:r>
    </w:p>
    <w:tbl>
      <w:tblPr>
        <w:tblW w:type="auto" w:w="0"/>
        <w:tblLook w:firstColumn="1" w:firstRow="1" w:lastColumn="0" w:lastRow="0" w:noHBand="0" w:noVBand="1" w:val="04A0"/>
      </w:tblPr>
      <w:tblGrid>
        <w:gridCol w:w="3120"/>
        <w:gridCol w:w="3120"/>
        <w:gridCol w:w="3120"/>
      </w:tblGrid>
      <w:tr>
        <w:tc>
          <w:tcPr>
            <w:tcW w:type="dxa" w:w="3168"/>
            <w:shd w:fill="0F172A"/>
            <w:tcMar>
              <w:top w:w="120" w:type="dxa"/>
              <w:bottom w:w="120" w:type="dxa"/>
              <w:left w:w="120" w:type="dxa"/>
              <w:right w:w="120" w:type="dxa"/>
            </w:tcMar>
          </w:tcPr>
          <w:p>
            <w:pPr>
              <w:jc w:val="left"/>
            </w:pPr>
            <w:r>
              <w:rPr>
                <w:b/>
                <w:color w:val="FFFFFF"/>
                <w:sz w:val="19"/>
              </w:rPr>
              <w:t>Lead Architect Review</w:t>
            </w:r>
          </w:p>
        </w:tc>
        <w:tc>
          <w:tcPr>
            <w:tcW w:type="dxa" w:w="3168"/>
            <w:shd w:fill="0F172A"/>
            <w:tcMar>
              <w:top w:w="120" w:type="dxa"/>
              <w:bottom w:w="120" w:type="dxa"/>
              <w:left w:w="120" w:type="dxa"/>
              <w:right w:w="120" w:type="dxa"/>
            </w:tcMar>
          </w:tcPr>
          <w:p>
            <w:pPr>
              <w:jc w:val="left"/>
            </w:pPr>
            <w:r>
              <w:rPr>
                <w:b/>
                <w:color w:val="FFFFFF"/>
                <w:sz w:val="19"/>
              </w:rPr>
              <w:t>Head of Engineering</w:t>
            </w:r>
          </w:p>
        </w:tc>
        <w:tc>
          <w:tcPr>
            <w:tcW w:type="dxa" w:w="3024"/>
            <w:shd w:fill="0F172A"/>
            <w:tcMar>
              <w:top w:w="120" w:type="dxa"/>
              <w:bottom w:w="120" w:type="dxa"/>
              <w:left w:w="120" w:type="dxa"/>
              <w:right w:w="120" w:type="dxa"/>
            </w:tcMar>
          </w:tcPr>
          <w:p>
            <w:pPr>
              <w:jc w:val="left"/>
            </w:pPr>
            <w:r>
              <w:rPr>
                <w:b/>
                <w:color w:val="FFFFFF"/>
                <w:sz w:val="19"/>
              </w:rPr>
              <w:t>Director of Human Resources</w:t>
            </w:r>
          </w:p>
        </w:tc>
      </w:tr>
      <w:tr>
        <w:tc>
          <w:tcPr>
            <w:tcW w:type="dxa" w:w="3168"/>
            <w:shd w:fill="FFFFFF"/>
            <w:tcMar>
              <w:top w:w="100" w:type="dxa"/>
              <w:bottom w:w="100" w:type="dxa"/>
              <w:left w:w="120" w:type="dxa"/>
              <w:right w:w="120" w:type="dxa"/>
            </w:tcMar>
            <w:shd w:fill="F8FAFC"/>
            <w:tcMar>
              <w:top w:w="140" w:type="dxa"/>
              <w:bottom w:w="140" w:type="dxa"/>
              <w:left w:w="120" w:type="dxa"/>
              <w:right w:w="120" w:type="dxa"/>
            </w:tcMar>
          </w:tcPr>
          <w:p>
            <w:r>
              <w:rPr>
                <w:color w:val="475569"/>
                <w:sz w:val="17"/>
              </w:rPr>
              <w:t>DeepMind Antigravity</w:t>
              <w:br/>
              <w:t>Architecture Pair Partner</w:t>
              <w:br/>
              <w:t>Status: APPROVED</w:t>
            </w:r>
          </w:p>
        </w:tc>
        <w:tc>
          <w:tcPr>
            <w:tcW w:type="dxa" w:w="3168"/>
            <w:shd w:fill="FFFFFF"/>
            <w:tcMar>
              <w:top w:w="100" w:type="dxa"/>
              <w:bottom w:w="100" w:type="dxa"/>
              <w:left w:w="120" w:type="dxa"/>
              <w:right w:w="120" w:type="dxa"/>
            </w:tcMar>
            <w:shd w:fill="F8FAFC"/>
            <w:tcMar>
              <w:top w:w="140" w:type="dxa"/>
              <w:bottom w:w="140" w:type="dxa"/>
              <w:left w:w="120" w:type="dxa"/>
              <w:right w:w="120" w:type="dxa"/>
            </w:tcMar>
          </w:tcPr>
          <w:p>
            <w:r>
              <w:rPr>
                <w:color w:val="475569"/>
                <w:sz w:val="17"/>
              </w:rPr>
              <w:t>Cosmix Engineering</w:t>
              <w:br/>
              <w:t>Head of Software Systems</w:t>
              <w:br/>
              <w:t>Status: VERIFIED</w:t>
            </w:r>
          </w:p>
        </w:tc>
        <w:tc>
          <w:tcPr>
            <w:tcW w:type="dxa" w:w="3024"/>
            <w:shd w:fill="FFFFFF"/>
            <w:tcMar>
              <w:top w:w="100" w:type="dxa"/>
              <w:bottom w:w="100" w:type="dxa"/>
              <w:left w:w="120" w:type="dxa"/>
              <w:right w:w="120" w:type="dxa"/>
            </w:tcMar>
            <w:shd w:fill="F8FAFC"/>
            <w:tcMar>
              <w:top w:w="140" w:type="dxa"/>
              <w:bottom w:w="140" w:type="dxa"/>
              <w:left w:w="120" w:type="dxa"/>
              <w:right w:w="120" w:type="dxa"/>
            </w:tcMar>
          </w:tcPr>
          <w:p>
            <w:r>
              <w:rPr>
                <w:color w:val="475569"/>
                <w:sz w:val="17"/>
              </w:rPr>
              <w:t>Cosmix HR Operations</w:t>
              <w:br/>
              <w:t>Executive Directorate</w:t>
              <w:br/>
              <w:t>Status: ACCEPTED</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94A3B8"/>
        <w:sz w:val="16"/>
      </w:rPr>
      <w:t>Confidential — Cosmix Engineering (Pvt.) Ltd.  |  Technical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COSMIX ERP SOFTWARE — Comprehensive Architecture &amp; Technical Deep-Dive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