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sz w:val="26"/>
        </w:rPr>
        <w:t>ONE-PAGE ARCHITECTURAL JUSTIFICATION</w:t>
      </w:r>
    </w:p>
    <w:p>
      <w:pPr>
        <w:spacing w:after="100"/>
      </w:pPr>
      <w:r>
        <w:rPr>
          <w:b/>
          <w:sz w:val="21"/>
        </w:rPr>
        <w:t>“We chose Layered Architecture for the OpenAPI Mock Server Generator.”</w:t>
      </w:r>
    </w:p>
    <w:p>
      <w:pPr>
        <w:spacing w:before="60" w:after="30"/>
      </w:pPr>
      <w:r>
        <w:rPr>
          <w:rFonts w:ascii="Arial" w:hAnsi="Arial"/>
          <w:b/>
          <w:sz w:val="22"/>
        </w:rPr>
        <w:t>Architectural Choice</w:t>
      </w:r>
    </w:p>
    <w:p>
      <w:pPr>
        <w:spacing w:after="60" w:line="240" w:lineRule="auto"/>
        <w:jc w:val="both"/>
      </w:pPr>
      <w:r>
        <w:t>The system is divided into a Presentation layer (Developer Interface / CLI), an Application layer (Mock Server Manager), Domain Services (OpenAPI Processor and Response &amp; Latency Engine), and an Infrastructure layer (Mock Runtime Engine). These five components communicate through four explicit interfaces.</w:t>
      </w:r>
    </w:p>
    <w:p>
      <w:pPr>
        <w:spacing w:before="60" w:after="30"/>
      </w:pPr>
      <w:r>
        <w:rPr>
          <w:rFonts w:ascii="Arial" w:hAnsi="Arial"/>
          <w:b/>
          <w:sz w:val="22"/>
        </w:rPr>
        <w:t>Reason 1 — Direct fit with the processing workflow</w:t>
      </w:r>
    </w:p>
    <w:p>
      <w:pPr>
        <w:spacing w:after="60" w:line="240" w:lineRule="auto"/>
        <w:jc w:val="both"/>
      </w:pPr>
      <w:r>
        <w:t>The product receives a specification, validates and normalizes it, compiles routes, starts the HTTP runtime, and simulates responses. Layer boundaries match these stages and allow the parser, response generator and runtime to be tested independently.</w:t>
      </w:r>
    </w:p>
    <w:p>
      <w:pPr>
        <w:spacing w:before="60" w:after="30"/>
      </w:pPr>
      <w:r>
        <w:rPr>
          <w:rFonts w:ascii="Arial" w:hAnsi="Arial"/>
          <w:b/>
          <w:sz w:val="22"/>
        </w:rPr>
        <w:t>Reason 2 — Appropriate deployment complexity</w:t>
      </w:r>
    </w:p>
    <w:p>
      <w:pPr>
        <w:spacing w:after="60" w:line="240" w:lineRule="auto"/>
        <w:jc w:val="both"/>
      </w:pPr>
      <w:r>
        <w:t>The assigned system is a developer tool rather than a large distributed business platform. A single layered application is simpler to install, configure and debug than several microservices, while providing better separation of concerns than a basic client–server split.</w:t>
      </w:r>
    </w:p>
    <w:p>
      <w:pPr>
        <w:spacing w:before="60" w:after="30"/>
      </w:pPr>
      <w:r>
        <w:rPr>
          <w:rFonts w:ascii="Arial" w:hAnsi="Arial"/>
          <w:b/>
          <w:sz w:val="22"/>
        </w:rPr>
        <w:t>Security Advantage</w:t>
      </w:r>
    </w:p>
    <w:p>
      <w:pPr>
        <w:spacing w:after="60" w:line="240" w:lineRule="auto"/>
        <w:jc w:val="both"/>
      </w:pPr>
      <w:r>
        <w:t>Layering creates a validation trust boundary. Untrusted YAML/JSON is treated only as data and must pass structural, schema and permitted-reference checks in the OpenAPI Processor before the Manager installs routes. Bounded input, fail-closed behaviour and sanitized diagnostics reduce denial-of-service, code-execution and information-disclosure risks.</w:t>
      </w:r>
    </w:p>
    <w:p>
      <w:pPr>
        <w:spacing w:before="60" w:after="30"/>
      </w:pPr>
      <w:r>
        <w:rPr>
          <w:rFonts w:ascii="Arial" w:hAnsi="Arial"/>
          <w:b/>
          <w:sz w:val="22"/>
        </w:rPr>
        <w:t>Performance Benefit</w:t>
      </w:r>
    </w:p>
    <w:p>
      <w:pPr>
        <w:spacing w:after="60" w:line="240" w:lineRule="auto"/>
        <w:jc w:val="both"/>
      </w:pPr>
      <w:r>
        <w:t>In-process calls avoid the network serialization and service-discovery overhead of microservices. Routes and validators are compiled once and reused from an immutable in-memory model. Asynchronous I/O and non-blocking delay timers support at least 1,000 requests per second while maintaining configured latency within ±10 ms.</w:t>
      </w:r>
    </w:p>
    <w:p>
      <w:pPr>
        <w:spacing w:before="60" w:after="30"/>
      </w:pPr>
      <w:r>
        <w:rPr>
          <w:rFonts w:ascii="Arial" w:hAnsi="Arial"/>
          <w:b/>
          <w:sz w:val="22"/>
        </w:rPr>
        <w:t>Trade-off and Mitigation</w:t>
      </w:r>
    </w:p>
    <w:p>
      <w:pPr>
        <w:spacing w:after="60" w:line="240" w:lineRule="auto"/>
        <w:jc w:val="both"/>
      </w:pPr>
      <w:r>
        <w:t>Layer traversal and an overly central Manager could add overhead or coupling. Interfaces are therefore kept narrow, schemas and routes are compiled before traffic is served, and request-time processing does not pass through the presentation layer.</w:t>
      </w:r>
    </w:p>
    <w:p>
      <w:pPr>
        <w:spacing w:before="60" w:after="30"/>
      </w:pPr>
      <w:r>
        <w:rPr>
          <w:rFonts w:ascii="Arial" w:hAnsi="Arial"/>
          <w:b/>
          <w:sz w:val="22"/>
        </w:rPr>
        <w:t>Conclusion</w:t>
      </w:r>
    </w:p>
    <w:p>
      <w:pPr>
        <w:spacing w:after="60" w:line="240" w:lineRule="auto"/>
        <w:jc w:val="both"/>
      </w:pPr>
      <w:r>
        <w:t>Layered Architecture offers the best balance of clarity, security, testability, deployment simplicity and performance for Problem Statement #41. The five-component, four-interface model directly realizes the requirements established in Lab 1 and the work planned in Lab 2.</w:t>
      </w:r>
    </w:p>
    <w:sectPr w:rsidR="00FC693F" w:rsidRPr="0006063C" w:rsidSect="00034616">
      <w:headerReference w:type="default" r:id="rId9"/>
      <w:pgSz w:w="12240" w:h="15840"/>
      <w:pgMar w:top="648" w:right="936" w:bottom="648" w:left="936" w:header="259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96"/>
      <w:gridCol w:w="5184"/>
    </w:tblGrid>
    <w:tr>
      <w:tc>
        <w:tcPr>
          <w:tcW w:type="dxa" w:w="504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956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es_logo_col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956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vAlign w:val="center"/>
        </w:tcPr>
        <w:p>
          <w:pPr>
            <w:jc w:val="right"/>
          </w:pPr>
          <w:r>
            <w:rPr>
              <w:rFonts w:ascii="Arial" w:hAnsi="Arial"/>
              <w:b/>
              <w:sz w:val="20"/>
            </w:rPr>
            <w:t>UE24CS341A</w:t>
          </w:r>
          <w:r>
            <w:rPr>
              <w:rFonts w:ascii="Arial" w:hAnsi="Arial"/>
              <w:sz w:val="15"/>
            </w:rPr>
            <w:br/>
            <w:t>SOFTWARE ENGINEERING</w:t>
          </w:r>
        </w:p>
      </w:tc>
    </w:tr>
  </w:tbl>
  <w:p>
    <w:pPr>
      <w:spacing w:after="40"/>
      <w:pBdr>
        <w:bottom w:val="single" w:sz="6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