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0"/>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59669"/>
                <w:sz w:val="20"/>
              </w:rPr>
              <w:t>ABSTRACT</w:t>
              <w:br/>
            </w:r>
            <w:r>
              <w:rPr>
                <w:rFonts w:ascii="Cambria" w:hAnsi="Cambria"/>
                <w:i/>
                <w:color w:val="1E293B"/>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high-level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4,096 parallel trajectory rollouts via WebGPU compute shaders, augmented by an online Physics-Informed Neural Network (PINN) residual observer. We evaluate the architecture on an exothermic Continuous Stirred-Tank Reactor (CSTR) undergoing non-linear kinetic surges across a fully reproducible, newly re-simulated benchmark suite spanning 20 randomized seeds with varying surge magnitudes (C_A0 in [+10%, +30%], T_0 in [+5 K, +12 K], UA in [-10%, -35%]) and advance-warning lead times. An exact oracle feasibility analysis demonstrates that with zero advance warning, the combined jacket transport delay (tau_j = 2.0 s) and valve slew limit (12 K/s) physically prevent avoiding thermal runaway (T_max = 444.9 K), whereas an advance supervisory runbook advisory providing t_lead &gt;= 3.5 s enables stable thermal containment (T_max &lt;= 369.3 K). Benchmarked under identical forecast previews, MPPI with forecast preview achieves 1.14 ± 0.54 K RMSE (0 trips), and full Agentic MPC achieves 1.35 ± 0.43 K (peak temperature 352.4 ± 0.7 K, 0 trips), demonstrating that preview lookahead is the primary numerical stabilizer, while the agentic layer's critical function is translating high-level operator directives, validating contract constraints, and orchestrating contextual pre-cooling runbooks. Across 50 operator directives, a confusion-matrix evaluation demonstrates 38/40 valid directives accepted (95.0%) and 10/10 adversarial proposals rejected (100% intercepted).</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neural network formulations (Raissi et al., 2019) have inspired domain-constrained residual observers that embed conservation laws into state estimation.</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6.4 s). When future disturbances are known in advance, mathematical solvers with preview can naturally pre-actuate within their horizon. However, in actual plant operations, forecasts arrive as qualitative operational notes or upstream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cost manifold parameters θ_M = {Q_temp, R_coolant, Hp, T_barrier}.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w:t>
      </w:r>
    </w:p>
    <w:p>
      <w:pPr>
        <w:spacing w:before="80" w:after="80"/>
        <w:ind w:left="432"/>
      </w:pPr>
      <w:r>
        <w:rPr>
          <w:rFonts w:ascii="Cambria Math" w:hAnsi="Cambria Math"/>
          <w:i/>
          <w:color w:val="0F172A"/>
          <w:sz w:val="21"/>
        </w:rPr>
        <w:t>min_U  ∑_{k=0}^{Hp-1} [ ||x_k - r_k||_Q^2 + ||u_k||_R^2 ] + ||x_{Hp} - r_{Hp}||_P^2</w:t>
      </w:r>
      <w:r>
        <w:rPr>
          <w:rFonts w:ascii="Calibri" w:hAnsi="Calibri"/>
          <w:color w:val="64748B"/>
          <w:sz w:val="19"/>
        </w:rPr>
        <w:t xml:space="preserve">    </w:t>
        <w:tab/>
        <w:t>(1)</w:t>
      </w:r>
    </w:p>
    <w:p>
      <w:pPr>
        <w:spacing w:before="80" w:after="80"/>
        <w:ind w:left="432"/>
      </w:pPr>
      <w:r>
        <w:rPr>
          <w:rFonts w:ascii="Cambria Math" w:hAnsi="Cambria Math"/>
          <w:i/>
          <w:color w:val="0F172A"/>
          <w:sz w:val="21"/>
        </w:rPr>
        <w:t>subject to:  x_{k+1} = A x_k + B u_k,   u_min &lt;= u_k &lt;= u_max,   x_min &lt;= x_k &lt;= x_max</w:t>
      </w:r>
      <w:r>
        <w:rPr>
          <w:rFonts w:ascii="Calibri" w:hAnsi="Calibri"/>
          <w:color w:val="64748B"/>
          <w:sz w:val="19"/>
        </w:rPr>
        <w:t xml:space="preserve">    </w:t>
        <w:tab/>
        <w:t>(2)</w:t>
      </w:r>
    </w:p>
    <w:p>
      <w:pPr>
        <w:pStyle w:val="Heading2"/>
        <w:keepNext/>
        <w:spacing w:before="240" w:after="80"/>
      </w:pPr>
      <w:r>
        <w:rPr>
          <w:rFonts w:ascii="Calibri" w:hAnsi="Calibri"/>
          <w:b/>
          <w:color w:val="1E293B"/>
          <w:sz w:val="24"/>
        </w:rPr>
        <w:t>3.2 Model Predictive Path Integral (MPPI) Formulation</w:t>
      </w:r>
    </w:p>
    <w:p>
      <w:pPr>
        <w:spacing w:before="80" w:after="80"/>
        <w:ind w:left="432"/>
      </w:pPr>
      <w:r>
        <w:rPr>
          <w:rFonts w:ascii="Cambria Math" w:hAnsi="Cambria Math"/>
          <w:i/>
          <w:color w:val="0F172A"/>
          <w:sz w:val="21"/>
        </w:rPr>
        <w:t>x_{k+1} = f(x_k, v_k) + Δ_PINN(x_k, v_k),    where  v_k = u_k + ε_k,   ε_k ~ N(0, Σ)</w:t>
      </w:r>
      <w:r>
        <w:rPr>
          <w:rFonts w:ascii="Calibri" w:hAnsi="Calibri"/>
          <w:color w:val="64748B"/>
          <w:sz w:val="19"/>
        </w:rPr>
        <w:t xml:space="preserve">    </w:t>
        <w:tab/>
        <w:t>(3)</w:t>
      </w:r>
    </w:p>
    <w:p>
      <w:pPr>
        <w:spacing w:before="80" w:after="80"/>
        <w:ind w:left="432"/>
      </w:pPr>
      <w:r>
        <w:rPr>
          <w:rFonts w:ascii="Cambria Math" w:hAnsi="Cambria Math"/>
          <w:i/>
          <w:color w:val="0F172A"/>
          <w:sz w:val="21"/>
        </w:rPr>
        <w:t>S(U^{(m)}) = ∑_{k=0}^{Hp-1} [ Q_temp (T_k - T_ref)^2 + R_coolant (u_k - u_base)^2 + B(T_k; T_barrier) ] + φ(x_{Hp})</w:t>
      </w:r>
      <w:r>
        <w:rPr>
          <w:rFonts w:ascii="Calibri" w:hAnsi="Calibri"/>
          <w:color w:val="64748B"/>
          <w:sz w:val="19"/>
        </w:rPr>
        <w:t xml:space="preserve">    </w:t>
        <w:tab/>
        <w:t>(4)</w:t>
      </w:r>
    </w:p>
    <w:p>
      <w:pPr>
        <w:spacing w:before="80" w:after="80"/>
        <w:ind w:left="432"/>
      </w:pPr>
      <w:r>
        <w:rPr>
          <w:rFonts w:ascii="Cambria Math" w:hAnsi="Cambria Math"/>
          <w:i/>
          <w:color w:val="0F172A"/>
          <w:sz w:val="21"/>
        </w:rPr>
        <w:t>B(T; T_barrier) = { 0  if T &lt;= T_barrier;   α exp(β (T - T_barrier))  if T &gt; T_barrier }</w:t>
      </w:r>
      <w:r>
        <w:rPr>
          <w:rFonts w:ascii="Calibri" w:hAnsi="Calibri"/>
          <w:color w:val="64748B"/>
          <w:sz w:val="19"/>
        </w:rPr>
        <w:t xml:space="preserve">    </w:t>
        <w:tab/>
        <w:t>(5)</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Exact Oracle Feasibility Benchmark</w:t>
      </w:r>
    </w:p>
    <w:p>
      <w:r>
        <w:t>To resolve the physical controllability limits under actuator saturation (T_c &gt;= 280 K, slew &lt;= 12 K/s), we simulated the exact nonlinear CSTR equations under the benchmark kinetic surge with an ideal Oracle controller:</w:t>
      </w:r>
    </w:p>
    <w:tbl>
      <w:tblPr>
        <w:tblW w:type="auto" w:w="0"/>
        <w:jc w:val="center"/>
        <w:tblLook w:firstColumn="1" w:firstRow="1" w:lastColumn="0" w:lastRow="0" w:noHBand="0" w:noVBand="1" w:val="04A0"/>
      </w:tblPr>
      <w:tblGrid>
        <w:gridCol w:w="2340"/>
        <w:gridCol w:w="2340"/>
        <w:gridCol w:w="2340"/>
        <w:gridCol w:w="2340"/>
      </w:tblGrid>
      <w:tr>
        <w:tc>
          <w:tcPr>
            <w:tcW w:type="dxa" w:w="2160"/>
            <w:shd w:fill="1E293B"/>
            <w:tcMar>
              <w:top w:w="100" w:type="dxa"/>
              <w:bottom w:w="100" w:type="dxa"/>
              <w:left w:w="120" w:type="dxa"/>
              <w:right w:w="120" w:type="dxa"/>
            </w:tcMar>
          </w:tcPr>
          <w:p>
            <w:pPr>
              <w:jc w:val="left"/>
            </w:pPr>
            <w:r>
              <w:rPr>
                <w:rFonts w:ascii="Calibri" w:hAnsi="Calibri"/>
                <w:b/>
                <w:color w:val="FFFFFF"/>
                <w:sz w:val="18"/>
              </w:rPr>
              <w:t>Lead Time t_lead</w:t>
            </w:r>
          </w:p>
        </w:tc>
        <w:tc>
          <w:tcPr>
            <w:tcW w:type="dxa" w:w="2016"/>
            <w:shd w:fill="1E293B"/>
            <w:tcMar>
              <w:top w:w="100" w:type="dxa"/>
              <w:bottom w:w="100" w:type="dxa"/>
              <w:left w:w="120" w:type="dxa"/>
              <w:right w:w="120" w:type="dxa"/>
            </w:tcMar>
          </w:tcPr>
          <w:p>
            <w:pPr>
              <w:jc w:val="left"/>
            </w:pPr>
            <w:r>
              <w:rPr>
                <w:rFonts w:ascii="Calibri" w:hAnsi="Calibri"/>
                <w:b/>
                <w:color w:val="FFFFFF"/>
                <w:sz w:val="18"/>
              </w:rPr>
              <w:t>Peak Temp T_max (K)</w:t>
            </w:r>
          </w:p>
        </w:tc>
        <w:tc>
          <w:tcPr>
            <w:tcW w:type="dxa" w:w="2016"/>
            <w:shd w:fill="1E293B"/>
            <w:tcMar>
              <w:top w:w="100" w:type="dxa"/>
              <w:bottom w:w="100" w:type="dxa"/>
              <w:left w:w="120" w:type="dxa"/>
              <w:right w:w="120" w:type="dxa"/>
            </w:tcMar>
          </w:tcPr>
          <w:p>
            <w:pPr>
              <w:jc w:val="left"/>
            </w:pPr>
            <w:r>
              <w:rPr>
                <w:rFonts w:ascii="Calibri" w:hAnsi="Calibri"/>
                <w:b/>
                <w:color w:val="FFFFFF"/>
                <w:sz w:val="18"/>
              </w:rPr>
              <w:t>SIS Trip (&gt;= 385.0 K)</w:t>
            </w:r>
          </w:p>
        </w:tc>
        <w:tc>
          <w:tcPr>
            <w:tcW w:type="dxa" w:w="3888"/>
            <w:shd w:fill="1E293B"/>
            <w:tcMar>
              <w:top w:w="100" w:type="dxa"/>
              <w:bottom w:w="100" w:type="dxa"/>
              <w:left w:w="120" w:type="dxa"/>
              <w:right w:w="120" w:type="dxa"/>
            </w:tcMar>
          </w:tcPr>
          <w:p>
            <w:pPr>
              <w:jc w:val="left"/>
            </w:pPr>
            <w:r>
              <w:rPr>
                <w:rFonts w:ascii="Calibri" w:hAnsi="Calibri"/>
                <w:b/>
                <w:color w:val="FFFFFF"/>
                <w:sz w:val="18"/>
              </w:rPr>
              <w:t>Outcome</w:t>
            </w:r>
          </w:p>
        </w:tc>
      </w:tr>
      <w:tr>
        <w:tc>
          <w:tcPr>
            <w:tcW w:type="dxa" w:w="2160"/>
            <w:shd w:fill="FFFFFF"/>
            <w:tcMar>
              <w:top w:w="80" w:type="dxa"/>
              <w:bottom w:w="80" w:type="dxa"/>
              <w:left w:w="120" w:type="dxa"/>
              <w:right w:w="120" w:type="dxa"/>
            </w:tcMar>
          </w:tcPr>
          <w:p>
            <w:pPr>
              <w:jc w:val="left"/>
            </w:pPr>
            <w:r>
              <w:rPr>
                <w:rFonts w:ascii="Calibri" w:hAnsi="Calibri"/>
                <w:color w:val="0F172A"/>
                <w:sz w:val="17"/>
              </w:rPr>
              <w:t>0.0 s (Reaction at Onset)</w:t>
            </w:r>
          </w:p>
        </w:tc>
        <w:tc>
          <w:tcPr>
            <w:tcW w:type="dxa" w:w="2016"/>
            <w:shd w:fill="FFFFFF"/>
            <w:tcMar>
              <w:top w:w="80" w:type="dxa"/>
              <w:bottom w:w="80" w:type="dxa"/>
              <w:left w:w="120" w:type="dxa"/>
              <w:right w:w="120" w:type="dxa"/>
            </w:tcMar>
          </w:tcPr>
          <w:p>
            <w:pPr>
              <w:jc w:val="left"/>
            </w:pPr>
            <w:r>
              <w:rPr>
                <w:rFonts w:ascii="Calibri" w:hAnsi="Calibri"/>
                <w:color w:val="0F172A"/>
                <w:sz w:val="17"/>
              </w:rPr>
              <w:t>444.9 K</w:t>
            </w:r>
          </w:p>
        </w:tc>
        <w:tc>
          <w:tcPr>
            <w:tcW w:type="dxa" w:w="2016"/>
            <w:shd w:fill="FFFFFF"/>
            <w:tcMar>
              <w:top w:w="80" w:type="dxa"/>
              <w:bottom w:w="80" w:type="dxa"/>
              <w:left w:w="120" w:type="dxa"/>
              <w:right w:w="120" w:type="dxa"/>
            </w:tcMar>
          </w:tcPr>
          <w:p>
            <w:pPr>
              <w:jc w:val="left"/>
            </w:pPr>
            <w:r>
              <w:rPr>
                <w:rFonts w:ascii="Calibri" w:hAnsi="Calibri"/>
                <w:color w:val="0F172A"/>
                <w:sz w:val="17"/>
              </w:rPr>
              <w:t>TRIP (Breached)</w:t>
            </w:r>
          </w:p>
        </w:tc>
        <w:tc>
          <w:tcPr>
            <w:tcW w:type="dxa" w:w="3888"/>
            <w:shd w:fill="FFFFFF"/>
            <w:tcMar>
              <w:top w:w="80" w:type="dxa"/>
              <w:bottom w:w="80" w:type="dxa"/>
              <w:left w:w="120" w:type="dxa"/>
              <w:right w:w="120" w:type="dxa"/>
            </w:tcMar>
          </w:tcPr>
          <w:p>
            <w:pPr>
              <w:jc w:val="left"/>
            </w:pPr>
            <w:r>
              <w:rPr>
                <w:rFonts w:ascii="Calibri" w:hAnsi="Calibri"/>
                <w:color w:val="0F172A"/>
                <w:sz w:val="17"/>
              </w:rPr>
              <w:t>Unsurvivable runaway due to jacket lag (tau_j = 2 s) &amp; slew cap</w:t>
            </w:r>
          </w:p>
        </w:tc>
      </w:tr>
      <w:tr>
        <w:tc>
          <w:tcPr>
            <w:tcW w:type="dxa" w:w="2160"/>
            <w:shd w:fill="F8FAFC"/>
            <w:tcMar>
              <w:top w:w="80" w:type="dxa"/>
              <w:bottom w:w="80" w:type="dxa"/>
              <w:left w:w="120" w:type="dxa"/>
              <w:right w:w="120" w:type="dxa"/>
            </w:tcMar>
          </w:tcPr>
          <w:p>
            <w:pPr>
              <w:jc w:val="left"/>
            </w:pPr>
            <w:r>
              <w:rPr>
                <w:rFonts w:ascii="Calibri" w:hAnsi="Calibri"/>
                <w:color w:val="0F172A"/>
                <w:sz w:val="17"/>
              </w:rPr>
              <w:t>1.0 s Lead Time</w:t>
            </w:r>
          </w:p>
        </w:tc>
        <w:tc>
          <w:tcPr>
            <w:tcW w:type="dxa" w:w="2016"/>
            <w:shd w:fill="F8FAFC"/>
            <w:tcMar>
              <w:top w:w="80" w:type="dxa"/>
              <w:bottom w:w="80" w:type="dxa"/>
              <w:left w:w="120" w:type="dxa"/>
              <w:right w:w="120" w:type="dxa"/>
            </w:tcMar>
          </w:tcPr>
          <w:p>
            <w:pPr>
              <w:jc w:val="left"/>
            </w:pPr>
            <w:r>
              <w:rPr>
                <w:rFonts w:ascii="Calibri" w:hAnsi="Calibri"/>
                <w:color w:val="0F172A"/>
                <w:sz w:val="17"/>
              </w:rPr>
              <w:t>443.4 K</w:t>
            </w:r>
          </w:p>
        </w:tc>
        <w:tc>
          <w:tcPr>
            <w:tcW w:type="dxa" w:w="2016"/>
            <w:shd w:fill="F8FAFC"/>
            <w:tcMar>
              <w:top w:w="80" w:type="dxa"/>
              <w:bottom w:w="80" w:type="dxa"/>
              <w:left w:w="120" w:type="dxa"/>
              <w:right w:w="120" w:type="dxa"/>
            </w:tcMar>
          </w:tcPr>
          <w:p>
            <w:pPr>
              <w:jc w:val="left"/>
            </w:pPr>
            <w:r>
              <w:rPr>
                <w:rFonts w:ascii="Calibri" w:hAnsi="Calibri"/>
                <w:color w:val="0F172A"/>
                <w:sz w:val="17"/>
              </w:rPr>
              <w:t>TRIP (Breached)</w:t>
            </w:r>
          </w:p>
        </w:tc>
        <w:tc>
          <w:tcPr>
            <w:tcW w:type="dxa" w:w="3888"/>
            <w:shd w:fill="F8FAFC"/>
            <w:tcMar>
              <w:top w:w="80" w:type="dxa"/>
              <w:bottom w:w="80" w:type="dxa"/>
              <w:left w:w="120" w:type="dxa"/>
              <w:right w:w="120" w:type="dxa"/>
            </w:tcMar>
          </w:tcPr>
          <w:p>
            <w:pPr>
              <w:jc w:val="left"/>
            </w:pPr>
            <w:r>
              <w:rPr>
                <w:rFonts w:ascii="Calibri" w:hAnsi="Calibri"/>
                <w:color w:val="0F172A"/>
                <w:sz w:val="17"/>
              </w:rPr>
              <w:t>Insufficient thermal extraction ahead of exponential surge</w:t>
            </w:r>
          </w:p>
        </w:tc>
      </w:tr>
      <w:tr>
        <w:tc>
          <w:tcPr>
            <w:tcW w:type="dxa" w:w="2160"/>
            <w:shd w:fill="FFFFFF"/>
            <w:tcMar>
              <w:top w:w="80" w:type="dxa"/>
              <w:bottom w:w="80" w:type="dxa"/>
              <w:left w:w="120" w:type="dxa"/>
              <w:right w:w="120" w:type="dxa"/>
            </w:tcMar>
          </w:tcPr>
          <w:p>
            <w:pPr>
              <w:jc w:val="left"/>
            </w:pPr>
            <w:r>
              <w:rPr>
                <w:rFonts w:ascii="Calibri" w:hAnsi="Calibri"/>
                <w:color w:val="0F172A"/>
                <w:sz w:val="17"/>
              </w:rPr>
              <w:t>2.0 s Lead Time</w:t>
            </w:r>
          </w:p>
        </w:tc>
        <w:tc>
          <w:tcPr>
            <w:tcW w:type="dxa" w:w="2016"/>
            <w:shd w:fill="FFFFFF"/>
            <w:tcMar>
              <w:top w:w="80" w:type="dxa"/>
              <w:bottom w:w="80" w:type="dxa"/>
              <w:left w:w="120" w:type="dxa"/>
              <w:right w:w="120" w:type="dxa"/>
            </w:tcMar>
          </w:tcPr>
          <w:p>
            <w:pPr>
              <w:jc w:val="left"/>
            </w:pPr>
            <w:r>
              <w:rPr>
                <w:rFonts w:ascii="Calibri" w:hAnsi="Calibri"/>
                <w:color w:val="0F172A"/>
                <w:sz w:val="17"/>
              </w:rPr>
              <w:t>441.6 K</w:t>
            </w:r>
          </w:p>
        </w:tc>
        <w:tc>
          <w:tcPr>
            <w:tcW w:type="dxa" w:w="2016"/>
            <w:shd w:fill="FFFFFF"/>
            <w:tcMar>
              <w:top w:w="80" w:type="dxa"/>
              <w:bottom w:w="80" w:type="dxa"/>
              <w:left w:w="120" w:type="dxa"/>
              <w:right w:w="120" w:type="dxa"/>
            </w:tcMar>
          </w:tcPr>
          <w:p>
            <w:pPr>
              <w:jc w:val="left"/>
            </w:pPr>
            <w:r>
              <w:rPr>
                <w:rFonts w:ascii="Calibri" w:hAnsi="Calibri"/>
                <w:color w:val="0F172A"/>
                <w:sz w:val="17"/>
              </w:rPr>
              <w:t>TRIP (Breached)</w:t>
            </w:r>
          </w:p>
        </w:tc>
        <w:tc>
          <w:tcPr>
            <w:tcW w:type="dxa" w:w="3888"/>
            <w:shd w:fill="FFFFFF"/>
            <w:tcMar>
              <w:top w:w="80" w:type="dxa"/>
              <w:bottom w:w="80" w:type="dxa"/>
              <w:left w:w="120" w:type="dxa"/>
              <w:right w:w="120" w:type="dxa"/>
            </w:tcMar>
          </w:tcPr>
          <w:p>
            <w:pPr>
              <w:jc w:val="left"/>
            </w:pPr>
            <w:r>
              <w:rPr>
                <w:rFonts w:ascii="Calibri" w:hAnsi="Calibri"/>
                <w:color w:val="0F172A"/>
                <w:sz w:val="17"/>
              </w:rPr>
              <w:t>Coolant reaches jacket but does not overcome reactor thermal inertia</w:t>
            </w:r>
          </w:p>
        </w:tc>
      </w:tr>
      <w:tr>
        <w:tc>
          <w:tcPr>
            <w:tcW w:type="dxa" w:w="2160"/>
            <w:shd w:fill="F8FAFC"/>
            <w:tcMar>
              <w:top w:w="80" w:type="dxa"/>
              <w:bottom w:w="80" w:type="dxa"/>
              <w:left w:w="120" w:type="dxa"/>
              <w:right w:w="120" w:type="dxa"/>
            </w:tcMar>
          </w:tcPr>
          <w:p>
            <w:pPr>
              <w:jc w:val="left"/>
            </w:pPr>
            <w:r>
              <w:rPr>
                <w:rFonts w:ascii="Calibri" w:hAnsi="Calibri"/>
                <w:color w:val="0F172A"/>
                <w:sz w:val="17"/>
              </w:rPr>
              <w:t>3.0 s Lead Time</w:t>
            </w:r>
          </w:p>
        </w:tc>
        <w:tc>
          <w:tcPr>
            <w:tcW w:type="dxa" w:w="2016"/>
            <w:shd w:fill="F8FAFC"/>
            <w:tcMar>
              <w:top w:w="80" w:type="dxa"/>
              <w:bottom w:w="80" w:type="dxa"/>
              <w:left w:w="120" w:type="dxa"/>
              <w:right w:w="120" w:type="dxa"/>
            </w:tcMar>
          </w:tcPr>
          <w:p>
            <w:pPr>
              <w:jc w:val="left"/>
            </w:pPr>
            <w:r>
              <w:rPr>
                <w:rFonts w:ascii="Calibri" w:hAnsi="Calibri"/>
                <w:color w:val="0F172A"/>
                <w:sz w:val="17"/>
              </w:rPr>
              <w:t>439.6 K</w:t>
            </w:r>
          </w:p>
        </w:tc>
        <w:tc>
          <w:tcPr>
            <w:tcW w:type="dxa" w:w="2016"/>
            <w:shd w:fill="F8FAFC"/>
            <w:tcMar>
              <w:top w:w="80" w:type="dxa"/>
              <w:bottom w:w="80" w:type="dxa"/>
              <w:left w:w="120" w:type="dxa"/>
              <w:right w:w="120" w:type="dxa"/>
            </w:tcMar>
          </w:tcPr>
          <w:p>
            <w:pPr>
              <w:jc w:val="left"/>
            </w:pPr>
            <w:r>
              <w:rPr>
                <w:rFonts w:ascii="Calibri" w:hAnsi="Calibri"/>
                <w:color w:val="0F172A"/>
                <w:sz w:val="17"/>
              </w:rPr>
              <w:t>TRIP (Breached)</w:t>
            </w:r>
          </w:p>
        </w:tc>
        <w:tc>
          <w:tcPr>
            <w:tcW w:type="dxa" w:w="3888"/>
            <w:shd w:fill="F8FAFC"/>
            <w:tcMar>
              <w:top w:w="80" w:type="dxa"/>
              <w:bottom w:w="80" w:type="dxa"/>
              <w:left w:w="120" w:type="dxa"/>
              <w:right w:w="120" w:type="dxa"/>
            </w:tcMar>
          </w:tcPr>
          <w:p>
            <w:pPr>
              <w:jc w:val="left"/>
            </w:pPr>
            <w:r>
              <w:rPr>
                <w:rFonts w:ascii="Calibri" w:hAnsi="Calibri"/>
                <w:color w:val="0F172A"/>
                <w:sz w:val="17"/>
              </w:rPr>
              <w:t>Close to bifurcation boundary</w:t>
            </w:r>
          </w:p>
        </w:tc>
      </w:tr>
      <w:tr>
        <w:tc>
          <w:tcPr>
            <w:tcW w:type="dxa" w:w="2160"/>
            <w:shd w:fill="FFFFFF"/>
            <w:tcMar>
              <w:top w:w="80" w:type="dxa"/>
              <w:bottom w:w="80" w:type="dxa"/>
              <w:left w:w="120" w:type="dxa"/>
              <w:right w:w="120" w:type="dxa"/>
            </w:tcMar>
          </w:tcPr>
          <w:p>
            <w:pPr>
              <w:jc w:val="left"/>
            </w:pPr>
            <w:r>
              <w:rPr>
                <w:rFonts w:ascii="Calibri" w:hAnsi="Calibri"/>
                <w:color w:val="0F172A"/>
                <w:sz w:val="17"/>
              </w:rPr>
              <w:t>3.2 s Lead Time</w:t>
            </w:r>
          </w:p>
        </w:tc>
        <w:tc>
          <w:tcPr>
            <w:tcW w:type="dxa" w:w="2016"/>
            <w:shd w:fill="FFFFFF"/>
            <w:tcMar>
              <w:top w:w="80" w:type="dxa"/>
              <w:bottom w:w="80" w:type="dxa"/>
              <w:left w:w="120" w:type="dxa"/>
              <w:right w:w="120" w:type="dxa"/>
            </w:tcMar>
          </w:tcPr>
          <w:p>
            <w:pPr>
              <w:jc w:val="left"/>
            </w:pPr>
            <w:r>
              <w:rPr>
                <w:rFonts w:ascii="Calibri" w:hAnsi="Calibri"/>
                <w:color w:val="0F172A"/>
                <w:sz w:val="17"/>
              </w:rPr>
              <w:t>419.4 K</w:t>
            </w:r>
          </w:p>
        </w:tc>
        <w:tc>
          <w:tcPr>
            <w:tcW w:type="dxa" w:w="2016"/>
            <w:shd w:fill="FFFFFF"/>
            <w:tcMar>
              <w:top w:w="80" w:type="dxa"/>
              <w:bottom w:w="80" w:type="dxa"/>
              <w:left w:w="120" w:type="dxa"/>
              <w:right w:w="120" w:type="dxa"/>
            </w:tcMar>
          </w:tcPr>
          <w:p>
            <w:pPr>
              <w:jc w:val="left"/>
            </w:pPr>
            <w:r>
              <w:rPr>
                <w:rFonts w:ascii="Calibri" w:hAnsi="Calibri"/>
                <w:color w:val="0F172A"/>
                <w:sz w:val="17"/>
              </w:rPr>
              <w:t>TRIP (Breached)</w:t>
            </w:r>
          </w:p>
        </w:tc>
        <w:tc>
          <w:tcPr>
            <w:tcW w:type="dxa" w:w="3888"/>
            <w:shd w:fill="FFFFFF"/>
            <w:tcMar>
              <w:top w:w="80" w:type="dxa"/>
              <w:bottom w:w="80" w:type="dxa"/>
              <w:left w:w="120" w:type="dxa"/>
              <w:right w:w="120" w:type="dxa"/>
            </w:tcMar>
          </w:tcPr>
          <w:p>
            <w:pPr>
              <w:jc w:val="left"/>
            </w:pPr>
            <w:r>
              <w:rPr>
                <w:rFonts w:ascii="Calibri" w:hAnsi="Calibri"/>
                <w:color w:val="0F172A"/>
                <w:sz w:val="17"/>
              </w:rPr>
              <w:t>Dynamic boundary threshold</w:t>
            </w:r>
          </w:p>
        </w:tc>
      </w:tr>
      <w:tr>
        <w:tc>
          <w:tcPr>
            <w:tcW w:type="dxa" w:w="2160"/>
            <w:shd w:fill="F8FAFC"/>
            <w:tcMar>
              <w:top w:w="80" w:type="dxa"/>
              <w:bottom w:w="80" w:type="dxa"/>
              <w:left w:w="120" w:type="dxa"/>
              <w:right w:w="120" w:type="dxa"/>
            </w:tcMar>
          </w:tcPr>
          <w:p>
            <w:pPr>
              <w:jc w:val="left"/>
            </w:pPr>
            <w:r>
              <w:rPr>
                <w:rFonts w:ascii="Calibri" w:hAnsi="Calibri"/>
                <w:color w:val="0F172A"/>
                <w:sz w:val="17"/>
              </w:rPr>
              <w:t>3.5 s Lead Time</w:t>
            </w:r>
          </w:p>
        </w:tc>
        <w:tc>
          <w:tcPr>
            <w:tcW w:type="dxa" w:w="2016"/>
            <w:shd w:fill="F8FAFC"/>
            <w:tcMar>
              <w:top w:w="80" w:type="dxa"/>
              <w:bottom w:w="80" w:type="dxa"/>
              <w:left w:w="120" w:type="dxa"/>
              <w:right w:w="120" w:type="dxa"/>
            </w:tcMar>
          </w:tcPr>
          <w:p>
            <w:pPr>
              <w:jc w:val="left"/>
            </w:pPr>
            <w:r>
              <w:rPr>
                <w:rFonts w:ascii="Calibri" w:hAnsi="Calibri"/>
                <w:color w:val="0F172A"/>
                <w:sz w:val="17"/>
              </w:rPr>
              <w:t>369.3 K</w:t>
            </w:r>
          </w:p>
        </w:tc>
        <w:tc>
          <w:tcPr>
            <w:tcW w:type="dxa" w:w="2016"/>
            <w:shd w:fill="F8FAFC"/>
            <w:tcMar>
              <w:top w:w="80" w:type="dxa"/>
              <w:bottom w:w="80" w:type="dxa"/>
              <w:left w:w="120" w:type="dxa"/>
              <w:right w:w="120" w:type="dxa"/>
            </w:tcMar>
          </w:tcPr>
          <w:p>
            <w:pPr>
              <w:jc w:val="left"/>
            </w:pPr>
            <w:r>
              <w:rPr>
                <w:rFonts w:ascii="Calibri" w:hAnsi="Calibri"/>
                <w:color w:val="0F172A"/>
                <w:sz w:val="17"/>
              </w:rPr>
              <w:t>SAFE (Zero Trip)</w:t>
            </w:r>
          </w:p>
        </w:tc>
        <w:tc>
          <w:tcPr>
            <w:tcW w:type="dxa" w:w="3888"/>
            <w:shd w:fill="F8FAFC"/>
            <w:tcMar>
              <w:top w:w="80" w:type="dxa"/>
              <w:bottom w:w="80" w:type="dxa"/>
              <w:left w:w="120" w:type="dxa"/>
              <w:right w:w="120" w:type="dxa"/>
            </w:tcMar>
          </w:tcPr>
          <w:p>
            <w:pPr>
              <w:jc w:val="left"/>
            </w:pPr>
            <w:r>
              <w:rPr>
                <w:rFonts w:ascii="Calibri" w:hAnsi="Calibri"/>
                <w:color w:val="0F172A"/>
                <w:sz w:val="17"/>
              </w:rPr>
              <w:t>Successful pre-cooling containment (15.7 K safety margin)</w:t>
            </w:r>
          </w:p>
        </w:tc>
      </w:tr>
      <w:tr>
        <w:tc>
          <w:tcPr>
            <w:tcW w:type="dxa" w:w="2160"/>
            <w:shd w:fill="FFFFFF"/>
            <w:tcMar>
              <w:top w:w="80" w:type="dxa"/>
              <w:bottom w:w="80" w:type="dxa"/>
              <w:left w:w="120" w:type="dxa"/>
              <w:right w:w="120" w:type="dxa"/>
            </w:tcMar>
          </w:tcPr>
          <w:p>
            <w:pPr>
              <w:jc w:val="left"/>
            </w:pPr>
            <w:r>
              <w:rPr>
                <w:rFonts w:ascii="Calibri" w:hAnsi="Calibri"/>
                <w:color w:val="0F172A"/>
                <w:sz w:val="17"/>
              </w:rPr>
              <w:t>5.0 s Lead Time</w:t>
            </w:r>
          </w:p>
        </w:tc>
        <w:tc>
          <w:tcPr>
            <w:tcW w:type="dxa" w:w="2016"/>
            <w:shd w:fill="FFFFFF"/>
            <w:tcMar>
              <w:top w:w="80" w:type="dxa"/>
              <w:bottom w:w="80" w:type="dxa"/>
              <w:left w:w="120" w:type="dxa"/>
              <w:right w:w="120" w:type="dxa"/>
            </w:tcMar>
          </w:tcPr>
          <w:p>
            <w:pPr>
              <w:jc w:val="left"/>
            </w:pPr>
            <w:r>
              <w:rPr>
                <w:rFonts w:ascii="Calibri" w:hAnsi="Calibri"/>
                <w:color w:val="0F172A"/>
                <w:sz w:val="17"/>
              </w:rPr>
              <w:t>350.0 K</w:t>
            </w:r>
          </w:p>
        </w:tc>
        <w:tc>
          <w:tcPr>
            <w:tcW w:type="dxa" w:w="2016"/>
            <w:shd w:fill="FFFFFF"/>
            <w:tcMar>
              <w:top w:w="80" w:type="dxa"/>
              <w:bottom w:w="80" w:type="dxa"/>
              <w:left w:w="120" w:type="dxa"/>
              <w:right w:w="120" w:type="dxa"/>
            </w:tcMar>
          </w:tcPr>
          <w:p>
            <w:pPr>
              <w:jc w:val="left"/>
            </w:pPr>
            <w:r>
              <w:rPr>
                <w:rFonts w:ascii="Calibri" w:hAnsi="Calibri"/>
                <w:color w:val="0F172A"/>
                <w:sz w:val="17"/>
              </w:rPr>
              <w:t>SAFE (Zero Trip)</w:t>
            </w:r>
          </w:p>
        </w:tc>
        <w:tc>
          <w:tcPr>
            <w:tcW w:type="dxa" w:w="3888"/>
            <w:shd w:fill="FFFFFF"/>
            <w:tcMar>
              <w:top w:w="80" w:type="dxa"/>
              <w:bottom w:w="80" w:type="dxa"/>
              <w:left w:w="120" w:type="dxa"/>
              <w:right w:w="120" w:type="dxa"/>
            </w:tcMar>
          </w:tcPr>
          <w:p>
            <w:pPr>
              <w:jc w:val="left"/>
            </w:pPr>
            <w:r>
              <w:rPr>
                <w:rFonts w:ascii="Calibri" w:hAnsi="Calibri"/>
                <w:color w:val="0F172A"/>
                <w:sz w:val="17"/>
              </w:rPr>
              <w:t>Perfect thermal containment clamped deadbeat at nominal setpoint</w:t>
            </w:r>
          </w:p>
        </w:tc>
      </w:tr>
    </w:tbl>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Seeds (Newly Re-Simulated)</w:t>
      </w:r>
    </w:p>
    <w:p>
      <w:r>
        <w:t>We executed an exact batch simulation across 20 randomized seeds (benchmark_cstr_simulation.py, raw data released in cstr_benchmark_seed_results.csv) where disturbance parameters vary independently per run: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52"/>
            <w:shd w:fill="1E293B"/>
            <w:tcMar>
              <w:top w:w="100" w:type="dxa"/>
              <w:bottom w:w="100" w:type="dxa"/>
              <w:left w:w="120" w:type="dxa"/>
              <w:right w:w="120" w:type="dxa"/>
            </w:tcMar>
          </w:tcPr>
          <w:p>
            <w:pPr>
              <w:jc w:val="left"/>
            </w:pPr>
            <w:r>
              <w:rPr>
                <w:rFonts w:ascii="Calibri" w:hAnsi="Calibri"/>
                <w:b/>
                <w:color w:val="FFFFFF"/>
                <w:sz w:val="18"/>
              </w:rPr>
              <w:t>Config</w:t>
            </w:r>
          </w:p>
        </w:tc>
        <w:tc>
          <w:tcPr>
            <w:tcW w:type="dxa" w:w="2160"/>
            <w:shd w:fill="1E293B"/>
            <w:tcMar>
              <w:top w:w="100" w:type="dxa"/>
              <w:bottom w:w="100" w:type="dxa"/>
              <w:left w:w="120" w:type="dxa"/>
              <w:right w:w="120" w:type="dxa"/>
            </w:tcMar>
          </w:tcPr>
          <w:p>
            <w:pPr>
              <w:jc w:val="left"/>
            </w:pPr>
            <w:r>
              <w:rPr>
                <w:rFonts w:ascii="Calibri" w:hAnsi="Calibri"/>
                <w:b/>
                <w:color w:val="FFFFFF"/>
                <w:sz w:val="18"/>
              </w:rPr>
              <w:t>Controller Type</w:t>
            </w:r>
          </w:p>
        </w:tc>
        <w:tc>
          <w:tcPr>
            <w:tcW w:type="dxa" w:w="1296"/>
            <w:shd w:fill="1E293B"/>
            <w:tcMar>
              <w:top w:w="100" w:type="dxa"/>
              <w:bottom w:w="100" w:type="dxa"/>
              <w:left w:w="120" w:type="dxa"/>
              <w:right w:w="120" w:type="dxa"/>
            </w:tcMar>
          </w:tcPr>
          <w:p>
            <w:pPr>
              <w:jc w:val="left"/>
            </w:pPr>
            <w:r>
              <w:rPr>
                <w:rFonts w:ascii="Calibri" w:hAnsi="Calibri"/>
                <w:b/>
                <w:color w:val="FFFFFF"/>
                <w:sz w:val="18"/>
              </w:rPr>
              <w:t>RMSE (K)</w:t>
            </w:r>
          </w:p>
        </w:tc>
        <w:tc>
          <w:tcPr>
            <w:tcW w:type="dxa" w:w="1296"/>
            <w:shd w:fill="1E293B"/>
            <w:tcMar>
              <w:top w:w="100" w:type="dxa"/>
              <w:bottom w:w="100" w:type="dxa"/>
              <w:left w:w="120" w:type="dxa"/>
              <w:right w:w="120" w:type="dxa"/>
            </w:tcMar>
          </w:tcPr>
          <w:p>
            <w:pPr>
              <w:jc w:val="left"/>
            </w:pPr>
            <w:r>
              <w:rPr>
                <w:rFonts w:ascii="Calibri" w:hAnsi="Calibri"/>
                <w:b/>
                <w:color w:val="FFFFFF"/>
                <w:sz w:val="18"/>
              </w:rPr>
              <w:t>Peak T (K)</w:t>
            </w:r>
          </w:p>
        </w:tc>
        <w:tc>
          <w:tcPr>
            <w:tcW w:type="dxa" w:w="1152"/>
            <w:shd w:fill="1E293B"/>
            <w:tcMar>
              <w:top w:w="100" w:type="dxa"/>
              <w:bottom w:w="100" w:type="dxa"/>
              <w:left w:w="120" w:type="dxa"/>
              <w:right w:w="120" w:type="dxa"/>
            </w:tcMar>
          </w:tcPr>
          <w:p>
            <w:pPr>
              <w:jc w:val="left"/>
            </w:pPr>
            <w:r>
              <w:rPr>
                <w:rFonts w:ascii="Calibri" w:hAnsi="Calibri"/>
                <w:b/>
                <w:color w:val="FFFFFF"/>
                <w:sz w:val="18"/>
              </w:rPr>
              <w:t>Settling (s)</w:t>
            </w:r>
          </w:p>
        </w:tc>
        <w:tc>
          <w:tcPr>
            <w:tcW w:type="dxa" w:w="1008"/>
            <w:shd w:fill="1E293B"/>
            <w:tcMar>
              <w:top w:w="100" w:type="dxa"/>
              <w:bottom w:w="100" w:type="dxa"/>
              <w:left w:w="120" w:type="dxa"/>
              <w:right w:w="120" w:type="dxa"/>
            </w:tcMar>
          </w:tcPr>
          <w:p>
            <w:pPr>
              <w:jc w:val="left"/>
            </w:pPr>
            <w:r>
              <w:rPr>
                <w:rFonts w:ascii="Calibri" w:hAnsi="Calibri"/>
                <w:b/>
                <w:color w:val="FFFFFF"/>
                <w:sz w:val="18"/>
              </w:rPr>
              <w:t>Breach (%)</w:t>
            </w:r>
          </w:p>
        </w:tc>
        <w:tc>
          <w:tcPr>
            <w:tcW w:type="dxa" w:w="1008"/>
            <w:shd w:fill="1E293B"/>
            <w:tcMar>
              <w:top w:w="100" w:type="dxa"/>
              <w:bottom w:w="100" w:type="dxa"/>
              <w:left w:w="120" w:type="dxa"/>
              <w:right w:w="120" w:type="dxa"/>
            </w:tcMar>
          </w:tcPr>
          <w:p>
            <w:pPr>
              <w:jc w:val="left"/>
            </w:pPr>
            <w:r>
              <w:rPr>
                <w:rFonts w:ascii="Calibri" w:hAnsi="Calibri"/>
                <w:b/>
                <w:color w:val="FFFFFF"/>
                <w:sz w:val="18"/>
              </w:rPr>
              <w:t>SIS Trips</w:t>
            </w:r>
          </w:p>
        </w:tc>
        <w:tc>
          <w:tcPr>
            <w:tcW w:type="dxa" w:w="1008"/>
            <w:shd w:fill="1E293B"/>
            <w:tcMar>
              <w:top w:w="100" w:type="dxa"/>
              <w:bottom w:w="100" w:type="dxa"/>
              <w:left w:w="120" w:type="dxa"/>
              <w:right w:w="120" w:type="dxa"/>
            </w:tcMar>
          </w:tcPr>
          <w:p>
            <w:pPr>
              <w:jc w:val="left"/>
            </w:pPr>
            <w:r>
              <w:rPr>
                <w:rFonts w:ascii="Calibri" w:hAnsi="Calibri"/>
                <w:b/>
                <w:color w:val="FFFFFF"/>
                <w:sz w:val="18"/>
              </w:rPr>
              <w:t>Slew (K/s)</w:t>
            </w:r>
          </w:p>
        </w:tc>
      </w:tr>
      <w:tr>
        <w:tc>
          <w:tcPr>
            <w:tcW w:type="dxa" w:w="1152"/>
            <w:shd w:fill="FFFFFF"/>
            <w:tcMar>
              <w:top w:w="80" w:type="dxa"/>
              <w:bottom w:w="80" w:type="dxa"/>
              <w:left w:w="120" w:type="dxa"/>
              <w:right w:w="120" w:type="dxa"/>
            </w:tcMar>
          </w:tcPr>
          <w:p>
            <w:pPr>
              <w:jc w:val="left"/>
            </w:pPr>
            <w:r>
              <w:rPr>
                <w:rFonts w:ascii="Calibri" w:hAnsi="Calibri"/>
                <w:color w:val="0F172A"/>
                <w:sz w:val="17"/>
              </w:rPr>
              <w:t>Baseline 1</w:t>
            </w:r>
          </w:p>
        </w:tc>
        <w:tc>
          <w:tcPr>
            <w:tcW w:type="dxa" w:w="2160"/>
            <w:shd w:fill="FFFFFF"/>
            <w:tcMar>
              <w:top w:w="80" w:type="dxa"/>
              <w:bottom w:w="80" w:type="dxa"/>
              <w:left w:w="120" w:type="dxa"/>
              <w:right w:w="120" w:type="dxa"/>
            </w:tcMar>
          </w:tcPr>
          <w:p>
            <w:pPr>
              <w:jc w:val="left"/>
            </w:pPr>
            <w:r>
              <w:rPr>
                <w:rFonts w:ascii="Calibri" w:hAnsi="Calibri"/>
                <w:color w:val="0F172A"/>
                <w:sz w:val="17"/>
              </w:rPr>
              <w:t>Linear MPC (QP, No Forecast)</w:t>
            </w:r>
          </w:p>
        </w:tc>
        <w:tc>
          <w:tcPr>
            <w:tcW w:type="dxa" w:w="1296"/>
            <w:shd w:fill="FFFFFF"/>
            <w:tcMar>
              <w:top w:w="80" w:type="dxa"/>
              <w:bottom w:w="80" w:type="dxa"/>
              <w:left w:w="120" w:type="dxa"/>
              <w:right w:w="120" w:type="dxa"/>
            </w:tcMar>
          </w:tcPr>
          <w:p>
            <w:pPr>
              <w:jc w:val="left"/>
            </w:pPr>
            <w:r>
              <w:rPr>
                <w:rFonts w:ascii="Calibri" w:hAnsi="Calibri"/>
                <w:color w:val="0F172A"/>
                <w:sz w:val="17"/>
              </w:rPr>
              <w:t>27.97 ± 7.40</w:t>
            </w:r>
          </w:p>
        </w:tc>
        <w:tc>
          <w:tcPr>
            <w:tcW w:type="dxa" w:w="1296"/>
            <w:shd w:fill="FFFFFF"/>
            <w:tcMar>
              <w:top w:w="80" w:type="dxa"/>
              <w:bottom w:w="80" w:type="dxa"/>
              <w:left w:w="120" w:type="dxa"/>
              <w:right w:w="120" w:type="dxa"/>
            </w:tcMar>
          </w:tcPr>
          <w:p>
            <w:pPr>
              <w:jc w:val="left"/>
            </w:pPr>
            <w:r>
              <w:rPr>
                <w:rFonts w:ascii="Calibri" w:hAnsi="Calibri"/>
                <w:color w:val="0F172A"/>
                <w:sz w:val="17"/>
              </w:rPr>
              <w:t>410.4 ± 16.1</w:t>
            </w:r>
          </w:p>
        </w:tc>
        <w:tc>
          <w:tcPr>
            <w:tcW w:type="dxa" w:w="1152"/>
            <w:shd w:fill="FFFFFF"/>
            <w:tcMar>
              <w:top w:w="80" w:type="dxa"/>
              <w:bottom w:w="80" w:type="dxa"/>
              <w:left w:w="120" w:type="dxa"/>
              <w:right w:w="120" w:type="dxa"/>
            </w:tcMar>
          </w:tcPr>
          <w:p>
            <w:pPr>
              <w:jc w:val="left"/>
            </w:pPr>
            <w:r>
              <w:rPr>
                <w:rFonts w:ascii="Calibri" w:hAnsi="Calibri"/>
                <w:color w:val="0F172A"/>
                <w:sz w:val="17"/>
              </w:rPr>
              <w:t>34.9 ± 1.3</w:t>
            </w:r>
          </w:p>
        </w:tc>
        <w:tc>
          <w:tcPr>
            <w:tcW w:type="dxa" w:w="1008"/>
            <w:shd w:fill="FFFFFF"/>
            <w:tcMar>
              <w:top w:w="80" w:type="dxa"/>
              <w:bottom w:w="80" w:type="dxa"/>
              <w:left w:w="120" w:type="dxa"/>
              <w:right w:w="120" w:type="dxa"/>
            </w:tcMar>
          </w:tcPr>
          <w:p>
            <w:pPr>
              <w:jc w:val="left"/>
            </w:pPr>
            <w:r>
              <w:rPr>
                <w:rFonts w:ascii="Calibri" w:hAnsi="Calibri"/>
                <w:color w:val="0F172A"/>
                <w:sz w:val="17"/>
              </w:rPr>
              <w:t>28.7 ± 8.5%</w:t>
            </w:r>
          </w:p>
        </w:tc>
        <w:tc>
          <w:tcPr>
            <w:tcW w:type="dxa" w:w="1008"/>
            <w:shd w:fill="FFFFFF"/>
            <w:tcMar>
              <w:top w:w="80" w:type="dxa"/>
              <w:bottom w:w="80" w:type="dxa"/>
              <w:left w:w="120" w:type="dxa"/>
              <w:right w:w="120" w:type="dxa"/>
            </w:tcMar>
          </w:tcPr>
          <w:p>
            <w:pPr>
              <w:jc w:val="left"/>
            </w:pPr>
            <w:r>
              <w:rPr>
                <w:rFonts w:ascii="Calibri" w:hAnsi="Calibri"/>
                <w:color w:val="0F172A"/>
                <w:sz w:val="17"/>
              </w:rPr>
              <w:t>14 / 20</w:t>
            </w:r>
          </w:p>
        </w:tc>
        <w:tc>
          <w:tcPr>
            <w:tcW w:type="dxa" w:w="1008"/>
            <w:shd w:fill="FFFFFF"/>
            <w:tcMar>
              <w:top w:w="80" w:type="dxa"/>
              <w:bottom w:w="80" w:type="dxa"/>
              <w:left w:w="120" w:type="dxa"/>
              <w:right w:w="120" w:type="dxa"/>
            </w:tcMar>
          </w:tcPr>
          <w:p>
            <w:pPr>
              <w:jc w:val="left"/>
            </w:pPr>
            <w:r>
              <w:rPr>
                <w:rFonts w:ascii="Calibri" w:hAnsi="Calibri"/>
                <w:color w:val="0F172A"/>
                <w:sz w:val="17"/>
              </w:rPr>
              <w:t>8.4 ± 1.2</w:t>
            </w:r>
          </w:p>
        </w:tc>
      </w:tr>
      <w:tr>
        <w:tc>
          <w:tcPr>
            <w:tcW w:type="dxa" w:w="1152"/>
            <w:shd w:fill="F8FAFC"/>
            <w:tcMar>
              <w:top w:w="80" w:type="dxa"/>
              <w:bottom w:w="80" w:type="dxa"/>
              <w:left w:w="120" w:type="dxa"/>
              <w:right w:w="120" w:type="dxa"/>
            </w:tcMar>
          </w:tcPr>
          <w:p>
            <w:pPr>
              <w:jc w:val="left"/>
            </w:pPr>
            <w:r>
              <w:rPr>
                <w:rFonts w:ascii="Calibri" w:hAnsi="Calibri"/>
                <w:color w:val="0F172A"/>
                <w:sz w:val="17"/>
              </w:rPr>
              <w:t>Baseline 2a</w:t>
            </w:r>
          </w:p>
        </w:tc>
        <w:tc>
          <w:tcPr>
            <w:tcW w:type="dxa" w:w="2160"/>
            <w:shd w:fill="F8FAFC"/>
            <w:tcMar>
              <w:top w:w="80" w:type="dxa"/>
              <w:bottom w:w="80" w:type="dxa"/>
              <w:left w:w="120" w:type="dxa"/>
              <w:right w:w="120" w:type="dxa"/>
            </w:tcMar>
          </w:tcPr>
          <w:p>
            <w:pPr>
              <w:jc w:val="left"/>
            </w:pPr>
            <w:r>
              <w:rPr>
                <w:rFonts w:ascii="Calibri" w:hAnsi="Calibri"/>
                <w:color w:val="0F172A"/>
                <w:sz w:val="17"/>
              </w:rPr>
              <w:t>NMPC (IPOPT, No Forecast)</w:t>
            </w:r>
          </w:p>
        </w:tc>
        <w:tc>
          <w:tcPr>
            <w:tcW w:type="dxa" w:w="1296"/>
            <w:shd w:fill="F8FAFC"/>
            <w:tcMar>
              <w:top w:w="80" w:type="dxa"/>
              <w:bottom w:w="80" w:type="dxa"/>
              <w:left w:w="120" w:type="dxa"/>
              <w:right w:w="120" w:type="dxa"/>
            </w:tcMar>
          </w:tcPr>
          <w:p>
            <w:pPr>
              <w:jc w:val="left"/>
            </w:pPr>
            <w:r>
              <w:rPr>
                <w:rFonts w:ascii="Calibri" w:hAnsi="Calibri"/>
                <w:color w:val="0F172A"/>
                <w:sz w:val="17"/>
              </w:rPr>
              <w:t>13.53 ± 7.36</w:t>
            </w:r>
          </w:p>
        </w:tc>
        <w:tc>
          <w:tcPr>
            <w:tcW w:type="dxa" w:w="1296"/>
            <w:shd w:fill="F8FAFC"/>
            <w:tcMar>
              <w:top w:w="80" w:type="dxa"/>
              <w:bottom w:w="80" w:type="dxa"/>
              <w:left w:w="120" w:type="dxa"/>
              <w:right w:w="120" w:type="dxa"/>
            </w:tcMar>
          </w:tcPr>
          <w:p>
            <w:pPr>
              <w:jc w:val="left"/>
            </w:pPr>
            <w:r>
              <w:rPr>
                <w:rFonts w:ascii="Calibri" w:hAnsi="Calibri"/>
                <w:color w:val="0F172A"/>
                <w:sz w:val="17"/>
              </w:rPr>
              <w:t>378.6 ± 16.0</w:t>
            </w:r>
          </w:p>
        </w:tc>
        <w:tc>
          <w:tcPr>
            <w:tcW w:type="dxa" w:w="1152"/>
            <w:shd w:fill="F8FAFC"/>
            <w:tcMar>
              <w:top w:w="80" w:type="dxa"/>
              <w:bottom w:w="80" w:type="dxa"/>
              <w:left w:w="120" w:type="dxa"/>
              <w:right w:w="120" w:type="dxa"/>
            </w:tcMar>
          </w:tcPr>
          <w:p>
            <w:pPr>
              <w:jc w:val="left"/>
            </w:pPr>
            <w:r>
              <w:rPr>
                <w:rFonts w:ascii="Calibri" w:hAnsi="Calibri"/>
                <w:color w:val="0F172A"/>
                <w:sz w:val="17"/>
              </w:rPr>
              <w:t>29.3 ± 3.4</w:t>
            </w:r>
          </w:p>
        </w:tc>
        <w:tc>
          <w:tcPr>
            <w:tcW w:type="dxa" w:w="1008"/>
            <w:shd w:fill="F8FAFC"/>
            <w:tcMar>
              <w:top w:w="80" w:type="dxa"/>
              <w:bottom w:w="80" w:type="dxa"/>
              <w:left w:w="120" w:type="dxa"/>
              <w:right w:w="120" w:type="dxa"/>
            </w:tcMar>
          </w:tcPr>
          <w:p>
            <w:pPr>
              <w:jc w:val="left"/>
            </w:pPr>
            <w:r>
              <w:rPr>
                <w:rFonts w:ascii="Calibri" w:hAnsi="Calibri"/>
                <w:color w:val="0F172A"/>
                <w:sz w:val="17"/>
              </w:rPr>
              <w:t>12.4 ± 8.4%</w:t>
            </w:r>
          </w:p>
        </w:tc>
        <w:tc>
          <w:tcPr>
            <w:tcW w:type="dxa" w:w="1008"/>
            <w:shd w:fill="F8FAFC"/>
            <w:tcMar>
              <w:top w:w="80" w:type="dxa"/>
              <w:bottom w:w="80" w:type="dxa"/>
              <w:left w:w="120" w:type="dxa"/>
              <w:right w:w="120" w:type="dxa"/>
            </w:tcMar>
          </w:tcPr>
          <w:p>
            <w:pPr>
              <w:jc w:val="left"/>
            </w:pPr>
            <w:r>
              <w:rPr>
                <w:rFonts w:ascii="Calibri" w:hAnsi="Calibri"/>
                <w:color w:val="0F172A"/>
                <w:sz w:val="17"/>
              </w:rPr>
              <w:t>6 / 20</w:t>
            </w:r>
          </w:p>
        </w:tc>
        <w:tc>
          <w:tcPr>
            <w:tcW w:type="dxa" w:w="1008"/>
            <w:shd w:fill="F8FAFC"/>
            <w:tcMar>
              <w:top w:w="80" w:type="dxa"/>
              <w:bottom w:w="80" w:type="dxa"/>
              <w:left w:w="120" w:type="dxa"/>
              <w:right w:w="120" w:type="dxa"/>
            </w:tcMar>
          </w:tcPr>
          <w:p>
            <w:pPr>
              <w:jc w:val="left"/>
            </w:pPr>
            <w:r>
              <w:rPr>
                <w:rFonts w:ascii="Calibri" w:hAnsi="Calibri"/>
                <w:color w:val="0F172A"/>
                <w:sz w:val="17"/>
              </w:rPr>
              <w:t>3.6 ± 0.5</w:t>
            </w:r>
          </w:p>
        </w:tc>
      </w:tr>
      <w:tr>
        <w:tc>
          <w:tcPr>
            <w:tcW w:type="dxa" w:w="1152"/>
            <w:shd w:fill="FFFFFF"/>
            <w:tcMar>
              <w:top w:w="80" w:type="dxa"/>
              <w:bottom w:w="80" w:type="dxa"/>
              <w:left w:w="120" w:type="dxa"/>
              <w:right w:w="120" w:type="dxa"/>
            </w:tcMar>
          </w:tcPr>
          <w:p>
            <w:pPr>
              <w:jc w:val="left"/>
            </w:pPr>
            <w:r>
              <w:rPr>
                <w:rFonts w:ascii="Calibri" w:hAnsi="Calibri"/>
                <w:color w:val="0F172A"/>
                <w:sz w:val="17"/>
              </w:rPr>
              <w:t>Ablation 1</w:t>
            </w:r>
          </w:p>
        </w:tc>
        <w:tc>
          <w:tcPr>
            <w:tcW w:type="dxa" w:w="2160"/>
            <w:shd w:fill="FFFFFF"/>
            <w:tcMar>
              <w:top w:w="80" w:type="dxa"/>
              <w:bottom w:w="80" w:type="dxa"/>
              <w:left w:w="120" w:type="dxa"/>
              <w:right w:w="120" w:type="dxa"/>
            </w:tcMar>
          </w:tcPr>
          <w:p>
            <w:pPr>
              <w:jc w:val="left"/>
            </w:pPr>
            <w:r>
              <w:rPr>
                <w:rFonts w:ascii="Calibri" w:hAnsi="Calibri"/>
                <w:color w:val="0F172A"/>
                <w:sz w:val="17"/>
              </w:rPr>
              <w:t>MPPI (Static θ*, No Forecast)</w:t>
            </w:r>
          </w:p>
        </w:tc>
        <w:tc>
          <w:tcPr>
            <w:tcW w:type="dxa" w:w="1296"/>
            <w:shd w:fill="FFFFFF"/>
            <w:tcMar>
              <w:top w:w="80" w:type="dxa"/>
              <w:bottom w:w="80" w:type="dxa"/>
              <w:left w:w="120" w:type="dxa"/>
              <w:right w:w="120" w:type="dxa"/>
            </w:tcMar>
          </w:tcPr>
          <w:p>
            <w:pPr>
              <w:jc w:val="left"/>
            </w:pPr>
            <w:r>
              <w:rPr>
                <w:rFonts w:ascii="Calibri" w:hAnsi="Calibri"/>
                <w:color w:val="0F172A"/>
                <w:sz w:val="17"/>
              </w:rPr>
              <w:t>16.47 ± 7.44</w:t>
            </w:r>
          </w:p>
        </w:tc>
        <w:tc>
          <w:tcPr>
            <w:tcW w:type="dxa" w:w="1296"/>
            <w:shd w:fill="FFFFFF"/>
            <w:tcMar>
              <w:top w:w="80" w:type="dxa"/>
              <w:bottom w:w="80" w:type="dxa"/>
              <w:left w:w="120" w:type="dxa"/>
              <w:right w:w="120" w:type="dxa"/>
            </w:tcMar>
          </w:tcPr>
          <w:p>
            <w:pPr>
              <w:jc w:val="left"/>
            </w:pPr>
            <w:r>
              <w:rPr>
                <w:rFonts w:ascii="Calibri" w:hAnsi="Calibri"/>
                <w:color w:val="0F172A"/>
                <w:sz w:val="17"/>
              </w:rPr>
              <w:t>384.4 ± 16.4</w:t>
            </w:r>
          </w:p>
        </w:tc>
        <w:tc>
          <w:tcPr>
            <w:tcW w:type="dxa" w:w="1152"/>
            <w:shd w:fill="FFFFFF"/>
            <w:tcMar>
              <w:top w:w="80" w:type="dxa"/>
              <w:bottom w:w="80" w:type="dxa"/>
              <w:left w:w="120" w:type="dxa"/>
              <w:right w:w="120" w:type="dxa"/>
            </w:tcMar>
          </w:tcPr>
          <w:p>
            <w:pPr>
              <w:jc w:val="left"/>
            </w:pPr>
            <w:r>
              <w:rPr>
                <w:rFonts w:ascii="Calibri" w:hAnsi="Calibri"/>
                <w:color w:val="0F172A"/>
                <w:sz w:val="17"/>
              </w:rPr>
              <w:t>28.9 ± 4.3</w:t>
            </w:r>
          </w:p>
        </w:tc>
        <w:tc>
          <w:tcPr>
            <w:tcW w:type="dxa" w:w="1008"/>
            <w:shd w:fill="FFFFFF"/>
            <w:tcMar>
              <w:top w:w="80" w:type="dxa"/>
              <w:bottom w:w="80" w:type="dxa"/>
              <w:left w:w="120" w:type="dxa"/>
              <w:right w:w="120" w:type="dxa"/>
            </w:tcMar>
          </w:tcPr>
          <w:p>
            <w:pPr>
              <w:jc w:val="left"/>
            </w:pPr>
            <w:r>
              <w:rPr>
                <w:rFonts w:ascii="Calibri" w:hAnsi="Calibri"/>
                <w:color w:val="0F172A"/>
                <w:sz w:val="17"/>
              </w:rPr>
              <w:t>14.5 ± 8.8%</w:t>
            </w:r>
          </w:p>
        </w:tc>
        <w:tc>
          <w:tcPr>
            <w:tcW w:type="dxa" w:w="1008"/>
            <w:shd w:fill="FFFFFF"/>
            <w:tcMar>
              <w:top w:w="80" w:type="dxa"/>
              <w:bottom w:w="80" w:type="dxa"/>
              <w:left w:w="120" w:type="dxa"/>
              <w:right w:w="120" w:type="dxa"/>
            </w:tcMar>
          </w:tcPr>
          <w:p>
            <w:pPr>
              <w:jc w:val="left"/>
            </w:pPr>
            <w:r>
              <w:rPr>
                <w:rFonts w:ascii="Calibri" w:hAnsi="Calibri"/>
                <w:color w:val="0F172A"/>
                <w:sz w:val="17"/>
              </w:rPr>
              <w:t>7 / 20</w:t>
            </w:r>
          </w:p>
        </w:tc>
        <w:tc>
          <w:tcPr>
            <w:tcW w:type="dxa" w:w="1008"/>
            <w:shd w:fill="FFFFFF"/>
            <w:tcMar>
              <w:top w:w="80" w:type="dxa"/>
              <w:bottom w:w="80" w:type="dxa"/>
              <w:left w:w="120" w:type="dxa"/>
              <w:right w:w="120" w:type="dxa"/>
            </w:tcMar>
          </w:tcPr>
          <w:p>
            <w:pPr>
              <w:jc w:val="left"/>
            </w:pPr>
            <w:r>
              <w:rPr>
                <w:rFonts w:ascii="Calibri" w:hAnsi="Calibri"/>
                <w:color w:val="0F172A"/>
                <w:sz w:val="17"/>
              </w:rPr>
              <w:t>2.1 ± 0.3</w:t>
            </w:r>
          </w:p>
        </w:tc>
      </w:tr>
      <w:tr>
        <w:tc>
          <w:tcPr>
            <w:tcW w:type="dxa" w:w="1152"/>
            <w:shd w:fill="F8FAFC"/>
            <w:tcMar>
              <w:top w:w="80" w:type="dxa"/>
              <w:bottom w:w="80" w:type="dxa"/>
              <w:left w:w="120" w:type="dxa"/>
              <w:right w:w="120" w:type="dxa"/>
            </w:tcMar>
          </w:tcPr>
          <w:p>
            <w:pPr>
              <w:jc w:val="left"/>
            </w:pPr>
            <w:r>
              <w:rPr>
                <w:rFonts w:ascii="Calibri" w:hAnsi="Calibri"/>
                <w:color w:val="0F172A"/>
                <w:sz w:val="17"/>
              </w:rPr>
              <w:t>Ablation 2</w:t>
            </w:r>
          </w:p>
        </w:tc>
        <w:tc>
          <w:tcPr>
            <w:tcW w:type="dxa" w:w="2160"/>
            <w:shd w:fill="F8FAFC"/>
            <w:tcMar>
              <w:top w:w="80" w:type="dxa"/>
              <w:bottom w:w="80" w:type="dxa"/>
              <w:left w:w="120" w:type="dxa"/>
              <w:right w:w="120" w:type="dxa"/>
            </w:tcMar>
          </w:tcPr>
          <w:p>
            <w:pPr>
              <w:jc w:val="left"/>
            </w:pPr>
            <w:r>
              <w:rPr>
                <w:rFonts w:ascii="Calibri" w:hAnsi="Calibri"/>
                <w:color w:val="0F172A"/>
                <w:sz w:val="17"/>
              </w:rPr>
              <w:t>MPPI + PINN (No Forecast)</w:t>
            </w:r>
          </w:p>
        </w:tc>
        <w:tc>
          <w:tcPr>
            <w:tcW w:type="dxa" w:w="1296"/>
            <w:shd w:fill="F8FAFC"/>
            <w:tcMar>
              <w:top w:w="80" w:type="dxa"/>
              <w:bottom w:w="80" w:type="dxa"/>
              <w:left w:w="120" w:type="dxa"/>
              <w:right w:w="120" w:type="dxa"/>
            </w:tcMar>
          </w:tcPr>
          <w:p>
            <w:pPr>
              <w:jc w:val="left"/>
            </w:pPr>
            <w:r>
              <w:rPr>
                <w:rFonts w:ascii="Calibri" w:hAnsi="Calibri"/>
                <w:color w:val="0F172A"/>
                <w:sz w:val="17"/>
              </w:rPr>
              <w:t>10.53 ± 6.52</w:t>
            </w:r>
          </w:p>
        </w:tc>
        <w:tc>
          <w:tcPr>
            <w:tcW w:type="dxa" w:w="1296"/>
            <w:shd w:fill="F8FAFC"/>
            <w:tcMar>
              <w:top w:w="80" w:type="dxa"/>
              <w:bottom w:w="80" w:type="dxa"/>
              <w:left w:w="120" w:type="dxa"/>
              <w:right w:w="120" w:type="dxa"/>
            </w:tcMar>
          </w:tcPr>
          <w:p>
            <w:pPr>
              <w:jc w:val="left"/>
            </w:pPr>
            <w:r>
              <w:rPr>
                <w:rFonts w:ascii="Calibri" w:hAnsi="Calibri"/>
                <w:color w:val="0F172A"/>
                <w:sz w:val="17"/>
              </w:rPr>
              <w:t>373.1 ± 14.2</w:t>
            </w:r>
          </w:p>
        </w:tc>
        <w:tc>
          <w:tcPr>
            <w:tcW w:type="dxa" w:w="1152"/>
            <w:shd w:fill="F8FAFC"/>
            <w:tcMar>
              <w:top w:w="80" w:type="dxa"/>
              <w:bottom w:w="80" w:type="dxa"/>
              <w:left w:w="120" w:type="dxa"/>
              <w:right w:w="120" w:type="dxa"/>
            </w:tcMar>
          </w:tcPr>
          <w:p>
            <w:pPr>
              <w:jc w:val="left"/>
            </w:pPr>
            <w:r>
              <w:rPr>
                <w:rFonts w:ascii="Calibri" w:hAnsi="Calibri"/>
                <w:color w:val="0F172A"/>
                <w:sz w:val="17"/>
              </w:rPr>
              <w:t>26.8 ± 2.9</w:t>
            </w:r>
          </w:p>
        </w:tc>
        <w:tc>
          <w:tcPr>
            <w:tcW w:type="dxa" w:w="1008"/>
            <w:shd w:fill="F8FAFC"/>
            <w:tcMar>
              <w:top w:w="80" w:type="dxa"/>
              <w:bottom w:w="80" w:type="dxa"/>
              <w:left w:w="120" w:type="dxa"/>
              <w:right w:w="120" w:type="dxa"/>
            </w:tcMar>
          </w:tcPr>
          <w:p>
            <w:pPr>
              <w:jc w:val="left"/>
            </w:pPr>
            <w:r>
              <w:rPr>
                <w:rFonts w:ascii="Calibri" w:hAnsi="Calibri"/>
                <w:color w:val="0F172A"/>
                <w:sz w:val="17"/>
              </w:rPr>
              <w:t>8.7 ± 6.8%</w:t>
            </w:r>
          </w:p>
        </w:tc>
        <w:tc>
          <w:tcPr>
            <w:tcW w:type="dxa" w:w="1008"/>
            <w:shd w:fill="F8FAFC"/>
            <w:tcMar>
              <w:top w:w="80" w:type="dxa"/>
              <w:bottom w:w="80" w:type="dxa"/>
              <w:left w:w="120" w:type="dxa"/>
              <w:right w:w="120" w:type="dxa"/>
            </w:tcMar>
          </w:tcPr>
          <w:p>
            <w:pPr>
              <w:jc w:val="left"/>
            </w:pPr>
            <w:r>
              <w:rPr>
                <w:rFonts w:ascii="Calibri" w:hAnsi="Calibri"/>
                <w:color w:val="0F172A"/>
                <w:sz w:val="17"/>
              </w:rPr>
              <w:t>5 / 20</w:t>
            </w:r>
          </w:p>
        </w:tc>
        <w:tc>
          <w:tcPr>
            <w:tcW w:type="dxa" w:w="1008"/>
            <w:shd w:fill="F8FAFC"/>
            <w:tcMar>
              <w:top w:w="80" w:type="dxa"/>
              <w:bottom w:w="80" w:type="dxa"/>
              <w:left w:w="120" w:type="dxa"/>
              <w:right w:w="120" w:type="dxa"/>
            </w:tcMar>
          </w:tcPr>
          <w:p>
            <w:pPr>
              <w:jc w:val="left"/>
            </w:pPr>
            <w:r>
              <w:rPr>
                <w:rFonts w:ascii="Calibri" w:hAnsi="Calibri"/>
                <w:color w:val="0F172A"/>
                <w:sz w:val="17"/>
              </w:rPr>
              <w:t>1.8 ± 0.2</w:t>
            </w:r>
          </w:p>
        </w:tc>
      </w:tr>
      <w:tr>
        <w:tc>
          <w:tcPr>
            <w:tcW w:type="dxa" w:w="1152"/>
            <w:shd w:fill="FFFFFF"/>
            <w:tcMar>
              <w:top w:w="80" w:type="dxa"/>
              <w:bottom w:w="80" w:type="dxa"/>
              <w:left w:w="120" w:type="dxa"/>
              <w:right w:w="120" w:type="dxa"/>
            </w:tcMar>
          </w:tcPr>
          <w:p>
            <w:pPr>
              <w:jc w:val="left"/>
            </w:pPr>
            <w:r>
              <w:rPr>
                <w:rFonts w:ascii="Calibri" w:hAnsi="Calibri"/>
                <w:color w:val="0F172A"/>
                <w:sz w:val="17"/>
              </w:rPr>
              <w:t>Baseline 2b</w:t>
            </w:r>
          </w:p>
        </w:tc>
        <w:tc>
          <w:tcPr>
            <w:tcW w:type="dxa" w:w="2160"/>
            <w:shd w:fill="FFFFFF"/>
            <w:tcMar>
              <w:top w:w="80" w:type="dxa"/>
              <w:bottom w:w="80" w:type="dxa"/>
              <w:left w:w="120" w:type="dxa"/>
              <w:right w:w="120" w:type="dxa"/>
            </w:tcMar>
          </w:tcPr>
          <w:p>
            <w:pPr>
              <w:jc w:val="left"/>
            </w:pPr>
            <w:r>
              <w:rPr>
                <w:rFonts w:ascii="Calibri" w:hAnsi="Calibri"/>
                <w:color w:val="0F172A"/>
                <w:sz w:val="17"/>
              </w:rPr>
              <w:t>NMPC (IPOPT, With Forecast)</w:t>
            </w:r>
          </w:p>
        </w:tc>
        <w:tc>
          <w:tcPr>
            <w:tcW w:type="dxa" w:w="1296"/>
            <w:shd w:fill="FFFFFF"/>
            <w:tcMar>
              <w:top w:w="80" w:type="dxa"/>
              <w:bottom w:w="80" w:type="dxa"/>
              <w:left w:w="120" w:type="dxa"/>
              <w:right w:w="120" w:type="dxa"/>
            </w:tcMar>
          </w:tcPr>
          <w:p>
            <w:pPr>
              <w:jc w:val="left"/>
            </w:pPr>
            <w:r>
              <w:rPr>
                <w:rFonts w:ascii="Calibri" w:hAnsi="Calibri"/>
                <w:color w:val="0F172A"/>
                <w:sz w:val="17"/>
              </w:rPr>
              <w:t>2.87 ± 3.42</w:t>
            </w:r>
          </w:p>
        </w:tc>
        <w:tc>
          <w:tcPr>
            <w:tcW w:type="dxa" w:w="1296"/>
            <w:shd w:fill="FFFFFF"/>
            <w:tcMar>
              <w:top w:w="80" w:type="dxa"/>
              <w:bottom w:w="80" w:type="dxa"/>
              <w:left w:w="120" w:type="dxa"/>
              <w:right w:w="120" w:type="dxa"/>
            </w:tcMar>
          </w:tcPr>
          <w:p>
            <w:pPr>
              <w:jc w:val="left"/>
            </w:pPr>
            <w:r>
              <w:rPr>
                <w:rFonts w:ascii="Calibri" w:hAnsi="Calibri"/>
                <w:color w:val="0F172A"/>
                <w:sz w:val="17"/>
              </w:rPr>
              <w:t>356.6 ± 7.5</w:t>
            </w:r>
          </w:p>
        </w:tc>
        <w:tc>
          <w:tcPr>
            <w:tcW w:type="dxa" w:w="1152"/>
            <w:shd w:fill="FFFFFF"/>
            <w:tcMar>
              <w:top w:w="80" w:type="dxa"/>
              <w:bottom w:w="80" w:type="dxa"/>
              <w:left w:w="120" w:type="dxa"/>
              <w:right w:w="120" w:type="dxa"/>
            </w:tcMar>
          </w:tcPr>
          <w:p>
            <w:pPr>
              <w:jc w:val="left"/>
            </w:pPr>
            <w:r>
              <w:rPr>
                <w:rFonts w:ascii="Calibri" w:hAnsi="Calibri"/>
                <w:color w:val="0F172A"/>
                <w:sz w:val="17"/>
              </w:rPr>
              <w:t>26.6 ± 3.9</w:t>
            </w:r>
          </w:p>
        </w:tc>
        <w:tc>
          <w:tcPr>
            <w:tcW w:type="dxa" w:w="1008"/>
            <w:shd w:fill="FFFFFF"/>
            <w:tcMar>
              <w:top w:w="80" w:type="dxa"/>
              <w:bottom w:w="80" w:type="dxa"/>
              <w:left w:w="120" w:type="dxa"/>
              <w:right w:w="120" w:type="dxa"/>
            </w:tcMar>
          </w:tcPr>
          <w:p>
            <w:pPr>
              <w:jc w:val="left"/>
            </w:pPr>
            <w:r>
              <w:rPr>
                <w:rFonts w:ascii="Calibri" w:hAnsi="Calibri"/>
                <w:color w:val="0F172A"/>
                <w:sz w:val="17"/>
              </w:rPr>
              <w:t>1.7 ± 3.3%</w:t>
            </w:r>
          </w:p>
        </w:tc>
        <w:tc>
          <w:tcPr>
            <w:tcW w:type="dxa" w:w="1008"/>
            <w:shd w:fill="FFFFFF"/>
            <w:tcMar>
              <w:top w:w="80" w:type="dxa"/>
              <w:bottom w:w="80" w:type="dxa"/>
              <w:left w:w="120" w:type="dxa"/>
              <w:right w:w="120" w:type="dxa"/>
            </w:tcMar>
          </w:tcPr>
          <w:p>
            <w:pPr>
              <w:jc w:val="left"/>
            </w:pPr>
            <w:r>
              <w:rPr>
                <w:rFonts w:ascii="Calibri" w:hAnsi="Calibri"/>
                <w:color w:val="0F172A"/>
                <w:sz w:val="17"/>
              </w:rPr>
              <w:t>1 / 20</w:t>
            </w:r>
          </w:p>
        </w:tc>
        <w:tc>
          <w:tcPr>
            <w:tcW w:type="dxa" w:w="1008"/>
            <w:shd w:fill="FFFFFF"/>
            <w:tcMar>
              <w:top w:w="80" w:type="dxa"/>
              <w:bottom w:w="80" w:type="dxa"/>
              <w:left w:w="120" w:type="dxa"/>
              <w:right w:w="120" w:type="dxa"/>
            </w:tcMar>
          </w:tcPr>
          <w:p>
            <w:pPr>
              <w:jc w:val="left"/>
            </w:pPr>
            <w:r>
              <w:rPr>
                <w:rFonts w:ascii="Calibri" w:hAnsi="Calibri"/>
                <w:color w:val="0F172A"/>
                <w:sz w:val="17"/>
              </w:rPr>
              <w:t>3.2 ± 0.4</w:t>
            </w:r>
          </w:p>
        </w:tc>
      </w:tr>
      <w:tr>
        <w:tc>
          <w:tcPr>
            <w:tcW w:type="dxa" w:w="1152"/>
            <w:shd w:fill="F8FAFC"/>
            <w:tcMar>
              <w:top w:w="80" w:type="dxa"/>
              <w:bottom w:w="80" w:type="dxa"/>
              <w:left w:w="120" w:type="dxa"/>
              <w:right w:w="120" w:type="dxa"/>
            </w:tcMar>
          </w:tcPr>
          <w:p>
            <w:pPr>
              <w:jc w:val="left"/>
            </w:pPr>
            <w:r>
              <w:rPr>
                <w:rFonts w:ascii="Calibri" w:hAnsi="Calibri"/>
                <w:color w:val="0F172A"/>
                <w:sz w:val="17"/>
              </w:rPr>
              <w:t>Ablation 3a</w:t>
            </w:r>
          </w:p>
        </w:tc>
        <w:tc>
          <w:tcPr>
            <w:tcW w:type="dxa" w:w="2160"/>
            <w:shd w:fill="F8FAFC"/>
            <w:tcMar>
              <w:top w:w="80" w:type="dxa"/>
              <w:bottom w:w="80" w:type="dxa"/>
              <w:left w:w="120" w:type="dxa"/>
              <w:right w:w="120" w:type="dxa"/>
            </w:tcMar>
          </w:tcPr>
          <w:p>
            <w:pPr>
              <w:jc w:val="left"/>
            </w:pPr>
            <w:r>
              <w:rPr>
                <w:rFonts w:ascii="Calibri" w:hAnsi="Calibri"/>
                <w:color w:val="0F172A"/>
                <w:sz w:val="17"/>
              </w:rPr>
              <w:t>MPPI + PINN (With Forecast)</w:t>
            </w:r>
          </w:p>
        </w:tc>
        <w:tc>
          <w:tcPr>
            <w:tcW w:type="dxa" w:w="1296"/>
            <w:shd w:fill="F8FAFC"/>
            <w:tcMar>
              <w:top w:w="80" w:type="dxa"/>
              <w:bottom w:w="80" w:type="dxa"/>
              <w:left w:w="120" w:type="dxa"/>
              <w:right w:w="120" w:type="dxa"/>
            </w:tcMar>
          </w:tcPr>
          <w:p>
            <w:pPr>
              <w:jc w:val="left"/>
            </w:pPr>
            <w:r>
              <w:rPr>
                <w:rFonts w:ascii="Calibri" w:hAnsi="Calibri"/>
                <w:color w:val="0F172A"/>
                <w:sz w:val="17"/>
              </w:rPr>
              <w:t>1.14 ± 0.54</w:t>
            </w:r>
          </w:p>
        </w:tc>
        <w:tc>
          <w:tcPr>
            <w:tcW w:type="dxa" w:w="1296"/>
            <w:shd w:fill="F8FAFC"/>
            <w:tcMar>
              <w:top w:w="80" w:type="dxa"/>
              <w:bottom w:w="80" w:type="dxa"/>
              <w:left w:w="120" w:type="dxa"/>
              <w:right w:w="120" w:type="dxa"/>
            </w:tcMar>
          </w:tcPr>
          <w:p>
            <w:pPr>
              <w:jc w:val="left"/>
            </w:pPr>
            <w:r>
              <w:rPr>
                <w:rFonts w:ascii="Calibri" w:hAnsi="Calibri"/>
                <w:color w:val="0F172A"/>
                <w:sz w:val="17"/>
              </w:rPr>
              <w:t>352.2 ± 0.9</w:t>
            </w:r>
          </w:p>
        </w:tc>
        <w:tc>
          <w:tcPr>
            <w:tcW w:type="dxa" w:w="1152"/>
            <w:shd w:fill="F8FAFC"/>
            <w:tcMar>
              <w:top w:w="80" w:type="dxa"/>
              <w:bottom w:w="80" w:type="dxa"/>
              <w:left w:w="120" w:type="dxa"/>
              <w:right w:w="120" w:type="dxa"/>
            </w:tcMar>
          </w:tcPr>
          <w:p>
            <w:pPr>
              <w:jc w:val="left"/>
            </w:pPr>
            <w:r>
              <w:rPr>
                <w:rFonts w:ascii="Calibri" w:hAnsi="Calibri"/>
                <w:color w:val="0F172A"/>
                <w:sz w:val="17"/>
              </w:rPr>
              <w:t>25.9 ± 3.8</w:t>
            </w:r>
          </w:p>
        </w:tc>
        <w:tc>
          <w:tcPr>
            <w:tcW w:type="dxa" w:w="1008"/>
            <w:shd w:fill="F8FAFC"/>
            <w:tcMar>
              <w:top w:w="80" w:type="dxa"/>
              <w:bottom w:w="80" w:type="dxa"/>
              <w:left w:w="120" w:type="dxa"/>
              <w:right w:w="120" w:type="dxa"/>
            </w:tcMar>
          </w:tcPr>
          <w:p>
            <w:pPr>
              <w:jc w:val="left"/>
            </w:pPr>
            <w:r>
              <w:rPr>
                <w:rFonts w:ascii="Calibri" w:hAnsi="Calibri"/>
                <w:color w:val="0F172A"/>
                <w:sz w:val="17"/>
              </w:rPr>
              <w:t>0.0 ± 0.0%</w:t>
            </w:r>
          </w:p>
        </w:tc>
        <w:tc>
          <w:tcPr>
            <w:tcW w:type="dxa" w:w="1008"/>
            <w:shd w:fill="F8FAFC"/>
            <w:tcMar>
              <w:top w:w="80" w:type="dxa"/>
              <w:bottom w:w="80" w:type="dxa"/>
              <w:left w:w="120" w:type="dxa"/>
              <w:right w:w="120" w:type="dxa"/>
            </w:tcMar>
          </w:tcPr>
          <w:p>
            <w:pPr>
              <w:jc w:val="left"/>
            </w:pPr>
            <w:r>
              <w:rPr>
                <w:rFonts w:ascii="Calibri" w:hAnsi="Calibri"/>
                <w:b/>
                <w:color w:val="0F172A"/>
                <w:sz w:val="17"/>
              </w:rPr>
              <w:t>0 / 20</w:t>
            </w:r>
          </w:p>
        </w:tc>
        <w:tc>
          <w:tcPr>
            <w:tcW w:type="dxa" w:w="1008"/>
            <w:shd w:fill="F8FAFC"/>
            <w:tcMar>
              <w:top w:w="80" w:type="dxa"/>
              <w:bottom w:w="80" w:type="dxa"/>
              <w:left w:w="120" w:type="dxa"/>
              <w:right w:w="120" w:type="dxa"/>
            </w:tcMar>
          </w:tcPr>
          <w:p>
            <w:pPr>
              <w:jc w:val="left"/>
            </w:pPr>
            <w:r>
              <w:rPr>
                <w:rFonts w:ascii="Calibri" w:hAnsi="Calibri"/>
                <w:color w:val="0F172A"/>
                <w:sz w:val="17"/>
              </w:rPr>
              <w:t>1.7 ± 0.2</w:t>
            </w:r>
          </w:p>
        </w:tc>
      </w:tr>
      <w:tr>
        <w:tc>
          <w:tcPr>
            <w:tcW w:type="dxa" w:w="1152"/>
            <w:shd w:fill="FFFFFF"/>
            <w:tcMar>
              <w:top w:w="80" w:type="dxa"/>
              <w:bottom w:w="80" w:type="dxa"/>
              <w:left w:w="120" w:type="dxa"/>
              <w:right w:w="120" w:type="dxa"/>
            </w:tcMar>
          </w:tcPr>
          <w:p>
            <w:pPr>
              <w:jc w:val="left"/>
            </w:pPr>
            <w:r>
              <w:rPr>
                <w:rFonts w:ascii="Calibri" w:hAnsi="Calibri"/>
                <w:color w:val="0F172A"/>
                <w:sz w:val="17"/>
              </w:rPr>
              <w:t>Ablation 3b</w:t>
            </w:r>
          </w:p>
        </w:tc>
        <w:tc>
          <w:tcPr>
            <w:tcW w:type="dxa" w:w="2160"/>
            <w:shd w:fill="FFFFFF"/>
            <w:tcMar>
              <w:top w:w="80" w:type="dxa"/>
              <w:bottom w:w="80" w:type="dxa"/>
              <w:left w:w="120" w:type="dxa"/>
              <w:right w:w="120" w:type="dxa"/>
            </w:tcMar>
          </w:tcPr>
          <w:p>
            <w:pPr>
              <w:jc w:val="left"/>
            </w:pPr>
            <w:r>
              <w:rPr>
                <w:rFonts w:ascii="Calibri" w:hAnsi="Calibri"/>
                <w:color w:val="0F172A"/>
                <w:sz w:val="17"/>
              </w:rPr>
              <w:t>Rule Supervisor + MPPI + PINN</w:t>
            </w:r>
          </w:p>
        </w:tc>
        <w:tc>
          <w:tcPr>
            <w:tcW w:type="dxa" w:w="1296"/>
            <w:shd w:fill="FFFFFF"/>
            <w:tcMar>
              <w:top w:w="80" w:type="dxa"/>
              <w:bottom w:w="80" w:type="dxa"/>
              <w:left w:w="120" w:type="dxa"/>
              <w:right w:w="120" w:type="dxa"/>
            </w:tcMar>
          </w:tcPr>
          <w:p>
            <w:pPr>
              <w:jc w:val="left"/>
            </w:pPr>
            <w:r>
              <w:rPr>
                <w:rFonts w:ascii="Calibri" w:hAnsi="Calibri"/>
                <w:color w:val="0F172A"/>
                <w:sz w:val="17"/>
              </w:rPr>
              <w:t>3.44 ± 1.59</w:t>
            </w:r>
          </w:p>
        </w:tc>
        <w:tc>
          <w:tcPr>
            <w:tcW w:type="dxa" w:w="1296"/>
            <w:shd w:fill="FFFFFF"/>
            <w:tcMar>
              <w:top w:w="80" w:type="dxa"/>
              <w:bottom w:w="80" w:type="dxa"/>
              <w:left w:w="120" w:type="dxa"/>
              <w:right w:w="120" w:type="dxa"/>
            </w:tcMar>
          </w:tcPr>
          <w:p>
            <w:pPr>
              <w:jc w:val="left"/>
            </w:pPr>
            <w:r>
              <w:rPr>
                <w:rFonts w:ascii="Calibri" w:hAnsi="Calibri"/>
                <w:color w:val="0F172A"/>
                <w:sz w:val="17"/>
              </w:rPr>
              <w:t>358.9 ± 6.1</w:t>
            </w:r>
          </w:p>
        </w:tc>
        <w:tc>
          <w:tcPr>
            <w:tcW w:type="dxa" w:w="1152"/>
            <w:shd w:fill="FFFFFF"/>
            <w:tcMar>
              <w:top w:w="80" w:type="dxa"/>
              <w:bottom w:w="80" w:type="dxa"/>
              <w:left w:w="120" w:type="dxa"/>
              <w:right w:w="120" w:type="dxa"/>
            </w:tcMar>
          </w:tcPr>
          <w:p>
            <w:pPr>
              <w:jc w:val="left"/>
            </w:pPr>
            <w:r>
              <w:rPr>
                <w:rFonts w:ascii="Calibri" w:hAnsi="Calibri"/>
                <w:color w:val="0F172A"/>
                <w:sz w:val="17"/>
              </w:rPr>
              <w:t>27.9 ± 4.1</w:t>
            </w:r>
          </w:p>
        </w:tc>
        <w:tc>
          <w:tcPr>
            <w:tcW w:type="dxa" w:w="1008"/>
            <w:shd w:fill="FFFFFF"/>
            <w:tcMar>
              <w:top w:w="80" w:type="dxa"/>
              <w:bottom w:w="80" w:type="dxa"/>
              <w:left w:w="120" w:type="dxa"/>
              <w:right w:w="120" w:type="dxa"/>
            </w:tcMar>
          </w:tcPr>
          <w:p>
            <w:pPr>
              <w:jc w:val="left"/>
            </w:pPr>
            <w:r>
              <w:rPr>
                <w:rFonts w:ascii="Calibri" w:hAnsi="Calibri"/>
                <w:color w:val="0F172A"/>
                <w:sz w:val="17"/>
              </w:rPr>
              <w:t>0.4 ± 0.5%</w:t>
            </w:r>
          </w:p>
        </w:tc>
        <w:tc>
          <w:tcPr>
            <w:tcW w:type="dxa" w:w="1008"/>
            <w:shd w:fill="FFFFFF"/>
            <w:tcMar>
              <w:top w:w="80" w:type="dxa"/>
              <w:bottom w:w="80" w:type="dxa"/>
              <w:left w:w="120" w:type="dxa"/>
              <w:right w:w="120" w:type="dxa"/>
            </w:tcMar>
          </w:tcPr>
          <w:p>
            <w:pPr>
              <w:jc w:val="left"/>
            </w:pPr>
            <w:r>
              <w:rPr>
                <w:rFonts w:ascii="Calibri" w:hAnsi="Calibri"/>
                <w:color w:val="0F172A"/>
                <w:sz w:val="17"/>
              </w:rPr>
              <w:t>2 / 20</w:t>
            </w:r>
          </w:p>
        </w:tc>
        <w:tc>
          <w:tcPr>
            <w:tcW w:type="dxa" w:w="1008"/>
            <w:shd w:fill="FFFFFF"/>
            <w:tcMar>
              <w:top w:w="80" w:type="dxa"/>
              <w:bottom w:w="80" w:type="dxa"/>
              <w:left w:w="120" w:type="dxa"/>
              <w:right w:w="120" w:type="dxa"/>
            </w:tcMar>
          </w:tcPr>
          <w:p>
            <w:pPr>
              <w:jc w:val="left"/>
            </w:pPr>
            <w:r>
              <w:rPr>
                <w:rFonts w:ascii="Calibri" w:hAnsi="Calibri"/>
                <w:color w:val="0F172A"/>
                <w:sz w:val="17"/>
              </w:rPr>
              <w:t>1.9 ± 0.2</w:t>
            </w:r>
          </w:p>
        </w:tc>
      </w:tr>
      <w:tr>
        <w:tc>
          <w:tcPr>
            <w:tcW w:type="dxa" w:w="1152"/>
            <w:shd w:fill="F8FAFC"/>
            <w:tcMar>
              <w:top w:w="80" w:type="dxa"/>
              <w:bottom w:w="80" w:type="dxa"/>
              <w:left w:w="120" w:type="dxa"/>
              <w:right w:w="120" w:type="dxa"/>
            </w:tcMar>
          </w:tcPr>
          <w:p>
            <w:pPr>
              <w:jc w:val="left"/>
            </w:pPr>
            <w:r>
              <w:rPr>
                <w:rFonts w:ascii="Calibri" w:hAnsi="Calibri"/>
                <w:b/>
                <w:color w:val="0F172A"/>
                <w:sz w:val="17"/>
              </w:rPr>
              <w:t>Full System</w:t>
            </w:r>
          </w:p>
        </w:tc>
        <w:tc>
          <w:tcPr>
            <w:tcW w:type="dxa" w:w="2160"/>
            <w:shd w:fill="F8FAFC"/>
            <w:tcMar>
              <w:top w:w="80" w:type="dxa"/>
              <w:bottom w:w="80" w:type="dxa"/>
              <w:left w:w="120" w:type="dxa"/>
              <w:right w:w="120" w:type="dxa"/>
            </w:tcMar>
          </w:tcPr>
          <w:p>
            <w:pPr>
              <w:jc w:val="left"/>
            </w:pPr>
            <w:r>
              <w:rPr>
                <w:rFonts w:ascii="Calibri" w:hAnsi="Calibri"/>
                <w:color w:val="0F172A"/>
                <w:sz w:val="17"/>
              </w:rPr>
              <w:t>Agentic MPC (Full)</w:t>
            </w:r>
          </w:p>
        </w:tc>
        <w:tc>
          <w:tcPr>
            <w:tcW w:type="dxa" w:w="1296"/>
            <w:shd w:fill="F8FAFC"/>
            <w:tcMar>
              <w:top w:w="80" w:type="dxa"/>
              <w:bottom w:w="80" w:type="dxa"/>
              <w:left w:w="120" w:type="dxa"/>
              <w:right w:w="120" w:type="dxa"/>
            </w:tcMar>
          </w:tcPr>
          <w:p>
            <w:pPr>
              <w:jc w:val="left"/>
            </w:pPr>
            <w:r>
              <w:rPr>
                <w:rFonts w:ascii="Calibri" w:hAnsi="Calibri"/>
                <w:color w:val="0F172A"/>
                <w:sz w:val="17"/>
              </w:rPr>
              <w:t>1.35 ± 0.43</w:t>
            </w:r>
          </w:p>
        </w:tc>
        <w:tc>
          <w:tcPr>
            <w:tcW w:type="dxa" w:w="1296"/>
            <w:shd w:fill="F8FAFC"/>
            <w:tcMar>
              <w:top w:w="80" w:type="dxa"/>
              <w:bottom w:w="80" w:type="dxa"/>
              <w:left w:w="120" w:type="dxa"/>
              <w:right w:w="120" w:type="dxa"/>
            </w:tcMar>
          </w:tcPr>
          <w:p>
            <w:pPr>
              <w:jc w:val="left"/>
            </w:pPr>
            <w:r>
              <w:rPr>
                <w:rFonts w:ascii="Calibri" w:hAnsi="Calibri"/>
                <w:b/>
                <w:color w:val="0F172A"/>
                <w:sz w:val="17"/>
              </w:rPr>
              <w:t>352.4 ± 0.7</w:t>
            </w:r>
          </w:p>
        </w:tc>
        <w:tc>
          <w:tcPr>
            <w:tcW w:type="dxa" w:w="1152"/>
            <w:shd w:fill="F8FAFC"/>
            <w:tcMar>
              <w:top w:w="80" w:type="dxa"/>
              <w:bottom w:w="80" w:type="dxa"/>
              <w:left w:w="120" w:type="dxa"/>
              <w:right w:w="120" w:type="dxa"/>
            </w:tcMar>
          </w:tcPr>
          <w:p>
            <w:pPr>
              <w:jc w:val="left"/>
            </w:pPr>
            <w:r>
              <w:rPr>
                <w:rFonts w:ascii="Calibri" w:hAnsi="Calibri"/>
                <w:color w:val="0F172A"/>
                <w:sz w:val="17"/>
              </w:rPr>
              <w:t>26.2 ± 3.9</w:t>
            </w:r>
          </w:p>
        </w:tc>
        <w:tc>
          <w:tcPr>
            <w:tcW w:type="dxa" w:w="1008"/>
            <w:shd w:fill="F8FAFC"/>
            <w:tcMar>
              <w:top w:w="80" w:type="dxa"/>
              <w:bottom w:w="80" w:type="dxa"/>
              <w:left w:w="120" w:type="dxa"/>
              <w:right w:w="120" w:type="dxa"/>
            </w:tcMar>
          </w:tcPr>
          <w:p>
            <w:pPr>
              <w:jc w:val="left"/>
            </w:pPr>
            <w:r>
              <w:rPr>
                <w:rFonts w:ascii="Calibri" w:hAnsi="Calibri"/>
                <w:color w:val="0F172A"/>
                <w:sz w:val="17"/>
              </w:rPr>
              <w:t>0.0 ± 0.0%</w:t>
            </w:r>
          </w:p>
        </w:tc>
        <w:tc>
          <w:tcPr>
            <w:tcW w:type="dxa" w:w="1008"/>
            <w:shd w:fill="F8FAFC"/>
            <w:tcMar>
              <w:top w:w="80" w:type="dxa"/>
              <w:bottom w:w="80" w:type="dxa"/>
              <w:left w:w="120" w:type="dxa"/>
              <w:right w:w="120" w:type="dxa"/>
            </w:tcMar>
          </w:tcPr>
          <w:p>
            <w:pPr>
              <w:jc w:val="left"/>
            </w:pPr>
            <w:r>
              <w:rPr>
                <w:rFonts w:ascii="Calibri" w:hAnsi="Calibri"/>
                <w:b/>
                <w:color w:val="0F172A"/>
                <w:sz w:val="17"/>
              </w:rPr>
              <w:t>0 / 20</w:t>
            </w:r>
          </w:p>
        </w:tc>
        <w:tc>
          <w:tcPr>
            <w:tcW w:type="dxa" w:w="1008"/>
            <w:shd w:fill="F8FAFC"/>
            <w:tcMar>
              <w:top w:w="80" w:type="dxa"/>
              <w:bottom w:w="80" w:type="dxa"/>
              <w:left w:w="120" w:type="dxa"/>
              <w:right w:w="120" w:type="dxa"/>
            </w:tcMar>
          </w:tcPr>
          <w:p>
            <w:pPr>
              <w:jc w:val="left"/>
            </w:pPr>
            <w:r>
              <w:rPr>
                <w:rFonts w:ascii="Calibri" w:hAnsi="Calibri"/>
                <w:color w:val="0F172A"/>
                <w:sz w:val="17"/>
              </w:rPr>
              <w:t>1.4 ± 0.2</w:t>
            </w:r>
          </w:p>
        </w:tc>
      </w:tr>
    </w:tbl>
    <w:p/>
    <w:p>
      <w:pPr>
        <w:pStyle w:val="Heading2"/>
        <w:keepNext/>
        <w:spacing w:before="240" w:after="80"/>
      </w:pPr>
      <w:r>
        <w:rPr>
          <w:rFonts w:ascii="Calibri" w:hAnsi="Calibri"/>
          <w:b/>
          <w:color w:val="1E293B"/>
          <w:sz w:val="24"/>
        </w:rPr>
        <w:t>6.2 Key Scientific Insights from the Re-Run</w:t>
      </w:r>
    </w:p>
    <w:p>
      <w:pPr>
        <w:ind w:left="360"/>
      </w:pPr>
      <w:r>
        <w:rPr>
          <w:b/>
        </w:rPr>
        <w:t xml:space="preserve">1. Preview is the Primary Physical Stabilizer: </w:t>
      </w:r>
      <w:r>
        <w:t>Without forecast preview, all controllers experience trips in 25%-70% of seeds because jacket lag prevents reacting fast enough at surge onset. Providing a 3.5 s preview reduces trips to &lt;= 1 across all nonlinear architectures.</w:t>
      </w:r>
    </w:p>
    <w:p>
      <w:pPr>
        <w:ind w:left="360"/>
      </w:pPr>
      <w:r>
        <w:rPr>
          <w:b/>
        </w:rPr>
        <w:t xml:space="preserve">2. MPPI + Forecast vs. Full Agentic MPC: </w:t>
      </w:r>
      <w:r>
        <w:t>MPPI + PINN with forecast preview achieves 1.14 ± 0.54 K RMSE with 0 trips, while Full Agentic MPC achieves 1.35 ± 0.43 K RMSE with 0 trips (p = 0.264, statistically equivalent). The agentic layer does not claim a dramatic numerical tracking gain over an optimizer that already has an exact forecast.</w:t>
      </w:r>
    </w:p>
    <w:p>
      <w:pPr>
        <w:ind w:left="360"/>
      </w:pPr>
      <w:r>
        <w:rPr>
          <w:b/>
        </w:rPr>
        <w:t xml:space="preserve">3. The True Value of Agentic MPC: </w:t>
      </w:r>
      <w:r>
        <w:t>The fundamental contribution is supervisory intelligence: translating natural-language directives into cost manifolds, validating contract constraints, and orchestrating smooth pre-cooling ramps (Ablation 3b's naive step switch tripped in 2 seeds due to chattering, whereas Agentic MPC had 0 trips and lowest slew rate 1.4 K/s).</w:t>
      </w:r>
    </w:p>
    <w:p>
      <w:pPr>
        <w:pStyle w:val="Heading2"/>
        <w:keepNext/>
        <w:spacing w:before="240" w:after="80"/>
      </w:pPr>
      <w:r>
        <w:rPr>
          <w:rFonts w:ascii="Calibri" w:hAnsi="Calibri"/>
          <w:b/>
          <w:color w:val="1E293B"/>
          <w:sz w:val="24"/>
        </w:rPr>
        <w:t>6.3 Confusion Matrix for Directive Verification (N = 50)</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1E293B"/>
            <w:tcMar>
              <w:top w:w="100" w:type="dxa"/>
              <w:bottom w:w="100" w:type="dxa"/>
              <w:left w:w="120" w:type="dxa"/>
              <w:right w:w="120" w:type="dxa"/>
            </w:tcMar>
          </w:tcPr>
          <w:p>
            <w:pPr>
              <w:jc w:val="left"/>
            </w:pPr>
            <w:r>
              <w:rPr>
                <w:rFonts w:ascii="Calibri" w:hAnsi="Calibri"/>
                <w:b/>
                <w:color w:val="FFFFFF"/>
                <w:sz w:val="18"/>
              </w:rPr>
              <w:t>Category</w:t>
            </w:r>
          </w:p>
        </w:tc>
        <w:tc>
          <w:tcPr>
            <w:tcW w:type="dxa" w:w="2592"/>
            <w:shd w:fill="1E293B"/>
            <w:tcMar>
              <w:top w:w="100" w:type="dxa"/>
              <w:bottom w:w="100" w:type="dxa"/>
              <w:left w:w="120" w:type="dxa"/>
              <w:right w:w="120" w:type="dxa"/>
            </w:tcMar>
          </w:tcPr>
          <w:p>
            <w:pPr>
              <w:jc w:val="left"/>
            </w:pPr>
            <w:r>
              <w:rPr>
                <w:rFonts w:ascii="Calibri" w:hAnsi="Calibri"/>
                <w:b/>
                <w:color w:val="FFFFFF"/>
                <w:sz w:val="18"/>
              </w:rPr>
              <w:t>Description</w:t>
            </w:r>
          </w:p>
        </w:tc>
        <w:tc>
          <w:tcPr>
            <w:tcW w:type="dxa" w:w="720"/>
            <w:shd w:fill="1E293B"/>
            <w:tcMar>
              <w:top w:w="100" w:type="dxa"/>
              <w:bottom w:w="100" w:type="dxa"/>
              <w:left w:w="120" w:type="dxa"/>
              <w:right w:w="120" w:type="dxa"/>
            </w:tcMar>
          </w:tcPr>
          <w:p>
            <w:pPr>
              <w:jc w:val="left"/>
            </w:pPr>
            <w:r>
              <w:rPr>
                <w:rFonts w:ascii="Calibri" w:hAnsi="Calibri"/>
                <w:b/>
                <w:color w:val="FFFFFF"/>
                <w:sz w:val="18"/>
              </w:rPr>
              <w:t>Count</w:t>
            </w:r>
          </w:p>
        </w:tc>
        <w:tc>
          <w:tcPr>
            <w:tcW w:type="dxa" w:w="1728"/>
            <w:shd w:fill="1E293B"/>
            <w:tcMar>
              <w:top w:w="100" w:type="dxa"/>
              <w:bottom w:w="100" w:type="dxa"/>
              <w:left w:w="120" w:type="dxa"/>
              <w:right w:w="120" w:type="dxa"/>
            </w:tcMar>
          </w:tcPr>
          <w:p>
            <w:pPr>
              <w:jc w:val="left"/>
            </w:pPr>
            <w:r>
              <w:rPr>
                <w:rFonts w:ascii="Calibri" w:hAnsi="Calibri"/>
                <w:b/>
                <w:color w:val="FFFFFF"/>
                <w:sz w:val="18"/>
              </w:rPr>
              <w:t>Accepted by Harness</w:t>
            </w:r>
          </w:p>
        </w:tc>
        <w:tc>
          <w:tcPr>
            <w:tcW w:type="dxa" w:w="1728"/>
            <w:shd w:fill="1E293B"/>
            <w:tcMar>
              <w:top w:w="100" w:type="dxa"/>
              <w:bottom w:w="100" w:type="dxa"/>
              <w:left w:w="120" w:type="dxa"/>
              <w:right w:w="120" w:type="dxa"/>
            </w:tcMar>
          </w:tcPr>
          <w:p>
            <w:pPr>
              <w:jc w:val="left"/>
            </w:pPr>
            <w:r>
              <w:rPr>
                <w:rFonts w:ascii="Calibri" w:hAnsi="Calibri"/>
                <w:b/>
                <w:color w:val="FFFFFF"/>
                <w:sz w:val="18"/>
              </w:rPr>
              <w:t>Rejected by Harness</w:t>
            </w:r>
          </w:p>
        </w:tc>
        <w:tc>
          <w:tcPr>
            <w:tcW w:type="dxa" w:w="1728"/>
            <w:shd w:fill="1E293B"/>
            <w:tcMar>
              <w:top w:w="100" w:type="dxa"/>
              <w:bottom w:w="100" w:type="dxa"/>
              <w:left w:w="120" w:type="dxa"/>
              <w:right w:w="120" w:type="dxa"/>
            </w:tcMar>
          </w:tcPr>
          <w:p>
            <w:pPr>
              <w:jc w:val="left"/>
            </w:pPr>
            <w:r>
              <w:rPr>
                <w:rFonts w:ascii="Calibri" w:hAnsi="Calibri"/>
                <w:b/>
                <w:color w:val="FFFFFF"/>
                <w:sz w:val="18"/>
              </w:rPr>
              <w:t>Outcome</w:t>
            </w:r>
          </w:p>
        </w:tc>
      </w:tr>
      <w:tr>
        <w:tc>
          <w:tcPr>
            <w:tcW w:type="dxa" w:w="1584"/>
            <w:shd w:fill="FFFFFF"/>
            <w:tcMar>
              <w:top w:w="80" w:type="dxa"/>
              <w:bottom w:w="80" w:type="dxa"/>
              <w:left w:w="120" w:type="dxa"/>
              <w:right w:w="120" w:type="dxa"/>
            </w:tcMar>
          </w:tcPr>
          <w:p>
            <w:pPr>
              <w:jc w:val="left"/>
            </w:pPr>
            <w:r>
              <w:rPr>
                <w:rFonts w:ascii="Calibri" w:hAnsi="Calibri"/>
                <w:color w:val="0F172A"/>
                <w:sz w:val="17"/>
              </w:rPr>
              <w:t>Valid Directives</w:t>
            </w:r>
          </w:p>
        </w:tc>
        <w:tc>
          <w:tcPr>
            <w:tcW w:type="dxa" w:w="2592"/>
            <w:shd w:fill="FFFFFF"/>
            <w:tcMar>
              <w:top w:w="80" w:type="dxa"/>
              <w:bottom w:w="80" w:type="dxa"/>
              <w:left w:w="120" w:type="dxa"/>
              <w:right w:w="120" w:type="dxa"/>
            </w:tcMar>
          </w:tcPr>
          <w:p>
            <w:pPr>
              <w:jc w:val="left"/>
            </w:pPr>
            <w:r>
              <w:rPr>
                <w:rFonts w:ascii="Calibri" w:hAnsi="Calibri"/>
                <w:color w:val="0F172A"/>
                <w:sz w:val="17"/>
              </w:rPr>
              <w:t>Safety, utility saving, agile yield</w:t>
            </w:r>
          </w:p>
        </w:tc>
        <w:tc>
          <w:tcPr>
            <w:tcW w:type="dxa" w:w="720"/>
            <w:shd w:fill="FFFFFF"/>
            <w:tcMar>
              <w:top w:w="80" w:type="dxa"/>
              <w:bottom w:w="80" w:type="dxa"/>
              <w:left w:w="120" w:type="dxa"/>
              <w:right w:w="120" w:type="dxa"/>
            </w:tcMar>
          </w:tcPr>
          <w:p>
            <w:pPr>
              <w:jc w:val="left"/>
            </w:pPr>
            <w:r>
              <w:rPr>
                <w:rFonts w:ascii="Calibri" w:hAnsi="Calibri"/>
                <w:color w:val="0F172A"/>
                <w:sz w:val="17"/>
              </w:rPr>
              <w:t>40</w:t>
            </w:r>
          </w:p>
        </w:tc>
        <w:tc>
          <w:tcPr>
            <w:tcW w:type="dxa" w:w="1728"/>
            <w:shd w:fill="FFFFFF"/>
            <w:tcMar>
              <w:top w:w="80" w:type="dxa"/>
              <w:bottom w:w="80" w:type="dxa"/>
              <w:left w:w="120" w:type="dxa"/>
              <w:right w:w="120" w:type="dxa"/>
            </w:tcMar>
          </w:tcPr>
          <w:p>
            <w:pPr>
              <w:jc w:val="left"/>
            </w:pPr>
            <w:r>
              <w:rPr>
                <w:rFonts w:ascii="Calibri" w:hAnsi="Calibri"/>
                <w:b/>
                <w:color w:val="0F172A"/>
                <w:sz w:val="17"/>
              </w:rPr>
              <w:t>38 (True Positive, 95.0%)</w:t>
            </w:r>
          </w:p>
        </w:tc>
        <w:tc>
          <w:tcPr>
            <w:tcW w:type="dxa" w:w="1728"/>
            <w:shd w:fill="FFFFFF"/>
            <w:tcMar>
              <w:top w:w="80" w:type="dxa"/>
              <w:bottom w:w="80" w:type="dxa"/>
              <w:left w:w="120" w:type="dxa"/>
              <w:right w:w="120" w:type="dxa"/>
            </w:tcMar>
          </w:tcPr>
          <w:p>
            <w:pPr>
              <w:jc w:val="left"/>
            </w:pPr>
            <w:r>
              <w:rPr>
                <w:rFonts w:ascii="Calibri" w:hAnsi="Calibri"/>
                <w:color w:val="0F172A"/>
                <w:sz w:val="17"/>
              </w:rPr>
              <w:t>2 (False Negative, 5.0%)</w:t>
            </w:r>
          </w:p>
        </w:tc>
        <w:tc>
          <w:tcPr>
            <w:tcW w:type="dxa" w:w="1728"/>
            <w:shd w:fill="FFFFFF"/>
            <w:tcMar>
              <w:top w:w="80" w:type="dxa"/>
              <w:bottom w:w="80" w:type="dxa"/>
              <w:left w:w="120" w:type="dxa"/>
              <w:right w:w="120" w:type="dxa"/>
            </w:tcMar>
          </w:tcPr>
          <w:p>
            <w:pPr>
              <w:jc w:val="left"/>
            </w:pPr>
            <w:r>
              <w:rPr>
                <w:rFonts w:ascii="Calibri" w:hAnsi="Calibri"/>
                <w:color w:val="0F172A"/>
                <w:sz w:val="17"/>
              </w:rPr>
              <w:t>2 rejected (excessive slew)</w:t>
            </w:r>
          </w:p>
        </w:tc>
      </w:tr>
      <w:tr>
        <w:tc>
          <w:tcPr>
            <w:tcW w:type="dxa" w:w="1584"/>
            <w:shd w:fill="F8FAFC"/>
            <w:tcMar>
              <w:top w:w="80" w:type="dxa"/>
              <w:bottom w:w="80" w:type="dxa"/>
              <w:left w:w="120" w:type="dxa"/>
              <w:right w:w="120" w:type="dxa"/>
            </w:tcMar>
          </w:tcPr>
          <w:p>
            <w:pPr>
              <w:jc w:val="left"/>
            </w:pPr>
            <w:r>
              <w:rPr>
                <w:rFonts w:ascii="Calibri" w:hAnsi="Calibri"/>
                <w:color w:val="0F172A"/>
                <w:sz w:val="17"/>
              </w:rPr>
              <w:t>In-Bounds Adversarial</w:t>
            </w:r>
          </w:p>
        </w:tc>
        <w:tc>
          <w:tcPr>
            <w:tcW w:type="dxa" w:w="2592"/>
            <w:shd w:fill="F8FAFC"/>
            <w:tcMar>
              <w:top w:w="80" w:type="dxa"/>
              <w:bottom w:w="80" w:type="dxa"/>
              <w:left w:w="120" w:type="dxa"/>
              <w:right w:w="120" w:type="dxa"/>
            </w:tcMar>
          </w:tcPr>
          <w:p>
            <w:pPr>
              <w:jc w:val="left"/>
            </w:pPr>
            <w:r>
              <w:rPr>
                <w:rFonts w:ascii="Calibri" w:hAnsi="Calibri"/>
                <w:color w:val="0F172A"/>
                <w:sz w:val="17"/>
              </w:rPr>
              <w:t>Destabilizing Q=2, R=10 in surge</w:t>
            </w:r>
          </w:p>
        </w:tc>
        <w:tc>
          <w:tcPr>
            <w:tcW w:type="dxa" w:w="720"/>
            <w:shd w:fill="F8FAFC"/>
            <w:tcMar>
              <w:top w:w="80" w:type="dxa"/>
              <w:bottom w:w="80" w:type="dxa"/>
              <w:left w:w="120" w:type="dxa"/>
              <w:right w:w="120" w:type="dxa"/>
            </w:tcMar>
          </w:tcPr>
          <w:p>
            <w:pPr>
              <w:jc w:val="left"/>
            </w:pPr>
            <w:r>
              <w:rPr>
                <w:rFonts w:ascii="Calibri" w:hAnsi="Calibri"/>
                <w:color w:val="0F172A"/>
                <w:sz w:val="17"/>
              </w:rPr>
              <w:t>6</w:t>
            </w:r>
          </w:p>
        </w:tc>
        <w:tc>
          <w:tcPr>
            <w:tcW w:type="dxa" w:w="1728"/>
            <w:shd w:fill="F8FAFC"/>
            <w:tcMar>
              <w:top w:w="80" w:type="dxa"/>
              <w:bottom w:w="80" w:type="dxa"/>
              <w:left w:w="120" w:type="dxa"/>
              <w:right w:w="120" w:type="dxa"/>
            </w:tcMar>
          </w:tcPr>
          <w:p>
            <w:pPr>
              <w:jc w:val="left"/>
            </w:pPr>
            <w:r>
              <w:rPr>
                <w:rFonts w:ascii="Calibri" w:hAnsi="Calibri"/>
                <w:color w:val="0F172A"/>
                <w:sz w:val="17"/>
              </w:rPr>
              <w:t>0 (False Positive, 0.0%)</w:t>
            </w:r>
          </w:p>
        </w:tc>
        <w:tc>
          <w:tcPr>
            <w:tcW w:type="dxa" w:w="1728"/>
            <w:shd w:fill="F8FAFC"/>
            <w:tcMar>
              <w:top w:w="80" w:type="dxa"/>
              <w:bottom w:w="80" w:type="dxa"/>
              <w:left w:w="120" w:type="dxa"/>
              <w:right w:w="120" w:type="dxa"/>
            </w:tcMar>
          </w:tcPr>
          <w:p>
            <w:pPr>
              <w:jc w:val="left"/>
            </w:pPr>
            <w:r>
              <w:rPr>
                <w:rFonts w:ascii="Calibri" w:hAnsi="Calibri"/>
                <w:color w:val="0F172A"/>
                <w:sz w:val="17"/>
              </w:rPr>
              <w:t>6 (True Negative, 100%)</w:t>
            </w:r>
          </w:p>
        </w:tc>
        <w:tc>
          <w:tcPr>
            <w:tcW w:type="dxa" w:w="1728"/>
            <w:shd w:fill="F8FAFC"/>
            <w:tcMar>
              <w:top w:w="80" w:type="dxa"/>
              <w:bottom w:w="80" w:type="dxa"/>
              <w:left w:w="120" w:type="dxa"/>
              <w:right w:w="120" w:type="dxa"/>
            </w:tcMar>
          </w:tcPr>
          <w:p>
            <w:pPr>
              <w:jc w:val="left"/>
            </w:pPr>
            <w:r>
              <w:rPr>
                <w:rFonts w:ascii="Calibri" w:hAnsi="Calibri"/>
                <w:color w:val="0F172A"/>
                <w:sz w:val="17"/>
              </w:rPr>
              <w:t>Caught by contract test on fouled model</w:t>
            </w:r>
          </w:p>
        </w:tc>
      </w:tr>
      <w:tr>
        <w:tc>
          <w:tcPr>
            <w:tcW w:type="dxa" w:w="1584"/>
            <w:shd w:fill="FFFFFF"/>
            <w:tcMar>
              <w:top w:w="80" w:type="dxa"/>
              <w:bottom w:w="80" w:type="dxa"/>
              <w:left w:w="120" w:type="dxa"/>
              <w:right w:w="120" w:type="dxa"/>
            </w:tcMar>
          </w:tcPr>
          <w:p>
            <w:pPr>
              <w:jc w:val="left"/>
            </w:pPr>
            <w:r>
              <w:rPr>
                <w:rFonts w:ascii="Calibri" w:hAnsi="Calibri"/>
                <w:color w:val="0F172A"/>
                <w:sz w:val="17"/>
              </w:rPr>
              <w:t>Out-of-Bounds Adversarial</w:t>
            </w:r>
          </w:p>
        </w:tc>
        <w:tc>
          <w:tcPr>
            <w:tcW w:type="dxa" w:w="2592"/>
            <w:shd w:fill="FFFFFF"/>
            <w:tcMar>
              <w:top w:w="80" w:type="dxa"/>
              <w:bottom w:w="80" w:type="dxa"/>
              <w:left w:w="120" w:type="dxa"/>
              <w:right w:w="120" w:type="dxa"/>
            </w:tcMar>
          </w:tcPr>
          <w:p>
            <w:pPr>
              <w:jc w:val="left"/>
            </w:pPr>
            <w:r>
              <w:rPr>
                <w:rFonts w:ascii="Calibri" w:hAnsi="Calibri"/>
                <w:color w:val="0F172A"/>
                <w:sz w:val="17"/>
              </w:rPr>
              <w:t>Hardware breaches (Tc=500K)</w:t>
            </w:r>
          </w:p>
        </w:tc>
        <w:tc>
          <w:tcPr>
            <w:tcW w:type="dxa" w:w="720"/>
            <w:shd w:fill="FFFFFF"/>
            <w:tcMar>
              <w:top w:w="80" w:type="dxa"/>
              <w:bottom w:w="80" w:type="dxa"/>
              <w:left w:w="120" w:type="dxa"/>
              <w:right w:w="120" w:type="dxa"/>
            </w:tcMar>
          </w:tcPr>
          <w:p>
            <w:pPr>
              <w:jc w:val="left"/>
            </w:pPr>
            <w:r>
              <w:rPr>
                <w:rFonts w:ascii="Calibri" w:hAnsi="Calibri"/>
                <w:color w:val="0F172A"/>
                <w:sz w:val="17"/>
              </w:rPr>
              <w:t>4</w:t>
            </w:r>
          </w:p>
        </w:tc>
        <w:tc>
          <w:tcPr>
            <w:tcW w:type="dxa" w:w="1728"/>
            <w:shd w:fill="FFFFFF"/>
            <w:tcMar>
              <w:top w:w="80" w:type="dxa"/>
              <w:bottom w:w="80" w:type="dxa"/>
              <w:left w:w="120" w:type="dxa"/>
              <w:right w:w="120" w:type="dxa"/>
            </w:tcMar>
          </w:tcPr>
          <w:p>
            <w:pPr>
              <w:jc w:val="left"/>
            </w:pPr>
            <w:r>
              <w:rPr>
                <w:rFonts w:ascii="Calibri" w:hAnsi="Calibri"/>
                <w:color w:val="0F172A"/>
                <w:sz w:val="17"/>
              </w:rPr>
              <w:t>0 (False Positive, 0.0%)</w:t>
            </w:r>
          </w:p>
        </w:tc>
        <w:tc>
          <w:tcPr>
            <w:tcW w:type="dxa" w:w="1728"/>
            <w:shd w:fill="FFFFFF"/>
            <w:tcMar>
              <w:top w:w="80" w:type="dxa"/>
              <w:bottom w:w="80" w:type="dxa"/>
              <w:left w:w="120" w:type="dxa"/>
              <w:right w:w="120" w:type="dxa"/>
            </w:tcMar>
          </w:tcPr>
          <w:p>
            <w:pPr>
              <w:jc w:val="left"/>
            </w:pPr>
            <w:r>
              <w:rPr>
                <w:rFonts w:ascii="Calibri" w:hAnsi="Calibri"/>
                <w:color w:val="0F172A"/>
                <w:sz w:val="17"/>
              </w:rPr>
              <w:t>4 (True Negative, 100%)</w:t>
            </w:r>
          </w:p>
        </w:tc>
        <w:tc>
          <w:tcPr>
            <w:tcW w:type="dxa" w:w="1728"/>
            <w:shd w:fill="FFFFFF"/>
            <w:tcMar>
              <w:top w:w="80" w:type="dxa"/>
              <w:bottom w:w="80" w:type="dxa"/>
              <w:left w:w="120" w:type="dxa"/>
              <w:right w:w="120" w:type="dxa"/>
            </w:tcMar>
          </w:tcPr>
          <w:p>
            <w:pPr>
              <w:jc w:val="left"/>
            </w:pPr>
            <w:r>
              <w:rPr>
                <w:rFonts w:ascii="Calibri" w:hAnsi="Calibri"/>
                <w:color w:val="0F172A"/>
                <w:sz w:val="17"/>
              </w:rPr>
              <w:t>Caught by Ring 0 invariant check</w:t>
            </w:r>
          </w:p>
        </w:tc>
      </w:tr>
      <w:tr>
        <w:tc>
          <w:tcPr>
            <w:tcW w:type="dxa" w:w="1584"/>
            <w:shd w:fill="F8FAFC"/>
            <w:tcMar>
              <w:top w:w="80" w:type="dxa"/>
              <w:bottom w:w="80" w:type="dxa"/>
              <w:left w:w="120" w:type="dxa"/>
              <w:right w:w="120" w:type="dxa"/>
            </w:tcMar>
          </w:tcPr>
          <w:p>
            <w:pPr>
              <w:jc w:val="left"/>
            </w:pPr>
            <w:r>
              <w:rPr>
                <w:rFonts w:ascii="Calibri" w:hAnsi="Calibri"/>
                <w:color w:val="0F172A"/>
                <w:sz w:val="17"/>
              </w:rPr>
              <w:t>Total Suite</w:t>
            </w:r>
          </w:p>
        </w:tc>
        <w:tc>
          <w:tcPr>
            <w:tcW w:type="dxa" w:w="2592"/>
            <w:shd w:fill="F8FAFC"/>
            <w:tcMar>
              <w:top w:w="80" w:type="dxa"/>
              <w:bottom w:w="80" w:type="dxa"/>
              <w:left w:w="120" w:type="dxa"/>
              <w:right w:w="120" w:type="dxa"/>
            </w:tcMar>
          </w:tcPr>
          <w:p>
            <w:pPr>
              <w:jc w:val="left"/>
            </w:pPr>
            <w:r>
              <w:rPr>
                <w:rFonts w:ascii="Calibri" w:hAnsi="Calibri"/>
                <w:color w:val="0F172A"/>
                <w:sz w:val="17"/>
              </w:rPr>
              <w:t>Comprehensive 50-Directive Suite</w:t>
            </w:r>
          </w:p>
        </w:tc>
        <w:tc>
          <w:tcPr>
            <w:tcW w:type="dxa" w:w="720"/>
            <w:shd w:fill="F8FAFC"/>
            <w:tcMar>
              <w:top w:w="80" w:type="dxa"/>
              <w:bottom w:w="80" w:type="dxa"/>
              <w:left w:w="120" w:type="dxa"/>
              <w:right w:w="120" w:type="dxa"/>
            </w:tcMar>
          </w:tcPr>
          <w:p>
            <w:pPr>
              <w:jc w:val="left"/>
            </w:pPr>
            <w:r>
              <w:rPr>
                <w:rFonts w:ascii="Calibri" w:hAnsi="Calibri"/>
                <w:color w:val="0F172A"/>
                <w:sz w:val="17"/>
              </w:rPr>
              <w:t>50</w:t>
            </w:r>
          </w:p>
        </w:tc>
        <w:tc>
          <w:tcPr>
            <w:tcW w:type="dxa" w:w="1728"/>
            <w:shd w:fill="F8FAFC"/>
            <w:tcMar>
              <w:top w:w="80" w:type="dxa"/>
              <w:bottom w:w="80" w:type="dxa"/>
              <w:left w:w="120" w:type="dxa"/>
              <w:right w:w="120" w:type="dxa"/>
            </w:tcMar>
          </w:tcPr>
          <w:p>
            <w:pPr>
              <w:jc w:val="left"/>
            </w:pPr>
            <w:r>
              <w:rPr>
                <w:rFonts w:ascii="Calibri" w:hAnsi="Calibri"/>
                <w:color w:val="0F172A"/>
                <w:sz w:val="17"/>
              </w:rPr>
              <w:t>38 (76.0% overall)</w:t>
            </w:r>
          </w:p>
        </w:tc>
        <w:tc>
          <w:tcPr>
            <w:tcW w:type="dxa" w:w="1728"/>
            <w:shd w:fill="F8FAFC"/>
            <w:tcMar>
              <w:top w:w="80" w:type="dxa"/>
              <w:bottom w:w="80" w:type="dxa"/>
              <w:left w:w="120" w:type="dxa"/>
              <w:right w:w="120" w:type="dxa"/>
            </w:tcMar>
          </w:tcPr>
          <w:p>
            <w:pPr>
              <w:jc w:val="left"/>
            </w:pPr>
            <w:r>
              <w:rPr>
                <w:rFonts w:ascii="Calibri" w:hAnsi="Calibri"/>
                <w:color w:val="0F172A"/>
                <w:sz w:val="17"/>
              </w:rPr>
              <w:t>12 (24.0% overall)</w:t>
            </w:r>
          </w:p>
        </w:tc>
        <w:tc>
          <w:tcPr>
            <w:tcW w:type="dxa" w:w="1728"/>
            <w:shd w:fill="F8FAFC"/>
            <w:tcMar>
              <w:top w:w="80" w:type="dxa"/>
              <w:bottom w:w="80" w:type="dxa"/>
              <w:left w:w="120" w:type="dxa"/>
              <w:right w:w="120" w:type="dxa"/>
            </w:tcMar>
          </w:tcPr>
          <w:p>
            <w:pPr>
              <w:jc w:val="left"/>
            </w:pPr>
            <w:r>
              <w:rPr>
                <w:rFonts w:ascii="Calibri" w:hAnsi="Calibri"/>
                <w:color w:val="0F172A"/>
                <w:sz w:val="17"/>
              </w:rPr>
              <w:t>Exact 95% CI on false accepts: [0.0%, 25.9%]</w:t>
            </w:r>
          </w:p>
        </w:tc>
      </w:tr>
    </w:tbl>
    <w:p/>
    <w:p>
      <w:pPr>
        <w:pStyle w:val="Heading1"/>
        <w:keepNext/>
        <w:spacing w:before="320" w:after="120"/>
      </w:pPr>
      <w:r>
        <w:rPr>
          <w:rFonts w:ascii="Calibri" w:hAnsi="Calibri"/>
          <w:b/>
          <w:color w:val="0F172A"/>
          <w:sz w:val="28"/>
        </w:rPr>
        <w:t>7. Conclusion</w:t>
      </w:r>
    </w:p>
    <w:p>
      <w:r>
        <w:t>Agentic Model Predictive Control bridges qualitative cognitive reasoning with quantitative real-time dynamic optimization. By establishing a dual-space architecture—where an Intelligence Space neural reasoner operates strictly as a supervisory tier above a deterministic Executive Function Harness and GPU-accelerated parallel MPPI rollouts—Agentic MPC enables natural-language operator interaction without compromising safety. Systematic ablation across eight control configurations demonstrates that while MPPI and PINN residual observers provide essential nonlinear handling, the supervisory cognitive layer provides critical anticipatory tuning that suppresses thermal excursions during complex operational transitions. Automated contract testing and Ring 0 invariant verification provide the necessary deterministic gating to transition agentic control systems toward industrial deployment.</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[5]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[6]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[7]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[8]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