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36"/>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F172A"/>
                <w:sz w:val="21"/>
              </w:rPr>
              <w:t>■ ABSTRACT</w:t>
              <w:br/>
            </w:r>
            <w:r>
              <w:rPr>
                <w:rFonts w:ascii="Cambria" w:hAnsi="Cambria"/>
                <w:color w:val="334155"/>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unstructured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parallel trajectory rollouts via GPU/WebGPU compute shaders, augmented by an online recursive parameter observer.</w:t>
              <w:br/>
              <w:br/>
              <w:t>We evaluate the physical dynamics on an exothermic Continuous Stirred-Tank Reactor (CSTR) undergoing non-linear kinetic surges across a fully reproducible benchmark suite spanning 20 randomized seeds with varying surge magnitudes (C_A0 in [+10%, +30%], T_0 in [+5 K, +12 K], UA in [-10%, -35%]) and advance-warning advisory lead time (t_lead = 3.5 s). Numerical dynamic optimization demonstrates that with zero advance warning, the combined jacket transport delay (tau_j = 2.0 s) and valve slew limit (12 K/s) physically prevent avoiding thermal runaway (T_max &gt;= 440 K), establishing a physical floor of 6/20 trips across all feedback controllers (Linear MPC: 6/20 trips, 9.49 K RMSE; NMPC: 6/20 trips, 9.62 K RMSE; MPPI: 6/20 trips, 9.79 K RMSE).</w:t>
              <w:br/>
              <w:br/>
              <w:t>When advance preview lookahead (t_lead = 3.5 s) is supplied, trips drop to 1/20 across all preview controllers, with failure occurring exclusively on Seed 18 (an extreme corner realization requiring &gt;4.5 s of lead time). Crucially, our ablation isolates that the supervisory layer's quantitative advantage (0.95 ± 0.40 K non-trip RMSE vs. 1.81 ± 1.11 K for standard preview MPPI) stems from coordinating an anticipatory pre-cooling ramp that avoids reaction quenching: naive rule-based step switching quenches the reactor, accumulates unreacted feed, and triggers delayed thermal blowout (8/20 trips, 9.44 K RMSE). We present the full system architecture, formal Ring 0 contract invariants, and offline prompt evaluation protocols, establishing a rigorous foundation for process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neural network formulations (Raissi et al., 2019) have inspired domain-constrained residual observers that embed conservation laws into state estimation.</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4.0 s). When future disturbances are known in advance, mathematical solvers with preview can naturally pre-actuate within their horizon. However, in actual plant operations, forecasts arrive as human shift handover notes, laboratory feed analysis reports, or upstream DCS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cost manifold parameters θ_M = {q_T, q_barrier, u_target, λ}.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 (Jacobian QP)</w:t>
      </w:r>
    </w:p>
    <w:p>
      <w:r>
        <w:t>The linear discrete-time optimal control problem is solved as a condensed Quadratic Program (QP) around the textbook steady state (C_A,ref = 0.50 mol/L, T_ref = 350.0 K, T_c,base = 300.0 K). The Jacobian matrix A has eigenvalues [-0.0076, +0.0472] s^-1, exhibiting an open-loop thermal runaway pole (tau_growth ~ 21.2 s). State penalty is Q = diag(10.0, q_T), R = 0.02, input bounds [280, 360] K, and slew limit 12 K/s.</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min_U  (1/2) U^T H_qp U + g^T U    subject to: u_min &lt;= u_k &lt;= u_max,  |Δu_k| &lt;= Δu_max</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(1)</w:t>
            </w:r>
          </w:p>
        </w:tc>
      </w:tr>
    </w:tbl>
    <w:p/>
    <w:p>
      <w:pPr>
        <w:pStyle w:val="Heading2"/>
        <w:keepNext/>
        <w:spacing w:before="240" w:after="80"/>
      </w:pPr>
      <w:r>
        <w:rPr>
          <w:rFonts w:ascii="Calibri" w:hAnsi="Calibri"/>
          <w:b/>
          <w:color w:val="1E293B"/>
          <w:sz w:val="24"/>
        </w:rPr>
        <w:t>3.2 Model Predictive Path Integral (MPPI) Formulation</w:t>
      </w:r>
    </w:p>
    <w:p>
      <w:r>
        <w:t>MPPI evaluates K = 1,024 stochastic control rollouts sampled from N(0, Σ) with covariance Σ = 6.0^2 I and temperature λ = 10.0. The optimal control update is computed via softmax importance weighting:</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u_t* = u_t + ∑_{m=1}^K w(U^{(m)}) ε_t^{(m)},    w(U^{(m)}) = exp(-S(U^{(m)})/λ) / ∑_j exp(-S(U^{(j)})/λ)</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(2)</w:t>
            </w:r>
          </w:p>
        </w:tc>
      </w:tr>
    </w:tbl>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Numerical Dynamic Oracle Feasibility</w:t>
      </w:r>
    </w:p>
    <w:p>
      <w:r>
        <w:t>Dynamic trajectory optimization over the benchmark kinetic surge demonstrates the physical controllability limits:</w:t>
      </w:r>
    </w:p>
    <w:tbl>
      <w:tblPr>
        <w:tblW w:type="auto" w:w="0"/>
        <w:jc w:val="center"/>
        <w:tblLook w:firstColumn="1" w:firstRow="1" w:lastColumn="0" w:lastRow="0" w:noHBand="0" w:noVBand="1" w:val="04A0"/>
      </w:tblPr>
      <w:tblGrid>
        <w:gridCol w:w="2160"/>
        <w:gridCol w:w="2016"/>
        <w:gridCol w:w="2016"/>
        <w:gridCol w:w="3888"/>
      </w:tblGrid>
      <w:tr>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 t_lead</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Temp T_max (K)</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 (&gt;= 385.0 K)</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Operational Controllability Outcome</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 (Reaction at Onset)</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444.9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Unsurvivable runaway due to jacket lag (tau_j = 2 s) &amp; slew cap</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443.4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Insufficient thermal extraction ahead of exponential surge</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378.2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Modulated dynamic pre-cooling contains surge below trip</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367.8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Stable containment with 17.2 K safety margin</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361.2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Smooth containment</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356.5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Robust containment (28.5 K margin to trip)</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Fully absorbed thermal surge clamped at nominal setpoint</w:t>
            </w:r>
          </w:p>
        </w:tc>
      </w:tr>
    </w:tbl>
    <w:p/>
    <w:p>
      <w:pPr>
        <w:pStyle w:val="Heading1"/>
        <w:keepNext/>
        <w:spacing w:before="320" w:after="120"/>
      </w:pPr>
      <w:r>
        <w:rPr>
          <w:rFonts w:ascii="Calibri" w:hAnsi="Calibri"/>
          <w:b/>
          <w:color w:val="0F172A"/>
          <w:sz w:val="28"/>
        </w:rPr>
        <w:t>5. Verification &amp; Safety Architecture</w:t>
      </w:r>
    </w:p>
    <w:p>
      <w:r>
        <w:t>Agentic MPC enforces defense-in-depth: Ring 0 invariant checking (q_T &gt;= 0.1, q_barrier &gt;= 1000, u in [280, 360] K, slew &lt;= 12 K/s), automated contract unit tests on the active fouled plant model (&lt;30 ms), a software preemptive breaker at 382 K, and an independent hardware SIS scram at 385 K (failsafe cooling valve full open, feed shut off).</w:t>
      </w:r>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Seeds</w:t>
      </w:r>
    </w:p>
    <w:p>
      <w:r>
        <w:t>Table 2 presents authentic simulation results across 20 randomized seeds computed directly from discrete QP, L-BFGS-B NMPC, and GPU MPPI path integral solvers:</w:t>
      </w:r>
    </w:p>
    <w:tbl>
      <w:tblPr>
        <w:tblW w:type="auto" w:w="0"/>
        <w:jc w:val="center"/>
        <w:tblLook w:firstColumn="1" w:firstRow="1" w:lastColumn="0" w:lastRow="0" w:noHBand="0" w:noVBand="1" w:val="04A0"/>
      </w:tblPr>
      <w:tblGrid>
        <w:gridCol w:w="1584"/>
        <w:gridCol w:w="2592"/>
        <w:gridCol w:w="1152"/>
        <w:gridCol w:w="1152"/>
        <w:gridCol w:w="1296"/>
        <w:gridCol w:w="1008"/>
        <w:gridCol w:w="1008"/>
        <w:gridCol w:w="1008"/>
      </w:tblGrid>
      <w:tr>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Controller Type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Surv RMSE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All RMSE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(K)</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Slew (K/s)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Settled</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 (qT=1)</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2.56 ± 1.36</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16.26 ± 5.52</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389.3 ± 14.2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3.29 ± 0.95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(60%)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(9.8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 (qT=10)</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10.0,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2.45 ± 1.41</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9.49 ± 5.34</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372.1 ± 13.5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4.85 ± 1.12</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(7.1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(L-BFGS-B,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2.48 ± 1.47</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9.62 ± 5.37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372.9 ± 13.7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5.04 ± 1.29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(6.9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1</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(Static θ*,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2.98 ± 1.75</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12.03 ± 5.57</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378.9 ± 14.6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2.44 ± 0.38</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 / 20 (8.6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2</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Observer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2.60 ± 1.28</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9.79 ± 5.39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373.4 ± 13.9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2.42 ± 0.38</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 / 20 (11.6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(With Forecast Preview)</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1.47 ± 0.85</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2.82 ± 2.93</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356.7 ± 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6.41 ± 1.03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(2.6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Observer (With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1.81 ± 1.11</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3.11 ± 2.99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357.3 ± 7.7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2.72 ± 0.19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 / 20 (5.7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Rule Supervisor + MPPI</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2.50 ± 1.66</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9.44 ± 4.92</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381.1 ± 17.1</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3.77 ± 0.37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(13.1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 System</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Agentic MPC (Full Architecture)</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0.95 ± 0.40</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2.17 ± 2.57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355.5 ± 6.2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3.36 ± 0.19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(2.9 s)</w:t>
            </w:r>
          </w:p>
        </w:tc>
      </w:tr>
    </w:tbl>
    <w:p/>
    <w:p>
      <w:pPr>
        <w:pStyle w:val="Heading2"/>
        <w:keepNext/>
        <w:spacing w:before="240" w:after="80"/>
      </w:pPr>
      <w:r>
        <w:rPr>
          <w:rFonts w:ascii="Calibri" w:hAnsi="Calibri"/>
          <w:b/>
          <w:color w:val="1E293B"/>
          <w:sz w:val="24"/>
        </w:rPr>
        <w:t>6.2 Deconstructing the Supervisory Advantage</w:t>
      </w:r>
    </w:p>
    <w:p>
      <w:r>
        <w:t>Ablation across the 19 non-trip seeds isolates the quantitative mechanism behind the supervisory schedule:</w:t>
      </w:r>
    </w:p>
    <w:tbl>
      <w:tblPr>
        <w:tblW w:type="auto" w:w="0"/>
        <w:jc w:val="center"/>
        <w:tblLook w:firstColumn="1" w:firstRow="1" w:lastColumn="0" w:lastRow="0" w:noHBand="0" w:noVBand="1" w:val="04A0"/>
      </w:tblPr>
      <w:tblGrid>
        <w:gridCol w:w="3168"/>
        <w:gridCol w:w="2160"/>
        <w:gridCol w:w="5040"/>
      </w:tblGrid>
      <w:tr>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Configuration</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 RMSE</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Physical Mechanism</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MPPI + Forecast Preview</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1.81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Unconstrained optimal preview tracking</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Ramp Cap Only</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1.12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Modulates pre-cooling to 282 K, preventing reaction quenching</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Elevated Barrier Weights Only</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1.36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Stiff penalty keeps state strictly within safe envelope</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Both (Anticipatory Supervisory Schedule)</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0.95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Coordinated pre-cooling containment (+0.86 K gain, p = 0.0088)</w:t>
            </w:r>
          </w:p>
        </w:tc>
      </w:tr>
    </w:tbl>
    <w:p/>
    <w:p>
      <w:pPr>
        <w:pStyle w:val="Heading1"/>
        <w:keepNext/>
        <w:spacing w:before="320" w:after="120"/>
      </w:pPr>
      <w:r>
        <w:rPr>
          <w:rFonts w:ascii="Calibri" w:hAnsi="Calibri"/>
          <w:b/>
          <w:color w:val="0F172A"/>
          <w:sz w:val="28"/>
        </w:rPr>
        <w:t>7. Industrial Deployment Limits &amp; Conclusion</w:t>
      </w:r>
    </w:p>
    <w:p>
      <w:r>
        <w:t>While Agentic MPC demonstrates robust supervisory capabilities in simulation, certified industrial deployment requires strict separation of concerns. Under IEC 61511 / ISA-84, safety instrumented functions must remain physically independent, deterministic, and SIL-rated. The agentic layer operates solely in the basic process control system (BPCS) supervisory space and must never share hardware, sensors, or actuators with the emergency shutdown interlock. Systematic ablation across eight control configurations demonstrates that while numerical preview lookahead provides the essential physical mechanism of thermal stabilization, the supervisory agentic layer provides critical directive translation, formal contract gating, and smooth pre-cooling modulation that eliminates the hazardous quenching trips of naive rule-based switching. Automated contract testing and Ring 0 invariant verification provide the necessary deterministic gating to transition agentic control systems toward industrial deployment.</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[5]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[6]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[7]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[8]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