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36"/>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F172A"/>
                <w:sz w:val="21"/>
              </w:rPr>
              <w:t>■ ABSTRACT</w:t>
              <w:br/>
            </w:r>
            <w:r>
              <w:rPr>
                <w:rFonts w:ascii="Cambria" w:hAnsi="Cambria"/>
                <w:color w:val="334155"/>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unstructured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parallel trajectory rollouts via GPU/WebGPU compute shaders, supported by an online lagged parameter filter.</w:t>
              <w:br/>
              <w:br/>
              <w:t>We evaluate the physical dynamics on an exothermic Continuous Stirred-Tank Reactor (CSTR) undergoing non-linear kinetic surges across a fully reproducible simulation case study spanning 20 randomized scenarios (C_A0 in [+10%, +30%], T_0 in [+5 K, +12 K], UA in [-10%, -35%]) and advance-warning advisory lead time (t_lead = 3.5 s). Numerical simulation demonstrates an empirical feedback floor of 6/20 trips across feedback controllers on this scenario set: when tuned equally (q_T = 10.0), Linear MPC trips in 6/20 scenarios (2.26 ± 1.14 K non-trip RMSE, 9.49 ± 5.39 K overall RMSE), matching NMPC (6/20 trips, 2.48 ± 1.47 K non-trip, 9.62 ± 5.37 K overall) and MPPI with a lagged-UA filter (6/20 trips, 2.61 ± 1.34 K non-trip, 9.82 ± 5.39 K overall), all tripping on the identical six scenarios (Seeds 4, 5, 8, 16, 18, 20). When weakly penalized (q_T = 1.0), Linear MPC trips in 12/20 scenarios (16.26 ± 5.52 K overall RMSE). Notably, all reactive trips and the single preview trip occur 4–31 s after the surge ends during post-surge recovery, rather than at surge onset.</w:t>
              <w:br/>
              <w:br/>
              <w:t>When advance preview lookahead (t_lead = 3.5 s) is supplied, trips drop to 1/20 across all preview controllers, with failure occurring exclusively on Seed 18 (an extreme corner realization requiring ≈ 4.5 s of lead time). Crucially, our ablation isolates that the supervisory schedule's quantitative advantage (0.94 ± 0.41 K non-trip RMSE vs. 1.75 ± 1.00 K for standard preview MPPI, representing a 0.81 K gain across 19 shared survivors, paired t-test p = 0.013) stems from coordinating an anticipatory pre-cooling ramp that avoids reaction quenching: naive rule-based step switching quenches the reactor, accumulates unreacted feed, and triggers delayed thermal blowout (8/20 trips, 1.45 ± 0.68 K non-trip RMSE). We present the LLM supervisory layer as the proposed architecture for qualitative interaction and formulate the physical control and safety contract harness, establishing a simulation case study for anticipatory process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parameter tracking formulations have motivated domain-constrained residual filters that track conservation laws during online estimation; in this study, parameter compensation is evaluated via a direct lagged parameter tracking filter.</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4.0 s). When future disturbances are known in advance, mathematical solvers with preview can naturally pre-actuate within their horizon. However, in actual plant operations, forecasts arrive as human shift handover notes, laboratory feed analysis reports, or upstream DCS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candidate cost manifold parameters θ_M = {q_T, q_barrier, u_target, λ}.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 (Jacobian QP)</w:t>
      </w:r>
    </w:p>
    <w:p>
      <w:r>
        <w:t>The linear discrete-time optimal control problem is solved as a condensed Quadratic Program (QP) around the textbook steady state (C_A,ref = 0.50 mol/L, T_ref = 350.0 K, T_c,base = 300.0 K). The Jacobian matrix A has eigenvalues [-0.0076, +0.0472] s^-1, exhibiting an open-loop thermal runaway pole (tau_growth ~ 21.2 s). State penalty is Q = diag(10.0, q_T), R = 0.02, input bounds [280, 360] K, and slew limit 12 K/s. Linear MPC is evaluated at both q_T = 1.0 and q_T = 10.0.</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min_U  (1/2) U^T H_qp U + g^T U    subject to: u_min &lt;= u_k &lt;= u_max,  |Δu_k| &lt;= Δu_max</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(1)</w:t>
            </w:r>
          </w:p>
        </w:tc>
      </w:tr>
    </w:tbl>
    <w:p/>
    <w:p>
      <w:pPr>
        <w:pStyle w:val="Heading2"/>
        <w:keepNext/>
        <w:spacing w:before="240" w:after="80"/>
      </w:pPr>
      <w:r>
        <w:rPr>
          <w:rFonts w:ascii="Calibri" w:hAnsi="Calibri"/>
          <w:b/>
          <w:color w:val="1E293B"/>
          <w:sz w:val="24"/>
        </w:rPr>
        <w:t>3.2 Model Predictive Path Integral (MPPI) Formulation</w:t>
      </w:r>
    </w:p>
    <w:p>
      <w:r>
        <w:t>MPPI evaluates K = 1,024 stochastic control rollouts sampled from N(0, Σ) with covariance Σ = 6.0^2 I and temperature λ = 10.0. The optimal control update is computed via softmax importance weighting:</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u_t* = u_t + ∑_{m=1}^K w(U^{(m)}) ε_t^{(m)},    w(U^{(m)}) = exp(-S(U^{(m)})/λ) / ∑_j exp(-S(U^{(j)})/λ)</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(2)</w:t>
            </w:r>
          </w:p>
        </w:tc>
      </w:tr>
    </w:tbl>
    <w:p/>
    <w:p>
      <w:pPr>
        <w:pStyle w:val="Heading2"/>
        <w:keepNext/>
        <w:spacing w:before="240" w:after="80"/>
      </w:pPr>
      <w:r>
        <w:rPr>
          <w:rFonts w:ascii="Calibri" w:hAnsi="Calibri"/>
          <w:b/>
          <w:color w:val="1E293B"/>
          <w:sz w:val="24"/>
        </w:rPr>
        <w:t>3.3 Lagged-UA Tracking Filter</w:t>
      </w:r>
    </w:p>
    <w:p>
      <w:r>
        <w:t>To evaluate parameter identification during fouling, a first-order lagged filter tracks the true parameter UA(t) after surge onset: UA_est += 0.02 * (UA_true - UA_est) per 0.02 s step (tau = 1.0 s). Uses the true parameter directly. With forecast lookahead, the forecast vector supplies UA directly, so the filter primarily impacts the no-forecast MPPI baseline (12.03 K -&gt; 9.82 K overall RMSE).</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Hold-280 K Lead-Time Sweep &amp; Controllability Limits</w:t>
      </w:r>
    </w:p>
    <w:p>
      <w:r>
        <w:t>An empirical hold-280 K lead-time sweep over the benchmark kinetic surge evaluates required early advisory warning when stepping jacket coolant flatly to u = 280 K:</w:t>
      </w:r>
    </w:p>
    <w:tbl>
      <w:tblPr>
        <w:tblW w:type="auto" w:w="0"/>
        <w:jc w:val="center"/>
        <w:tblLook w:firstColumn="1" w:firstRow="1" w:lastColumn="0" w:lastRow="0" w:noHBand="0" w:noVBand="1" w:val="04A0"/>
      </w:tblPr>
      <w:tblGrid>
        <w:gridCol w:w="2160"/>
        <w:gridCol w:w="2016"/>
        <w:gridCol w:w="2016"/>
        <w:gridCol w:w="3888"/>
      </w:tblGrid>
      <w:tr>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 t_lead</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Temp T_max (K)</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 (&gt;= 385.0 K)</w:t>
            </w:r>
          </w:p>
        </w:tc>
        <w:tc>
          <w:tcPr>
            <w:tcW w:type="dxa" w:w="234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Operational Controllability Outcome</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 (Reaction at Onset)</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444.9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Unsurvivable runaway due to jacket lag (tau_j = 2 s) &amp; slew cap</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443.3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Insufficient thermal extraction ahead of exponential surge</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441.6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Thermal runaway breaches limit</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440.6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Slew rate cap delays thermal extraction</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439.6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Delayed post-surge blowout</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3.25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404.9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(Breached)</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Marginal thermal breach</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369.3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Thermal buffer prevents runaway (15.7 K margin)</w:t>
            </w:r>
          </w:p>
        </w:tc>
      </w:tr>
      <w:tr>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4.0 s Lead Time</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352.7 K</w:t>
            </w:r>
          </w:p>
        </w:tc>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Robust containment</w:t>
            </w:r>
          </w:p>
        </w:tc>
      </w:tr>
      <w:tr>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 Lead Time</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 (Zero Trip)</w:t>
            </w:r>
          </w:p>
        </w:tc>
        <w:tc>
          <w:tcPr>
            <w:tcW w:type="dxa" w:w="388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Fully absorbed thermal surge clamped at nominal setpoint</w:t>
            </w:r>
          </w:p>
        </w:tc>
      </w:tr>
    </w:tbl>
    <w:p>
      <w:r>
        <w:t>Caveat: Hold-280 K is an elementary heuristic policy tripping 12/20 seeds at zero lead (higher than feedback controllers at 6/20). It is an empirical sweep, not an optimal-control bound. The six reactive trip scenarios require: Seeds 4, 5, 8, 16, 18, 20 need 3.0 s, 3.0 s, 3.0 s, 2.0 s, 4.5 s, and 3.0 s respectively; all other 14 scenarios need &lt;= 1.0 s.</w:t>
      </w:r>
    </w:p>
    <w:p>
      <w:pPr>
        <w:pStyle w:val="Heading1"/>
        <w:keepNext/>
        <w:spacing w:before="320" w:after="120"/>
      </w:pPr>
      <w:r>
        <w:rPr>
          <w:rFonts w:ascii="Calibri" w:hAnsi="Calibri"/>
          <w:b/>
          <w:color w:val="0F172A"/>
          <w:sz w:val="28"/>
        </w:rPr>
        <w:t>5. Verification &amp; Safety Architecture</w:t>
      </w:r>
    </w:p>
    <w:p>
      <w:r>
        <w:t>Agentic MPC enforces defense-in-depth: Ring 0 invariant checking (q_T &gt;= 0.1, q_barrier &gt;= 1000, u in [280, 360] K, slew &lt;= 12 K/s), automated contract unit tests on the active fouled plant model (&lt;30 ms), a software preemptive breaker at 382 K, and an independent hardware SIS scram at 385 K (failsafe cooling valve full open, feed shut off). Overall RMSE includes the post-trip SCRAM transient and depends heavily on the emergency shutdown model. Non-trip RMSE and trip counts serve as the primary metrics.</w:t>
      </w:r>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Scenarios</w:t>
      </w:r>
    </w:p>
    <w:p>
      <w:r>
        <w:t>Table 2 presents authentic simulation results across 20 randomized scenarios computed directly from discrete QP, L-BFGS-B NMPC, and NumPy MPPI path integral solvers:</w:t>
      </w:r>
    </w:p>
    <w:tbl>
      <w:tblPr>
        <w:tblW w:type="auto" w:w="0"/>
        <w:jc w:val="center"/>
        <w:tblLook w:firstColumn="1" w:firstRow="1" w:lastColumn="0" w:lastRow="0" w:noHBand="0" w:noVBand="1" w:val="04A0"/>
      </w:tblPr>
      <w:tblGrid>
        <w:gridCol w:w="1584"/>
        <w:gridCol w:w="2592"/>
        <w:gridCol w:w="1152"/>
        <w:gridCol w:w="1152"/>
        <w:gridCol w:w="1296"/>
        <w:gridCol w:w="1008"/>
        <w:gridCol w:w="1008"/>
        <w:gridCol w:w="1008"/>
      </w:tblGrid>
      <w:tr>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Controller Type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Overall</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Slew</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Settled</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2.56 ± 1.36</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16.26 ± 5.52</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389.3 ± 14.2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3.29 ± 0.95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(60%)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(9.8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10.0,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2.26 ± 1.14</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9.49 ± 5.39</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372.1 ± 13.5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4.85 ± 1.12</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(7.1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(L-BFGS-B,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2.48 ± 1.47</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9.62 ± 5.37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372.9 ± 13.7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5.04 ± 1.29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(6.9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1</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(Static θ*,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3.00 ± 1.80</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12.03 ± 5.57</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378.9 ± 14.6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2.44 ± 0.38</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 / 20 (8.6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2</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Lagged-UA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2.61 ± 1.34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9.82 ± 5.39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373.4 ± 13.9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2.42 ± 0.38</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 / 20 (11.6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(With Forecast Preview)</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1.47 ± 0.85</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2.82 ± 2.93</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356.7 ± 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6.41 ± 1.03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(2.6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Filter (With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3.11 ± 2.99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357.3 ± 7.7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2.72 ± 0.19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 / 20 (5.7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Rule Supervisor + MPPI</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1.45 ± 0.68</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9.44 ± 4.92</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381.1 ± 17.1</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3.77 ± 0.37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(13.1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 System</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Anticipatory Schedule (Full)</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2.17 ± 2.57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355.5 ± 6.2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3.36 ± 0.19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(2.9 s)</w:t>
            </w:r>
          </w:p>
        </w:tc>
      </w:tr>
    </w:tbl>
    <w:p>
      <w:r>
        <w:t>Key Findings: Linear MPC (q_T=10), NMPC, and MPPI+filter establish an empirical feedback floor of 6/20 trips on identical scenarios (Seeds 4, 5, 8, 16, 18, 20). All baseline trips and Seed 18 occur 4–31 s post-surge during recovery. The rule supervisor ties the full supervisor on surviving seeds (0.00 K difference) but trips on 7–8/20 seeds depending on MPPI stream (1.45–2.47 K across 5 streams), whereas preview controllers trip on only 1/20.</w:t>
      </w:r>
    </w:p>
    <w:p>
      <w:pPr>
        <w:pStyle w:val="Heading2"/>
        <w:keepNext/>
        <w:spacing w:before="240" w:after="80"/>
      </w:pPr>
      <w:r>
        <w:rPr>
          <w:rFonts w:ascii="Calibri" w:hAnsi="Calibri"/>
          <w:b/>
          <w:color w:val="1E293B"/>
          <w:sz w:val="24"/>
        </w:rPr>
        <w:t>6.2 Deconstructing the Supervisory Advantage</w:t>
      </w:r>
    </w:p>
    <w:p>
      <w:r>
        <w:t>Ablation across the 19 common surviving scenarios isolates the quantitative mechanism behind the supervisory schedule:</w:t>
      </w:r>
    </w:p>
    <w:tbl>
      <w:tblPr>
        <w:tblW w:type="auto" w:w="0"/>
        <w:jc w:val="center"/>
        <w:tblLook w:firstColumn="1" w:firstRow="1" w:lastColumn="0" w:lastRow="0" w:noHBand="0" w:noVBand="1" w:val="04A0"/>
      </w:tblPr>
      <w:tblGrid>
        <w:gridCol w:w="3168"/>
        <w:gridCol w:w="2160"/>
        <w:gridCol w:w="5040"/>
      </w:tblGrid>
      <w:tr>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Configuration</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 RMSE</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Physical Mechanism</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MPPI + Forecast Preview</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1.76 ± 1.00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Unconstrained optimal preview tracking</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Ramp Cap Only</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1.12 ± 0.48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Modulates pre-cooling to 282 K, preventing reaction quenching</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Elevated Barrier Weights Only</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1.33 ± 0.72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Stiff penalty keeps state strictly within safe envelope</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Both (Anticipatory Supervisory Schedule)</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Coordinated pre-cooling containment (gain: 0.81 K, p = 0.013)</w:t>
            </w:r>
          </w:p>
        </w:tc>
      </w:tr>
    </w:tbl>
    <w:p>
      <w:r>
        <w:t>Across the 19 shared survivors, the gain is 0.81 K (paired t p = 0.013, Wilcoxon p = 0.0017, Holm-adjusted p = 0.063). Overall difference across 20 scenarios is +0.95 K (p = 0.0069). Only the ramp-only comparison survives Holm (p = 0.0009). Results are stable across 5 MPPI sampling streams.</w:t>
      </w:r>
    </w:p>
    <w:p>
      <w:pPr>
        <w:pStyle w:val="Heading2"/>
        <w:keepNext/>
        <w:spacing w:before="240" w:after="80"/>
      </w:pPr>
      <w:r>
        <w:rPr>
          <w:rFonts w:ascii="Calibri" w:hAnsi="Calibri"/>
          <w:b/>
          <w:color w:val="1E293B"/>
          <w:sz w:val="24"/>
        </w:rPr>
        <w:t>6.3 Reproducibility &amp; Computational Budget</w:t>
      </w:r>
    </w:p>
    <w:p>
      <w:r>
        <w:t>All tables were generated using a pure NumPy implementation (benchmark_cstr_unified.py): scenario generation with np.random.seed(42); sensor noise default_rng(1000 + i); MPPI sampling default_rng(10000 + 100*rep + seed); NMPC with L-BFGS-B (maxiter = 10, warm-started); runtime approximately 12 minutes on 2 CPU cores.</w:t>
      </w:r>
    </w:p>
    <w:p>
      <w:pPr>
        <w:pStyle w:val="Heading1"/>
        <w:keepNext/>
        <w:spacing w:before="320" w:after="120"/>
      </w:pPr>
      <w:r>
        <w:rPr>
          <w:rFonts w:ascii="Calibri" w:hAnsi="Calibri"/>
          <w:b/>
          <w:color w:val="0F172A"/>
          <w:sz w:val="28"/>
        </w:rPr>
        <w:t>7. Industrial Deployment Limits &amp; Conclusion</w:t>
      </w:r>
    </w:p>
    <w:p>
      <w:pPr>
        <w:pStyle w:val="Heading2"/>
        <w:keepNext/>
        <w:spacing w:before="240" w:after="80"/>
      </w:pPr>
      <w:r>
        <w:rPr>
          <w:rFonts w:ascii="Calibri" w:hAnsi="Calibri"/>
          <w:b/>
          <w:color w:val="1E293B"/>
          <w:sz w:val="24"/>
        </w:rPr>
        <w:t>7.1 Industrial Deployment Limits</w:t>
      </w:r>
    </w:p>
    <w:p>
      <w:r>
        <w:t>While Agentic MPC demonstrates robust supervisory capabilities in simulation, certified industrial deployment requires strict separation of concerns. Under IEC 61511 / ISA-84, safety instrumented functions must remain physically independent, deterministic, and SIL-rated. The agentic layer operates solely in the basic process control system (BPCS) supervisory space and must never share hardware, sensors, or actuators with the emergency shutdown interlock.</w:t>
      </w:r>
    </w:p>
    <w:p>
      <w:pPr>
        <w:pStyle w:val="Heading2"/>
        <w:keepNext/>
        <w:spacing w:before="240" w:after="80"/>
      </w:pPr>
      <w:r>
        <w:rPr>
          <w:rFonts w:ascii="Calibri" w:hAnsi="Calibri"/>
          <w:b/>
          <w:color w:val="1E293B"/>
          <w:sz w:val="24"/>
        </w:rPr>
        <w:t>7.2 Conclusion</w:t>
      </w:r>
    </w:p>
    <w:p>
      <w:r>
        <w:t>This simulation case study demonstrates that preview lookahead and an anticipatory pre-cooling ramp stabilize an exothermic CSTR under severe kinetic surges. A naive rule-based supervisor that commands flat maximum cooling frequently quenches the reactor, accumulates reactant, and triggers delayed blowout. Modulating a pre-cooling ramp to 282 K avoids quenching while maintaining thermal absorption margin. We present the Agentic MPC framework as a proposed supervisory architecture for qualitative plant operations. Rather than acting as an evaluated numerical optimizer in these experiments, the LLM layer provides the architectural design pattern for interpreting unstructured operator directives and enforcing formal safety contracts in future human-in-the-loop autonomous plant workflows.</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[5]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[6]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[7]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