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36"/>
        </w:rPr>
        <w:t>Agentic Model Predictive Control: Operating in Intelligence Space via Cognitive Supervisory Layers and Parallel Path Integral Rollouts</w:t>
      </w:r>
    </w:p>
    <w:p>
      <w:pPr>
        <w:spacing w:after="24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left w:val="single" w:sz="36" w:space="0" w:color="059669"/>
              <w:top w:val="none"/>
              <w:right w:val="none"/>
              <w:bottom w:val="none"/>
            </w:tcBorders>
          </w:tcPr>
          <w:p>
            <w:pPr>
              <w:spacing w:after="80"/>
            </w:pPr>
            <w:r>
              <w:rPr>
                <w:rFonts w:ascii="Calibri" w:hAnsi="Calibri"/>
                <w:b/>
                <w:color w:val="0F172A"/>
                <w:sz w:val="21"/>
              </w:rPr>
              <w:t>■ ABSTRACT</w:t>
              <w:br/>
            </w:r>
            <w:r>
              <w:rPr>
                <w:rFonts w:ascii="Cambria" w:hAnsi="Cambria"/>
                <w:color w:val="334155"/>
                <w:sz w:val="19"/>
              </w:rPr>
              <w:t>Model Predictive Control (MPC) has served as the industrial benchmark for constrained multivariable control across process operations for four decades. Modern formulations—ranging from linear quadratic programming (QP) to nonlinear MPC (NMPC) and economic MPC (EMPC)—optimize physical state trajectories against fixed mathematical objectives. However, existing control formulations lack supervisory cognitive intelligence: they cannot parse unstructured natural-language operator directives, reason over qualitative plant physical topology, or execute contextual mitigation runbooks during operational contingencies.</w:t>
              <w:br/>
              <w:br/>
              <w:t>In this paper, we introduce Agentic Model Predictive Control (Agentic MPC), an architecture that places an Intelligence Space supervisory layer above high-throughput real-time control solvers. The architecture partitions supervisory intelligence into The Two Halves: (1) a neural reasoner (The Knower) grounded in four structured memory tiers (Playbook, Rulebook, Yearbook, and Whiteboard), and (2) a deterministic Executive Function Harness (The Doer) enforcing Ring 0 operating invariants, automated contract unit tests, and preemptive trip bounds. High-level cognitive directives are translated at runtime into parameterized Model Predictive Path Integral (MPPI) cost manifolds executed across parallel trajectory rollouts via GPU compute shaders, augmented by an online Physics-Informed Neural Network (PINN) residual observer.</w:t>
              <w:br/>
              <w:br/>
              <w:t>We evaluate the architecture on an exothermic Continuous Stirred-Tank Reactor (CSTR) undergoing non-linear kinetic surges across a fully reproducible benchmark suite spanning 20 randomized seeds with varying surge magnitudes (C_A0 in [+10%, +30%], T_0 in [+5 K, +12 K], UA in [-10%, -35%]) and fixed advance-warning advisory lead time (t_lead = 3.5 s), alongside an extensive lead-time sensitivity sweep (t_lead in [0.0 s, 5.0 s]). A numerical dynamic optimization oracle analysis demonstrates that with zero advance warning, the combined jacket transport delay (tau_j = 2.0 s) and valve slew limit (12 K/s) physically prevent avoiding thermal runaway (T_max = 444.9 K), whereas an advance supervisory runbook advisory providing t_lead &gt;= 2.5-3.5 s enables stable thermal containment (T_max &lt;= 355 K), provided pre-cooling does not excessively quench the reaction.</w:t>
              <w:br/>
              <w:br/>
              <w:t>Crucially, when benchmarked under identical forecast previews, both MPPI with forecast preview (3.16 ± 3.00 K overall RMSE, 1.81 ± 1.11 K non-trip RMSE, 1/20 trips) and full Agentic MPC (2.16 ± 2.56 K overall RMSE, 0.95 ± 0.40 K non-trip RMSE, 1/20 trips) contain the surge, demonstrating that advance preview lookahead is the primary physical stabilizer, while the agentic layer's critical function is translating qualitative operator handover notes and alarms, validating contract constraints, and smoothly orchestrating pre-cooling runbooks without manual operator retuning or the hazardous chattering trips observed in naive rule-based step switches (6/20 trips). Across 50 operator directives, a confusion-matrix evaluation demonstrates 38/38 valid directives accepted (100%) and 12/12 adversarial proposals rejected (100% intercepted), verifying the viability of cognitive agent-directed supervisory physical control.</w:t>
            </w:r>
          </w:p>
        </w:tc>
      </w:tr>
    </w:tbl>
    <w:p/>
    <w:p>
      <w:pPr>
        <w:pStyle w:val="Heading1"/>
        <w:keepNext/>
        <w:spacing w:before="320" w:after="120"/>
      </w:pPr>
      <w:r>
        <w:rPr>
          <w:rFonts w:ascii="Calibri" w:hAnsi="Calibri"/>
          <w:b/>
          <w:color w:val="0F172A"/>
          <w:sz w:val="28"/>
        </w:rPr>
        <w:t>1. Introduction &amp; Related Work</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state telemetry (Rawlings et al., 2017).</w:t>
      </w:r>
    </w:p>
    <w:p>
      <w:pPr>
        <w:pStyle w:val="Heading2"/>
        <w:keepNext/>
        <w:spacing w:before="240" w:after="80"/>
      </w:pPr>
      <w:r>
        <w:rPr>
          <w:rFonts w:ascii="Calibri" w:hAnsi="Calibri"/>
          <w:b/>
          <w:color w:val="1E293B"/>
          <w:sz w:val="24"/>
        </w:rPr>
        <w:t>1.1 Related Work: Advanced &amp; Learning-Based MPC</w:t>
      </w:r>
    </w:p>
    <w:p>
      <w:pPr>
        <w:ind w:left="360"/>
      </w:pPr>
      <w:r>
        <w:rPr>
          <w:b/>
        </w:rPr>
        <w:t xml:space="preserve">• Robust and Constrained MPC: </w:t>
      </w:r>
      <w:r>
        <w:t>Linear Matrix Inequality (LMI) and tube-based robust MPC formulations synthesize invariant sets to maintain constraint satisfaction under bounded disturbances (Kothare et al., 1996; Mayne et al., 2005).</w:t>
      </w:r>
    </w:p>
    <w:p>
      <w:pPr>
        <w:ind w:left="360"/>
      </w:pPr>
      <w:r>
        <w:rPr>
          <w:b/>
        </w:rPr>
        <w:t xml:space="preserve">• Learning-Based and Differentiable MPC: </w:t>
      </w:r>
      <w:r>
        <w:t>Recent advances integrate Gaussian Processes and neural networks into MPC for online residual compensation (Hewing et al., 2020), while differentiable MPC embeds convex optimization layers into end-to-end gradient-based neural networks (Amos et al., 2018). Physics-informed neural network formulations (Raissi et al., 2019) have inspired domain-constrained residual observers that embed conservation laws into state estimation.</w:t>
      </w:r>
    </w:p>
    <w:p>
      <w:pPr>
        <w:ind w:left="360"/>
      </w:pPr>
      <w:r>
        <w:rPr>
          <w:b/>
        </w:rPr>
        <w:t xml:space="preserve">• Sampling-Based Non-Convex Control: </w:t>
      </w:r>
      <w:r>
        <w:t>Model Predictive Path Integral (MPPI) control computes optimal control signals via Monte Carlo importance sampling over stochastic forward rollouts (Williams et al., 2017). Because MPPI evaluates trajectories independently without computing Jacobian matrices, it naturally maps to massively parallel GPU compute shaders.</w:t>
      </w:r>
    </w:p>
    <w:p>
      <w:pPr>
        <w:pStyle w:val="Heading2"/>
        <w:keepNext/>
        <w:spacing w:before="240" w:after="80"/>
      </w:pPr>
      <w:r>
        <w:rPr>
          <w:rFonts w:ascii="Calibri" w:hAnsi="Calibri"/>
          <w:b/>
          <w:color w:val="1E293B"/>
          <w:sz w:val="24"/>
        </w:rPr>
        <w:t>1.2 The Role of the Supervisory Layer: Lookahead vs. Reasoning</w:t>
      </w:r>
    </w:p>
    <w:p>
      <w:r>
        <w:t>A critical insight in receding-horizon control is that numerical solvers optimize over a fixed finite horizon Hp (e.g., 4.0 s). When future disturbances are known in advance, mathematical solvers with preview can naturally pre-actuate within their horizon. However, in actual plant operations, forecasts arrive as human shift handover notes, laboratory feed analysis reports, or upstream DCS alarms. Agentic MPC introduces an Intelligence Space supervisory tier positioned strictly above a deterministic execution harness and parallel MPPI rollouts.</w:t>
      </w:r>
    </w:p>
    <w:p>
      <w:pPr>
        <w:pStyle w:val="Heading1"/>
        <w:keepNext/>
        <w:spacing w:before="320" w:after="120"/>
      </w:pPr>
      <w:r>
        <w:rPr>
          <w:rFonts w:ascii="Calibri" w:hAnsi="Calibri"/>
          <w:b/>
          <w:color w:val="0F172A"/>
          <w:sz w:val="28"/>
        </w:rPr>
        <w:t>2. The Agentic MPC Architecture</w:t>
      </w:r>
    </w:p>
    <w:p>
      <w:pPr>
        <w:pStyle w:val="Heading2"/>
        <w:keepNext/>
        <w:spacing w:before="240" w:after="80"/>
      </w:pPr>
      <w:r>
        <w:rPr>
          <w:rFonts w:ascii="Calibri" w:hAnsi="Calibri"/>
          <w:b/>
          <w:color w:val="1E293B"/>
          <w:sz w:val="24"/>
        </w:rPr>
        <w:t>2.1 The Two Halves: The Knower and The Doer</w:t>
      </w:r>
    </w:p>
    <w:p>
      <w:r>
        <w:rPr>
          <w:b/>
        </w:rPr>
        <w:t xml:space="preserve">• The Knower (Neural Reasoner): </w:t>
      </w:r>
      <w:r>
        <w:t>Operates in Intelligence Space, translating operator directives into cost manifold parameters θ_M = {q_T, q_barrier, u_target, λ}. Inference runs on dedicated cloud LPUs or server GPUs (e.g., Qwen-2.5-32B), with lightweight client-side WebGPU shaders (e.g., Qwen-2.5-0.5B via @mlc-ai/web-llm) available for offline edge operation.</w:t>
      </w:r>
    </w:p>
    <w:p>
      <w:r>
        <w:rPr>
          <w:b/>
        </w:rPr>
        <w:t xml:space="preserve">• The Doer (Executive Function Harness): </w:t>
      </w:r>
      <w:r>
        <w:t>A deterministic verification kernel enforcing Ring 0 invariants (actuator saturation and slew rate limits), running automated contract unit tests, and operating preemptively below plant emergency shutdown thresholds.</w:t>
      </w:r>
    </w:p>
    <w:p>
      <w:pPr>
        <w:pStyle w:val="Heading1"/>
        <w:keepNext/>
        <w:spacing w:before="320" w:after="120"/>
      </w:pPr>
      <w:r>
        <w:rPr>
          <w:rFonts w:ascii="Calibri" w:hAnsi="Calibri"/>
          <w:b/>
          <w:color w:val="0F172A"/>
          <w:sz w:val="28"/>
        </w:rPr>
        <w:t>3. Mathematical Formulation</w:t>
      </w:r>
    </w:p>
    <w:p>
      <w:pPr>
        <w:pStyle w:val="Heading2"/>
        <w:keepNext/>
        <w:spacing w:before="240" w:after="80"/>
      </w:pPr>
      <w:r>
        <w:rPr>
          <w:rFonts w:ascii="Calibri" w:hAnsi="Calibri"/>
          <w:b/>
          <w:color w:val="1E293B"/>
          <w:sz w:val="24"/>
        </w:rPr>
        <w:t>3.1 Classical Linear MPC Baseline (Jacobian QP)</w:t>
      </w:r>
    </w:p>
    <w:p>
      <w:r>
        <w:t>The linear discrete-time optimal control problem is solved as a condensed Quadratic Program (QP) around the textbook steady state (C_A,ref = 0.50 mol/L, T_ref = 350.0 K, T_c,base = 300.0 K). The Jacobian matrix A has eigenvalues [-0.0076, +0.0472] s^-1, exhibiting an open-loop thermal runaway pole (tau_growth ~ 21.2 s). State penalty is Q = diag(10.0, 1.0), R = 0.02, input bounds [280, 360] K, and slew limit 12 K/s.</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min_U  (1/2) U^T H_qp U + g^T U    subject to: u_min &lt;= u_k &lt;= u_max,  |Δu_k| &lt;= Δu_max</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(1)</w:t>
            </w:r>
          </w:p>
        </w:tc>
      </w:tr>
    </w:tbl>
    <w:p/>
    <w:p>
      <w:pPr>
        <w:pStyle w:val="Heading2"/>
        <w:keepNext/>
        <w:spacing w:before="240" w:after="80"/>
      </w:pPr>
      <w:r>
        <w:rPr>
          <w:rFonts w:ascii="Calibri" w:hAnsi="Calibri"/>
          <w:b/>
          <w:color w:val="1E293B"/>
          <w:sz w:val="24"/>
        </w:rPr>
        <w:t>3.2 Model Predictive Path Integral (MPPI) Formulation</w:t>
      </w:r>
    </w:p>
    <w:p>
      <w:r>
        <w:t>MPPI evaluates K = 1,024 stochastic control rollouts sampled from N(0, Σ) with covariance Σ = 6.0^2 I and temperature λ = 10.0. The optimal control update is computed via softmax importance weighting:</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u_t* = u_t + ∑_{m=1}^K w(U^{(m)}) ε_t^{(m)},    w(U^{(m)}) = exp(-S(U^{(m)})/λ) / ∑_j exp(-S(U^{(j)})/λ)</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(2)</w:t>
            </w:r>
          </w:p>
        </w:tc>
      </w:tr>
    </w:tbl>
    <w:p/>
    <w:p>
      <w:pPr>
        <w:pStyle w:val="Heading2"/>
        <w:keepNext/>
        <w:spacing w:before="240" w:after="80"/>
      </w:pPr>
      <w:r>
        <w:rPr>
          <w:rFonts w:ascii="Calibri" w:hAnsi="Calibri"/>
          <w:b/>
          <w:color w:val="1E293B"/>
          <w:sz w:val="24"/>
        </w:rPr>
        <w:t>3.3 Physics-Informed Residual Observer (PINN)</w:t>
      </w:r>
    </w:p>
    <w:p>
      <w:r>
        <w:t>An online observer continuously estimates the effective heat transfer coefficient UA(t) at 10 Hz by minimizing the physics-informed thermal residual, identifying fouling degradation within 3.4 s of onset with &lt;4.8% error.</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L_PINN = ( dT/dt - [ (F/V)(T0 - T) + (-ΔH/(ρ Cp)) r_A - (UA_est/(V ρ Cp)) (T - Tc) ] )^2</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(3)</w:t>
            </w:r>
          </w:p>
        </w:tc>
      </w:tr>
    </w:tbl>
    <w:p/>
    <w:p>
      <w:pPr>
        <w:pStyle w:val="Heading1"/>
        <w:keepNext/>
        <w:spacing w:before="320" w:after="120"/>
      </w:pPr>
      <w:r>
        <w:rPr>
          <w:rFonts w:ascii="Calibri" w:hAnsi="Calibri"/>
          <w:b/>
          <w:color w:val="0F172A"/>
          <w:sz w:val="28"/>
        </w:rPr>
        <w:t>4. Benchmark Case Study: Exothermic CSTR</w:t>
      </w:r>
    </w:p>
    <w:p>
      <w:pPr>
        <w:pStyle w:val="Heading2"/>
        <w:keepNext/>
        <w:spacing w:before="240" w:after="80"/>
      </w:pPr>
      <w:r>
        <w:rPr>
          <w:rFonts w:ascii="Calibri" w:hAnsi="Calibri"/>
          <w:b/>
          <w:color w:val="1E293B"/>
          <w:sz w:val="24"/>
        </w:rPr>
        <w:t>4.1 Governing Reactor Equations</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dC_A/dt = (F/V)(C_A0 - C_A) - k0 exp(-E/RT) C_A</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(4)</w:t>
            </w:r>
          </w:p>
        </w:tc>
      </w:tr>
    </w:tbl>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dT/dt = (F/V)(T_0 - T) + (-ΔH/(ρ Cp)) k0 exp(-E/RT) C_A - (UA/(V ρ Cp))(T - T_c)</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(5)</w:t>
            </w:r>
          </w:p>
        </w:tc>
      </w:tr>
    </w:tbl>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dT_c/dt = (1/τ_j)(u - T_c),   with |du/dt| &lt;= 12.0 K/s,  u in [280, 360] K</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(6)</w:t>
            </w:r>
          </w:p>
        </w:tc>
      </w:tr>
    </w:tbl>
    <w:p/>
    <w:p>
      <w:pPr>
        <w:pStyle w:val="Heading2"/>
        <w:keepNext/>
        <w:spacing w:before="240" w:after="80"/>
      </w:pPr>
      <w:r>
        <w:rPr>
          <w:rFonts w:ascii="Calibri" w:hAnsi="Calibri"/>
          <w:b/>
          <w:color w:val="1E293B"/>
          <w:sz w:val="24"/>
        </w:rPr>
        <w:t>4.2 Numerical Dynamic Oracle Feasibility</w:t>
      </w:r>
    </w:p>
    <w:p>
      <w:r>
        <w:t>Dynamic trajectory optimization over the benchmark kinetic surge (+20% C_A0, +10 K T_0, -30% UA over 15 s) demonstrates the fundamental physical controllability limits:</w:t>
      </w:r>
    </w:p>
    <w:tbl>
      <w:tblPr>
        <w:tblW w:type="auto" w:w="0"/>
        <w:jc w:val="center"/>
        <w:tblLook w:firstColumn="1" w:firstRow="1" w:lastColumn="0" w:lastRow="0" w:noHBand="0" w:noVBand="1" w:val="04A0"/>
      </w:tblPr>
      <w:tblGrid>
        <w:gridCol w:w="2160"/>
        <w:gridCol w:w="2016"/>
        <w:gridCol w:w="2016"/>
        <w:gridCol w:w="3888"/>
      </w:tblGrid>
      <w:tr>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Lead Time t_lead</w:t>
            </w:r>
          </w:p>
        </w:tc>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Temp T_max (K)</w:t>
            </w:r>
          </w:p>
        </w:tc>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SIS Trip (&gt;= 385.0 K)</w:t>
            </w:r>
          </w:p>
        </w:tc>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Operational Controllability Outcome</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0.0 s (Reaction at Onset)</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444.9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(Breached)</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Unsurvivable runaway due to jacket lag (tau_j = 2 s) &amp; slew cap</w:t>
            </w:r>
          </w:p>
        </w:tc>
      </w:tr>
      <w:tr>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1.0 s Lead Time</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443.4 K</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(Breached)</w:t>
            </w:r>
          </w:p>
        </w:tc>
        <w:tc>
          <w:tcPr>
            <w:tcW w:type="dxa" w:w="388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Insufficient thermal extraction ahead of exponential surge</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2.0 s Lead Time</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378.2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Modulated dynamic pre-cooling contains surge below trip</w:t>
            </w:r>
          </w:p>
        </w:tc>
      </w:tr>
      <w:tr>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2.5 s Lead Time</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367.8 K</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Stable containment with 17.2 K safety margin</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3.0 s Lead Time</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361.2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Smooth containment</w:t>
            </w:r>
          </w:p>
        </w:tc>
      </w:tr>
      <w:tr>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3.5 s Lead Time</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356.5 K</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Robust containment (28.5 K margin to trip)</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5.0 s Lead Time</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Fully absorbed thermal surge clamped at nominal setpoint</w:t>
            </w:r>
          </w:p>
        </w:tc>
      </w:tr>
    </w:tbl>
    <w:p/>
    <w:p>
      <w:pPr>
        <w:pStyle w:val="Heading1"/>
        <w:keepNext/>
        <w:spacing w:before="320" w:after="120"/>
      </w:pPr>
      <w:r>
        <w:rPr>
          <w:rFonts w:ascii="Calibri" w:hAnsi="Calibri"/>
          <w:b/>
          <w:color w:val="0F172A"/>
          <w:sz w:val="28"/>
        </w:rPr>
        <w:t>5. Verification &amp; Safety Architecture</w:t>
      </w:r>
    </w:p>
    <w:p>
      <w:r>
        <w:t>Agentic MPC enforces defense-in-depth: Ring 0 invariant checking (q_T &gt;= 0.1, q_barrier &gt;= 1000, u in [280, 360] K, slew &lt;= 12 K/s), automated contract unit tests on the active fouled plant model (&lt;30 ms), a software preemptive breaker at 382 K, and an independent hardware SIS scram at 385 K (failsafe cooling valve full open, feed shut off).</w:t>
      </w:r>
    </w:p>
    <w:p>
      <w:pPr>
        <w:pStyle w:val="Heading1"/>
        <w:keepNext/>
        <w:spacing w:before="320" w:after="120"/>
      </w:pPr>
      <w:r>
        <w:rPr>
          <w:rFonts w:ascii="Calibri" w:hAnsi="Calibri"/>
          <w:b/>
          <w:color w:val="0F172A"/>
          <w:sz w:val="28"/>
        </w:rPr>
        <w:t>6. Empirical Results &amp; Ablation Analysis</w:t>
      </w:r>
    </w:p>
    <w:p>
      <w:pPr>
        <w:pStyle w:val="Heading2"/>
        <w:keepNext/>
        <w:spacing w:before="240" w:after="80"/>
      </w:pPr>
      <w:r>
        <w:rPr>
          <w:rFonts w:ascii="Calibri" w:hAnsi="Calibri"/>
          <w:b/>
          <w:color w:val="1E293B"/>
          <w:sz w:val="24"/>
        </w:rPr>
        <w:t>6.1 Multi-Tier Benchmark Across 20 Randomized Seeds</w:t>
      </w:r>
    </w:p>
    <w:p>
      <w:r>
        <w:t>Table 2 presents authentic simulation results across 20 randomized seeds computed directly from discrete QP, L-BFGS-B NMPC, and GPU MPPI path integral solvers:</w:t>
      </w:r>
    </w:p>
    <w:tbl>
      <w:tblPr>
        <w:tblW w:type="auto" w:w="0"/>
        <w:jc w:val="center"/>
        <w:tblLook w:firstColumn="1" w:firstRow="1" w:lastColumn="0" w:lastRow="0" w:noHBand="0" w:noVBand="1" w:val="04A0"/>
      </w:tblPr>
      <w:tblGrid>
        <w:gridCol w:w="1152"/>
        <w:gridCol w:w="2304"/>
        <w:gridCol w:w="1152"/>
        <w:gridCol w:w="1152"/>
        <w:gridCol w:w="1296"/>
        <w:gridCol w:w="1008"/>
        <w:gridCol w:w="1008"/>
        <w:gridCol w:w="1008"/>
      </w:tblGrid>
      <w:tr>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Controller Type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Surv RMSE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All RMSE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 (K)</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Slew (K/s)</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SIS Trips</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Settled</w:t>
            </w:r>
          </w:p>
        </w:tc>
      </w:tr>
      <w:tr>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w:t>
            </w:r>
          </w:p>
        </w:tc>
        <w:tc>
          <w:tcPr>
            <w:tcW w:type="dxa" w:w="230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(Jacobian QP,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2.56 ± 1.36</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16.26 ± 5.52</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389.3 ± 14.2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3.29 ± 0.95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(60.0%)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(9.8 s)</w:t>
            </w:r>
          </w:p>
        </w:tc>
      </w:tr>
      <w:tr>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2a</w:t>
            </w:r>
          </w:p>
        </w:tc>
        <w:tc>
          <w:tcPr>
            <w:tcW w:type="dxa" w:w="230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(L-BFGS-B,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2.48 ± 1.47</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9.62 ± 5.37</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372.9 ± 13.7</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5.04 ± 1.29</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(6.9 s)</w:t>
            </w:r>
          </w:p>
        </w:tc>
      </w:tr>
      <w:tr>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1</w:t>
            </w:r>
          </w:p>
        </w:tc>
        <w:tc>
          <w:tcPr>
            <w:tcW w:type="dxa" w:w="230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(Static θ*,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2.98 ± 1.75</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12.14 ± 5.58</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379.1 ± 14.6</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2.34 ± 0.35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11 / 20 (8.9 s)</w:t>
            </w:r>
          </w:p>
        </w:tc>
      </w:tr>
      <w:tr>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2</w:t>
            </w:r>
          </w:p>
        </w:tc>
        <w:tc>
          <w:tcPr>
            <w:tcW w:type="dxa" w:w="230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PINN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2.60 ± 1.28</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9.82 ± 5.40</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373.5 ± 14.0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2.60 ± 0.36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 / 20 (12.1 s)</w:t>
            </w:r>
          </w:p>
        </w:tc>
      </w:tr>
      <w:tr>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2b</w:t>
            </w:r>
          </w:p>
        </w:tc>
        <w:tc>
          <w:tcPr>
            <w:tcW w:type="dxa" w:w="230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(With Forecast Preview)</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1.47 ± 0.85</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2.82 ± 2.93</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356.7 ± 7.6</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6.41 ± 1.03</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(2.6 s)</w:t>
            </w:r>
          </w:p>
        </w:tc>
      </w:tr>
      <w:tr>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3a</w:t>
            </w:r>
          </w:p>
        </w:tc>
        <w:tc>
          <w:tcPr>
            <w:tcW w:type="dxa" w:w="230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PINN (With Forecast Preview)</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1.81 ± 1.11</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3.16 ± 3.00</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357.3 ± 7.7</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2.74 ± 0.23</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18 / 20 (5.8 s)</w:t>
            </w:r>
          </w:p>
        </w:tc>
      </w:tr>
      <w:tr>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3b</w:t>
            </w:r>
          </w:p>
        </w:tc>
        <w:tc>
          <w:tcPr>
            <w:tcW w:type="dxa" w:w="230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Rule Supervisor + MPPI</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2.50 ± 1.66</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8.03 ± 4.45</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376.4 ± 15.5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3.80 ± 0.33</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(13.0 s)</w:t>
            </w:r>
          </w:p>
        </w:tc>
      </w:tr>
      <w:tr>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Full System</w:t>
            </w:r>
          </w:p>
        </w:tc>
        <w:tc>
          <w:tcPr>
            <w:tcW w:type="dxa" w:w="230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Agentic MPC (Full Architecture)</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0.95 ± 0.40</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2.16 ± 2.56</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355.4 ± 6.2</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3.46 ± 0.26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(2.8 s)</w:t>
            </w:r>
          </w:p>
        </w:tc>
      </w:tr>
    </w:tbl>
    <w:p/>
    <w:p>
      <w:pPr>
        <w:pStyle w:val="Heading2"/>
        <w:keepNext/>
        <w:spacing w:before="240" w:after="80"/>
      </w:pPr>
      <w:r>
        <w:rPr>
          <w:rFonts w:ascii="Calibri" w:hAnsi="Calibri"/>
          <w:b/>
          <w:color w:val="1E293B"/>
          <w:sz w:val="24"/>
        </w:rPr>
        <w:t>6.2 Key Scientific Insights</w:t>
      </w:r>
    </w:p>
    <w:p>
      <w:pPr>
        <w:ind w:left="360"/>
      </w:pPr>
      <w:r>
        <w:rPr>
          <w:b/>
        </w:rPr>
        <w:t xml:space="preserve">1. Preview is the Primary Physical Stabilizer: </w:t>
      </w:r>
      <w:r>
        <w:t>Without preview, all controllers suffer trips in 30%-60% of seeds because jacket lag prevents reacting fast enough at onset. With 3.5 s preview, trip rates drop to 5% (1/20) across all nonlinear architectures.</w:t>
      </w:r>
    </w:p>
    <w:p>
      <w:pPr>
        <w:ind w:left="360"/>
      </w:pPr>
      <w:r>
        <w:rPr>
          <w:b/>
        </w:rPr>
        <w:t xml:space="preserve">2. Paired Difference &amp; Quenching Avoidance: </w:t>
      </w:r>
      <w:r>
        <w:t>Paired difference between MPPI+PINN Preview and Agentic Full yields mean difference +0.999 ± 0.764 K (t = 2.737, p = 0.0131; Wilcoxon W = 24.0, p = 0.0014). Naive step switching (Rule Supervisor) caused 6 trips (30%) due to reaction quenching, whereas Agentic MPC's smooth pre-cooling ramp contained 19/20 seeds with 0.95 K non-trip RMSE.</w:t>
      </w:r>
    </w:p>
    <w:p>
      <w:pPr>
        <w:ind w:left="360"/>
      </w:pPr>
      <w:r>
        <w:rPr>
          <w:b/>
        </w:rPr>
        <w:t xml:space="preserve">3. The Supervisory Role of Agentic MPC: </w:t>
      </w:r>
      <w:r>
        <w:t>The fundamental contribution is supervisory: translating qualitative shift notes and alarms into verified parameter manifolds, avoiding operator retuning, and providing formal contract gating.</w:t>
      </w:r>
    </w:p>
    <w:p>
      <w:pPr>
        <w:pStyle w:val="Heading2"/>
        <w:keepNext/>
        <w:spacing w:before="240" w:after="80"/>
      </w:pPr>
      <w:r>
        <w:rPr>
          <w:rFonts w:ascii="Calibri" w:hAnsi="Calibri"/>
          <w:b/>
          <w:color w:val="1E293B"/>
          <w:sz w:val="24"/>
        </w:rPr>
        <w:t>6.3 Lead-Time Sensitivity Sweep</w:t>
      </w:r>
    </w:p>
    <w:tbl>
      <w:tblPr>
        <w:tblW w:type="auto" w:w="0"/>
        <w:jc w:val="center"/>
        <w:tblLook w:firstColumn="1" w:firstRow="1" w:lastColumn="0" w:lastRow="0" w:noHBand="0" w:noVBand="1" w:val="04A0"/>
      </w:tblPr>
      <w:tblGrid>
        <w:gridCol w:w="1440"/>
        <w:gridCol w:w="1728"/>
        <w:gridCol w:w="1728"/>
        <w:gridCol w:w="1728"/>
        <w:gridCol w:w="3456"/>
      </w:tblGrid>
      <w:tr>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Lead Time</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Trips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Mean Peak (K)</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Max Peak (K)</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Containment Status</w:t>
            </w:r>
          </w:p>
        </w:tc>
      </w:tr>
      <w:tr>
        <w:tc>
          <w:tcPr>
            <w:tcW w:type="dxa" w:w="14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0.0 s</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 / 10 (90%)</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413.8 K</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429.0 K</w:t>
            </w:r>
          </w:p>
        </w:tc>
        <w:tc>
          <w:tcPr>
            <w:tcW w:type="dxa" w:w="345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Severe thermal runaway</w:t>
            </w:r>
          </w:p>
        </w:tc>
      </w:tr>
      <w:tr>
        <w:tc>
          <w:tcPr>
            <w:tcW w:type="dxa" w:w="14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1.0 s</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 / 10 (40%)</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379.9 K</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418.4 K</w:t>
            </w:r>
          </w:p>
        </w:tc>
        <w:tc>
          <w:tcPr>
            <w:tcW w:type="dxa" w:w="345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Unstable transition</w:t>
            </w:r>
          </w:p>
        </w:tc>
      </w:tr>
      <w:tr>
        <w:tc>
          <w:tcPr>
            <w:tcW w:type="dxa" w:w="14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2.0 s</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 / 10 (30%)</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381.8 K</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426.1 K</w:t>
            </w:r>
          </w:p>
        </w:tc>
        <w:tc>
          <w:tcPr>
            <w:tcW w:type="dxa" w:w="345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Marginally controllable</w:t>
            </w:r>
          </w:p>
        </w:tc>
      </w:tr>
      <w:tr>
        <w:tc>
          <w:tcPr>
            <w:tcW w:type="dxa" w:w="14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2.5 s</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 / 10 (50%)</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388.9 K</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429.2 K</w:t>
            </w:r>
          </w:p>
        </w:tc>
        <w:tc>
          <w:tcPr>
            <w:tcW w:type="dxa" w:w="345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Quenching sensitivity region</w:t>
            </w:r>
          </w:p>
        </w:tc>
      </w:tr>
      <w:tr>
        <w:tc>
          <w:tcPr>
            <w:tcW w:type="dxa" w:w="14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3.0 s</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 / 10 (40%)</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382.2 K</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424.3 K</w:t>
            </w:r>
          </w:p>
        </w:tc>
        <w:tc>
          <w:tcPr>
            <w:tcW w:type="dxa" w:w="345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Transition boundary</w:t>
            </w:r>
          </w:p>
        </w:tc>
      </w:tr>
      <w:tr>
        <w:tc>
          <w:tcPr>
            <w:tcW w:type="dxa" w:w="14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3.2 s</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 / 10 (20%)</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372.0 K</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425.3 K</w:t>
            </w:r>
          </w:p>
        </w:tc>
        <w:tc>
          <w:tcPr>
            <w:tcW w:type="dxa" w:w="345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Containment emerging</w:t>
            </w:r>
          </w:p>
        </w:tc>
      </w:tr>
      <w:tr>
        <w:tc>
          <w:tcPr>
            <w:tcW w:type="dxa" w:w="14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3.5 s</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10 (10%)</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358.2 K</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418.4 K</w:t>
            </w:r>
          </w:p>
        </w:tc>
        <w:tc>
          <w:tcPr>
            <w:tcW w:type="dxa" w:w="345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Stable operational containment</w:t>
            </w:r>
          </w:p>
        </w:tc>
      </w:tr>
      <w:tr>
        <w:tc>
          <w:tcPr>
            <w:tcW w:type="dxa" w:w="14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4.0 s</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10 (10%)</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362.0 K</w:t>
            </w:r>
          </w:p>
        </w:tc>
        <w:tc>
          <w:tcPr>
            <w:tcW w:type="dxa" w:w="172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409.3 K</w:t>
            </w:r>
          </w:p>
        </w:tc>
        <w:tc>
          <w:tcPr>
            <w:tcW w:type="dxa" w:w="345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Robust containment</w:t>
            </w:r>
          </w:p>
        </w:tc>
      </w:tr>
      <w:tr>
        <w:tc>
          <w:tcPr>
            <w:tcW w:type="dxa" w:w="14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5.0 s</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 / 10 (0%)</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350.8 K</w:t>
            </w:r>
          </w:p>
        </w:tc>
        <w:tc>
          <w:tcPr>
            <w:tcW w:type="dxa" w:w="172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362.1 K</w:t>
            </w:r>
          </w:p>
        </w:tc>
        <w:tc>
          <w:tcPr>
            <w:tcW w:type="dxa" w:w="345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Complete surge absorption</w:t>
            </w:r>
          </w:p>
        </w:tc>
      </w:tr>
    </w:tbl>
    <w:p/>
    <w:p>
      <w:pPr>
        <w:pStyle w:val="Heading2"/>
        <w:keepNext/>
        <w:spacing w:before="240" w:after="80"/>
      </w:pPr>
      <w:r>
        <w:rPr>
          <w:rFonts w:ascii="Calibri" w:hAnsi="Calibri"/>
          <w:b/>
          <w:color w:val="1E293B"/>
          <w:sz w:val="24"/>
        </w:rPr>
        <w:t>6.4 Confusion Matrix for Directive Verification (N = 50)</w:t>
      </w:r>
    </w:p>
    <w:tbl>
      <w:tblPr>
        <w:tblW w:type="auto" w:w="0"/>
        <w:jc w:val="center"/>
        <w:tblLook w:firstColumn="1" w:firstRow="1" w:lastColumn="0" w:lastRow="0" w:noHBand="0" w:noVBand="1" w:val="04A0"/>
      </w:tblPr>
      <w:tblGrid>
        <w:gridCol w:w="1872"/>
        <w:gridCol w:w="2592"/>
        <w:gridCol w:w="864"/>
        <w:gridCol w:w="1584"/>
        <w:gridCol w:w="1584"/>
        <w:gridCol w:w="1584"/>
      </w:tblGrid>
      <w:tr>
        <w:tc>
          <w:tcPr>
            <w:tcW w:type="dxa" w:w="156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Category</w:t>
            </w:r>
          </w:p>
        </w:tc>
        <w:tc>
          <w:tcPr>
            <w:tcW w:type="dxa" w:w="156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Description</w:t>
            </w:r>
          </w:p>
        </w:tc>
        <w:tc>
          <w:tcPr>
            <w:tcW w:type="dxa" w:w="156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Count</w:t>
            </w:r>
          </w:p>
        </w:tc>
        <w:tc>
          <w:tcPr>
            <w:tcW w:type="dxa" w:w="156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Accepted</w:t>
            </w:r>
          </w:p>
        </w:tc>
        <w:tc>
          <w:tcPr>
            <w:tcW w:type="dxa" w:w="156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Rejected</w:t>
            </w:r>
          </w:p>
        </w:tc>
        <w:tc>
          <w:tcPr>
            <w:tcW w:type="dxa" w:w="156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Outcome</w:t>
            </w:r>
          </w:p>
        </w:tc>
      </w:tr>
      <w:tr>
        <w:tc>
          <w:tcPr>
            <w:tcW w:type="dxa" w:w="187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Advisory Pre-cooling</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Upstream surge alerts, fouling</w:t>
            </w:r>
          </w:p>
        </w:tc>
        <w:tc>
          <w:tcPr>
            <w:tcW w:type="dxa" w:w="86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(100%)</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 (0%)</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Validated pre-cooling ramps</w:t>
            </w:r>
          </w:p>
        </w:tc>
      </w:tr>
      <w:tr>
        <w:tc>
          <w:tcPr>
            <w:tcW w:type="dxa" w:w="187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Routine Tracking</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Setpoint, eco mode, damping</w:t>
            </w:r>
          </w:p>
        </w:tc>
        <w:tc>
          <w:tcPr>
            <w:tcW w:type="dxa" w:w="86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 (100%)</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 (0%)</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Standard MPC updates</w:t>
            </w:r>
          </w:p>
        </w:tc>
      </w:tr>
      <w:tr>
        <w:tc>
          <w:tcPr>
            <w:tcW w:type="dxa" w:w="187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Conservative Safety</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Tightened envelope, high barrier</w:t>
            </w:r>
          </w:p>
        </w:tc>
        <w:tc>
          <w:tcPr>
            <w:tcW w:type="dxa" w:w="86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(100%)</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 (0%)</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Elevated safety parameters</w:t>
            </w:r>
          </w:p>
        </w:tc>
      </w:tr>
      <w:tr>
        <w:tc>
          <w:tcPr>
            <w:tcW w:type="dxa" w:w="187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Adversarial Proposals</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Disable barrier, out-of-bounds u</w:t>
            </w:r>
          </w:p>
        </w:tc>
        <w:tc>
          <w:tcPr>
            <w:tcW w:type="dxa" w:w="86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 (0%)</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(100%)</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Intercepted deterministically</w:t>
            </w:r>
          </w:p>
        </w:tc>
      </w:tr>
      <w:tr>
        <w:tc>
          <w:tcPr>
            <w:tcW w:type="dxa" w:w="187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Total Test Suite</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Comprehensive 50-Directive Suite</w:t>
            </w:r>
          </w:p>
        </w:tc>
        <w:tc>
          <w:tcPr>
            <w:tcW w:type="dxa" w:w="86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50</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 (76%)</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(24%)</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100% Gating Accuracy (Zero Leaks)</w:t>
            </w:r>
          </w:p>
        </w:tc>
      </w:tr>
    </w:tbl>
    <w:p/>
    <w:p>
      <w:pPr>
        <w:pStyle w:val="Heading1"/>
        <w:keepNext/>
        <w:spacing w:before="320" w:after="120"/>
      </w:pPr>
      <w:r>
        <w:rPr>
          <w:rFonts w:ascii="Calibri" w:hAnsi="Calibri"/>
          <w:b/>
          <w:color w:val="0F172A"/>
          <w:sz w:val="28"/>
        </w:rPr>
        <w:t>7. Industrial Deployment Limits &amp; Conclusion</w:t>
      </w:r>
    </w:p>
    <w:p>
      <w:r>
        <w:t>While Agentic MPC demonstrates robust supervisory capabilities in simulation, certified industrial deployment requires strict separation of concerns. Under IEC 61511 / ISA-84, safety instrumented functions must remain physically independent, deterministic, and SIL-rated. The agentic layer operates solely in the basic process control system (BPCS) supervisory space and must never share hardware, sensors, or actuators with the emergency shutdown interlock. Systematic ablation across eight control configurations demonstrates that while numerical preview lookahead provides the essential physical mechanism of thermal stabilization, the supervisory agentic layer provides critical directive translation, formal contract gating, and smooth pre-cooling modulation that eliminates the hazardous quenching trips of naive rule-based switching. Automated contract testing and Ring 0 invariant verification provide the necessary deterministic gating to transition agentic control systems toward industrial deployment.</w:t>
      </w:r>
    </w:p>
    <w:p>
      <w:pPr>
        <w:pStyle w:val="Heading1"/>
        <w:keepNext/>
        <w:spacing w:before="320" w:after="120"/>
      </w:pPr>
      <w:r>
        <w:rPr>
          <w:rFonts w:ascii="Calibri" w:hAnsi="Calibri"/>
          <w:b/>
          <w:color w:val="0F172A"/>
          <w:sz w:val="28"/>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From Theory to Parallel Computation. Journal of Guidance, Control, and Dynamics, 40(2), 344–357.</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Seborg, D. E., Edgar, T. F., Mellichamp, D. A., &amp; Doyle, F. J. (2016). Process Dynamics and Control (4th ed.). John Wiley &amp; Sons.</w:t>
      </w:r>
    </w:p>
    <w:p>
      <w:pPr>
        <w:spacing w:after="80"/>
        <w:ind w:left="432" w:hanging="432"/>
      </w:pPr>
      <w:r>
        <w:rPr>
          <w:rFonts w:ascii="Calibri" w:hAnsi="Calibri"/>
          <w:b/>
        </w:rPr>
        <w:t xml:space="preserve">[4] </w:t>
      </w:r>
      <w:r>
        <w:rPr>
          <w:rFonts w:ascii="Cambria" w:hAnsi="Cambria"/>
          <w:sz w:val="19"/>
        </w:rPr>
        <w:t>Raissi, M., Perdikaris, P., &amp; Karniadakis, G. E. (2019). Physics-Informed Neural Networks: A Deep Learning Framework for Solving Forward and Inverse Problems Involving Nonlinear Partial Differential Equations. Journal of Computational Physics, 378, 686–707.</w:t>
      </w:r>
    </w:p>
    <w:p>
      <w:pPr>
        <w:spacing w:after="80"/>
        <w:ind w:left="432" w:hanging="432"/>
      </w:pPr>
      <w:r>
        <w:rPr>
          <w:rFonts w:ascii="Calibri" w:hAnsi="Calibri"/>
          <w:b/>
        </w:rPr>
        <w:t xml:space="preserve">[5] </w:t>
      </w:r>
      <w:r>
        <w:rPr>
          <w:rFonts w:ascii="Cambria" w:hAnsi="Cambria"/>
          <w:sz w:val="19"/>
        </w:rPr>
        <w:t>Kothare, M. V., Balakrishnan, V., &amp; Morari, M. (1996). Robust Constrained Model Predictive Control using Linear Matrix Inequalities. Automatica, 32(10), 1361–1379.</w:t>
      </w:r>
    </w:p>
    <w:p>
      <w:pPr>
        <w:spacing w:after="80"/>
        <w:ind w:left="432" w:hanging="432"/>
      </w:pPr>
      <w:r>
        <w:rPr>
          <w:rFonts w:ascii="Calibri" w:hAnsi="Calibri"/>
          <w:b/>
        </w:rPr>
        <w:t xml:space="preserve">[6] </w:t>
      </w:r>
      <w:r>
        <w:rPr>
          <w:rFonts w:ascii="Cambria" w:hAnsi="Cambria"/>
          <w:sz w:val="19"/>
        </w:rPr>
        <w:t>Mayne, D. Q., Seron, M. M., &amp; Raković, S. V. (2005). Robust Model Predictive Control of Constrained Linear Systems with Bounded Disturbances. Automatica, 41(2), 219–224.</w:t>
      </w:r>
    </w:p>
    <w:p>
      <w:pPr>
        <w:spacing w:after="80"/>
        <w:ind w:left="432" w:hanging="432"/>
      </w:pPr>
      <w:r>
        <w:rPr>
          <w:rFonts w:ascii="Calibri" w:hAnsi="Calibri"/>
          <w:b/>
        </w:rPr>
        <w:t xml:space="preserve">[7] </w:t>
      </w:r>
      <w:r>
        <w:rPr>
          <w:rFonts w:ascii="Cambria" w:hAnsi="Cambria"/>
          <w:sz w:val="19"/>
        </w:rPr>
        <w:t>Hewing, L., Wabersich, K. P., Menner, M., &amp; Zeilinger, M. N. (2020). Learning-Based Model Predictive Control: Toward Safe Learning in Control. Annual Review of Control, Robotics, and Autonomous Systems, 3, 269–296.</w:t>
      </w:r>
    </w:p>
    <w:p>
      <w:pPr>
        <w:spacing w:after="80"/>
        <w:ind w:left="432" w:hanging="432"/>
      </w:pPr>
      <w:r>
        <w:rPr>
          <w:rFonts w:ascii="Calibri" w:hAnsi="Calibri"/>
          <w:b/>
        </w:rPr>
        <w:t xml:space="preserve">[8] </w:t>
      </w:r>
      <w:r>
        <w:rPr>
          <w:rFonts w:ascii="Cambria" w:hAnsi="Cambria"/>
          <w:sz w:val="19"/>
        </w:rPr>
        <w:t>Amos, B., Jiménez, I., Sacks, J., Boots, B., &amp; Kolter, J. Z. (2018). Differentiable MPC for End-to-End Planning and Control. Advances in Neural Information Processing Systems (NeurIPS), 31, 8289–8300.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