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rFonts w:ascii="Calibri" w:hAnsi="Calibri"/>
          <w:b/>
          <w:color w:val="0F172A"/>
          <w:sz w:val="44"/>
        </w:rPr>
        <w:t>Agentic Model Predictive Control: Operating in Intelligence Space via Cognitive Agent OS and Differentiable Parallel Rollouts</w:t>
      </w:r>
    </w:p>
    <w:p>
      <w:pPr>
        <w:spacing w:after="280"/>
      </w:pPr>
      <w:r>
        <w:rPr>
          <w:rFonts w:ascii="Calibri" w:hAnsi="Calibri"/>
          <w:b/>
          <w:color w:val="475569"/>
          <w:sz w:val="19"/>
        </w:rPr>
        <w:t xml:space="preserve">Author: </w:t>
      </w:r>
      <w:r>
        <w:rPr>
          <w:rFonts w:ascii="Calibri" w:hAnsi="Calibri"/>
          <w:b w:val="0"/>
          <w:color w:val="475569"/>
          <w:sz w:val="19"/>
        </w:rPr>
        <w:t xml:space="preserve">Zhaoyang Wan, PhD, MBA    |    </w:t>
      </w:r>
      <w:r>
        <w:rPr>
          <w:rFonts w:ascii="Calibri" w:hAnsi="Calibri"/>
          <w:b/>
          <w:color w:val="475569"/>
          <w:sz w:val="19"/>
        </w:rPr>
        <w:t xml:space="preserve">Date: </w:t>
      </w:r>
      <w:r>
        <w:rPr>
          <w:rFonts w:ascii="Calibri" w:hAnsi="Calibri"/>
          <w:b w:val="0"/>
          <w:color w:val="475569"/>
          <w:sz w:val="19"/>
        </w:rPr>
        <w:t xml:space="preserve">October 2026    |    </w:t>
      </w:r>
      <w:r>
        <w:rPr>
          <w:rFonts w:ascii="Calibri" w:hAnsi="Calibri"/>
          <w:b/>
          <w:color w:val="475569"/>
          <w:sz w:val="19"/>
        </w:rPr>
        <w:t xml:space="preserve">Document ID: </w:t>
      </w:r>
      <w:r>
        <w:rPr>
          <w:rFonts w:ascii="Calibri" w:hAnsi="Calibri"/>
          <w:b w:val="0"/>
          <w:color w:val="475569"/>
          <w:sz w:val="19"/>
        </w:rPr>
        <w:t>AIRC-2026-AMPC-01</w:t>
        <w:br/>
      </w:r>
      <w:r>
        <w:rPr>
          <w:rFonts w:ascii="Calibri" w:hAnsi="Calibri"/>
          <w:b/>
          <w:color w:val="475569"/>
          <w:sz w:val="19"/>
        </w:rPr>
        <w:t xml:space="preserve">Repository: </w:t>
      </w:r>
      <w:r>
        <w:rPr>
          <w:rFonts w:ascii="Calibri" w:hAnsi="Calibri"/>
          <w:b w:val="0"/>
          <w:color w:val="475569"/>
          <w:sz w:val="19"/>
        </w:rPr>
        <w:t>cosmosanalytics/uat-copilot-local</w:t>
      </w:r>
    </w:p>
    <w:tbl>
      <w:tblPr>
        <w:tblW w:type="auto" w:w="0"/>
        <w:jc w:val="center"/>
        <w:tblLook w:firstColumn="1" w:firstRow="1" w:lastColumn="0" w:lastRow="0" w:noHBand="0" w:noVBand="1" w:val="04A0"/>
      </w:tblPr>
      <w:tblGrid>
        <w:gridCol w:w="9360"/>
      </w:tblGrid>
      <w:tr>
        <w:tc>
          <w:tcPr>
            <w:tcW w:type="dxa" w:w="9360"/>
            <w:shd w:fill="F1F5F9"/>
            <w:tcMar>
              <w:top w:w="140" w:type="dxa"/>
              <w:bottom w:w="140" w:type="dxa"/>
              <w:left w:w="200" w:type="dxa"/>
              <w:right w:w="200" w:type="dxa"/>
            </w:tcMar>
            <w:tcBorders>
              <w:left w:val="single" w:sz="36" w:space="0" w:color="059669"/>
              <w:top w:val="none"/>
              <w:right w:val="none"/>
              <w:bottom w:val="none"/>
            </w:tcBorders>
          </w:tcPr>
          <w:p>
            <w:pPr>
              <w:spacing w:after="80"/>
            </w:pPr>
            <w:r>
              <w:rPr>
                <w:rFonts w:ascii="Calibri" w:hAnsi="Calibri"/>
                <w:b/>
                <w:color w:val="059669"/>
                <w:sz w:val="21"/>
              </w:rPr>
              <w:t>ABSTRACT</w:t>
              <w:br/>
            </w:r>
            <w:r>
              <w:rPr>
                <w:rFonts w:ascii="Cambria" w:hAnsi="Cambria"/>
                <w:i/>
                <w:color w:val="1E293B"/>
                <w:sz w:val="20"/>
              </w:rPr>
              <w:t>Classical Model Predictive Control (MPC) has served as the gold standard for constrained multivariable control across process industries for four decades. However, classical MPC remains fundamentally trapped in Euclidean analytical state space (R^n). When deployed on highly non-linear, non-convex systems subject to severe unmodeled kinetic surges—such as exothermic continuous stirred-tank reactors (CSTR)—linearized Quadratic Programming (QP) solvers suffer from phase lag accumulation, control chattering, and catastrophic constraint breaches. Furthermore, classical MPC possesses no cognitive capacity to interpret high-level operator directives, reason over plant physical topology, or execute historical mitigation runbooks.</w:t>
              <w:br/>
              <w:br/>
              <w:t>In this paper, we introduce Agentic Model Predictive Control (Agentic MPC), a paradigm that elevates control systems from blind numerical optimization in Euclidean state space into an Intelligence Space. The architecture partitions supervisory control into The Two Halves: (1) a neural reasoner (The Knower) grounded in four faithful memory stores (Playbook, Rulebook, Yearbook, and Whiteboard), and (2) a deterministic Executive Function Harness (The Doer) enforcing Ring 0 invariants, automated &lt;30ms contract tests, and hardware circuit breakers. The resulting high-level cognitive directives are translated in real time into continuous MPPI (Model Predictive Path Integral) cost manifolds executed across 4,096 parallel trajectory rollouts at 60 Hz via WebGPU compute shaders. Benchmark evaluations on an exothermic CSTR under Arrhenius thermal runaway demonstrate a 90.4% reduction in tracking RMSE, an 11.2x acceleration in disturbance rejection lag, and zero thermal runaway constraint violations, proving the viability of cognitive agent-directed physical control.</w:t>
            </w:r>
          </w:p>
        </w:tc>
      </w:tr>
    </w:tbl>
    <w:p/>
    <w:p>
      <w:pPr>
        <w:pStyle w:val="Heading1"/>
        <w:keepNext/>
        <w:spacing w:before="360" w:after="120"/>
      </w:pPr>
      <w:r>
        <w:rPr>
          <w:rFonts w:ascii="Calibri" w:hAnsi="Calibri"/>
          <w:b/>
          <w:color w:val="0F172A"/>
          <w:sz w:val="30"/>
        </w:rPr>
        <w:t>1. Introduction: The Fundamental Limits of Classical MPC</w:t>
      </w:r>
    </w:p>
    <w:p>
      <w:r>
        <w:t>Model Predictive Control operates on the receding-horizon principle: at each discrete time step t, the controller solves an open-loop optimal control problem over a prediction horizon Hp, applies the first control input u_t, and repeats the cycle upon receiving fresh sensor feedback.</w:t>
      </w:r>
    </w:p>
    <w:p>
      <w:r>
        <w:t>While mathematically elegant, classical industrial MPC suffers from three structural pathologies: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CLASSICAL MPC ARCHITECTURAL BOTTLENECKS               |</w:t>
              <w:br/>
              <w:t>+-------------------------------------------------------------------------+</w:t>
              <w:br/>
              <w:t>|  1. Euclidean State Trap   : Linearized Jacobian ODEs (x_{k+1} = Ax + Bu)|</w:t>
              <w:br/>
              <w:t>|  2. Convex QP Solver       : Fails on non-convex manifolds; phase lag    |</w:t>
              <w:br/>
              <w:t>|  3. Cognitive Blindness    : Zero causal reasoning; no semantic intent   |</w:t>
              <w:br/>
              <w:t>+-------------------------------------------------------------------------+</w:t>
              <w:br/>
              <w:t xml:space="preserve">                                    |</w:t>
              <w:br/>
              <w:t xml:space="preserve">                         [ Thermal Kinetic Surges ]</w:t>
              <w:br/>
              <w:t xml:space="preserve">                                    v</w:t>
              <w:br/>
              <w:t xml:space="preserve">                [ ACTUATOR SATURATION &amp; RUNAWAY TRIPS ]</w:t>
            </w:r>
          </w:p>
        </w:tc>
      </w:tr>
    </w:tbl>
    <w:p/>
    <w:p>
      <w:pPr>
        <w:spacing w:after="80"/>
        <w:ind w:left="360"/>
      </w:pPr>
      <w:r>
        <w:rPr>
          <w:rFonts w:ascii="Calibri" w:hAnsi="Calibri"/>
          <w:b/>
        </w:rPr>
        <w:t xml:space="preserve">1. The Euclidean Linearization Trap: </w:t>
      </w:r>
      <w:r>
        <w:rPr>
          <w:rFonts w:ascii="Cambria" w:hAnsi="Cambria"/>
        </w:rPr>
        <w:t>To ensure computational tractability on microsecond/millisecond scales, industrial MPC relies on convex quadratic programs (QP) using linearized state matrices (A = ∂f/∂x, B = ∂f/∂u). On processes governed by exponential non-linearities (e.g., Arrhenius reaction kinetics k_0 exp(-E/RT)), the linear approximation disintegrates rapidly as temperatures diverge from the nominal setpoint.</w:t>
      </w:r>
    </w:p>
    <w:p>
      <w:pPr>
        <w:spacing w:after="80"/>
        <w:ind w:left="360"/>
      </w:pPr>
      <w:r>
        <w:rPr>
          <w:rFonts w:ascii="Calibri" w:hAnsi="Calibri"/>
          <w:b/>
        </w:rPr>
        <w:t xml:space="preserve">2. Phase-Lag Accumulation and Actuator Wear: </w:t>
      </w:r>
      <w:r>
        <w:rPr>
          <w:rFonts w:ascii="Cambria" w:hAnsi="Cambria"/>
        </w:rPr>
        <w:t>Because classical QP solvers optimize strictly on instantaneous numerical state error e_k = x_k - r_k, they react only after physical sensor deviation has already begun. In systems with thermal transport delay (such as cooling water jackets), this reactive lag causes valve saturation, extreme chattering, and irreversible thermal runaway trips.</w:t>
      </w:r>
    </w:p>
    <w:p>
      <w:pPr>
        <w:spacing w:after="80"/>
        <w:ind w:left="360"/>
      </w:pPr>
      <w:r>
        <w:rPr>
          <w:rFonts w:ascii="Calibri" w:hAnsi="Calibri"/>
          <w:b/>
        </w:rPr>
        <w:t xml:space="preserve">3. Absence of Cognitive Intelligence: </w:t>
      </w:r>
      <w:r>
        <w:rPr>
          <w:rFonts w:ascii="Cambria" w:hAnsi="Cambria"/>
        </w:rPr>
        <w:t>Classical MPC cannot understand operator instructions in natural language (e.g., 'Anticipate feed composition drop and pre-cool jacket'), cannot access plant topology documentation, and cannot dynamically restructure its cost function based on regulatory standards.</w:t>
      </w:r>
    </w:p>
    <w:p>
      <w:pPr>
        <w:pStyle w:val="Heading1"/>
        <w:keepNext/>
        <w:spacing w:before="360" w:after="120"/>
      </w:pPr>
      <w:r>
        <w:rPr>
          <w:rFonts w:ascii="Calibri" w:hAnsi="Calibri"/>
          <w:b/>
          <w:color w:val="0F172A"/>
          <w:sz w:val="30"/>
        </w:rPr>
        <w:t>2. The Agentic MPC Architecture</w:t>
      </w:r>
    </w:p>
    <w:p>
      <w:r>
        <w:t>Agentic MPC operates as a symbiotic dual-space control architecture. Rather than replacing numerical control with an unconstrained large language model (LLM), Agentic MPC adopts an Agent OS cognitive architecture, dividing cognition and execution into The Two Halves:</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w:t>
              <w:br/>
              <w:t>|              1. INTELLIGENCE SPACE (The Knower / Neural Reasoner)        |</w:t>
              <w:br/>
              <w:t>|  * Local In-Browser WebLLM / LPU Engine (Qwen-27B / Qwen-0.5B Shader)   |</w:t>
              <w:br/>
              <w:t>|  * 4 Faithful Memory Stores: Playbook, Rulebook, Yearbook, Whiteboard   |</w:t>
              <w:br/>
              <w:t>+-------------------------------------------------------------------------+</w:t>
              <w:br/>
              <w:t xml:space="preserve">                                    |</w:t>
              <w:br/>
              <w:t xml:space="preserve">              [ Translates Intent into Cost Manifold Params ]</w:t>
              <w:br/>
              <w:t xml:space="preserve">                                    v</w:t>
              <w:br/>
              <w:t>+-------------------------------------------------------------------------+</w:t>
              <w:br/>
              <w:t>|        2. EXECUTIVE FUNCTION HARNESS (The Doer / Deterministic OS)       |</w:t>
              <w:br/>
              <w:t>|  * Ring 0 Invariant Checker (T_jacket in [280K, 360K], Slew &lt;= 15%/s)   |</w:t>
              <w:br/>
              <w:t>|  * Automated Contract Tests (&lt; 30ms latency guarantee)                  |</w:t>
              <w:br/>
              <w:t>|  * Hardware Circuit Breaker (Trip Armed @ 382K -&gt; Immediate Clamping)   |</w:t>
              <w:br/>
              <w:t>+-------------------------------------------------------------------------+</w:t>
              <w:br/>
              <w:t xml:space="preserve">                                    |</w:t>
              <w:br/>
              <w:t xml:space="preserve">              [ Certified Cost Manifold + Barrier Lyapunov ]</w:t>
              <w:br/>
              <w:t xml:space="preserve">                                    v</w:t>
              <w:br/>
              <w:t>+-------------------------------------------------------------------------+</w:t>
              <w:br/>
              <w:t>|             3. PHYSICAL STATE SPACE (WebGPU Differentiable MPPI)         |</w:t>
              <w:br/>
              <w:t>|  * PINN Residual Observer (Δ_PINN Feedforward)                          |</w:t>
              <w:br/>
              <w:t>|  * 4,096 Parallel GPU Rollouts @ 60 FPS (&lt; 2ms compute)                 |</w:t>
              <w:br/>
              <w:t>|  * Modulated Coolant Flow u_t* -&gt; Exothermic CSTR Reactor (V-101)        |</w:t>
              <w:br/>
              <w:t>+-------------------------------------------------------------------------+</w:t>
            </w:r>
          </w:p>
        </w:tc>
      </w:tr>
    </w:tbl>
    <w:p/>
    <w:p>
      <w:pPr>
        <w:pStyle w:val="Heading2"/>
        <w:keepNext/>
        <w:spacing w:before="280" w:after="80"/>
      </w:pPr>
      <w:r>
        <w:rPr>
          <w:rFonts w:ascii="Calibri" w:hAnsi="Calibri"/>
          <w:b/>
          <w:color w:val="1E293B"/>
          <w:sz w:val="25"/>
        </w:rPr>
        <w:t>2.1 The Two Halves: The Knower and The Doer</w:t>
      </w:r>
    </w:p>
    <w:p>
      <w:r>
        <w:rPr>
          <w:b/>
        </w:rPr>
        <w:t xml:space="preserve">• The Knower (Neural Reasoner): </w:t>
      </w:r>
      <w:r>
        <w:t>An LLM running locally in-browser via WebGPU shaders or low-latency LPUs. The Knower operates in the Intelligence Space, reasoning over causal relationships, interpreting human operator intent, and translating semantic concepts into parameterized optimization manifolds.</w:t>
      </w:r>
    </w:p>
    <w:p>
      <w:r>
        <w:rPr>
          <w:b/>
        </w:rPr>
        <w:t xml:space="preserve">• The Doer (Executive Function Harness): </w:t>
      </w:r>
      <w:r>
        <w:t>A deterministic, zero-hallucination OS Kernel acting as an impervious sandbox. The Doer enforces Ring 0 operating system invariants, verifies automated contract tests in under 30ms, and maintains a hard circuit breaker to prevent unphysical or dangerous actuation.</w:t>
      </w:r>
    </w:p>
    <w:p>
      <w:pPr>
        <w:pStyle w:val="Heading2"/>
        <w:keepNext/>
        <w:spacing w:before="280" w:after="80"/>
      </w:pPr>
      <w:r>
        <w:rPr>
          <w:rFonts w:ascii="Calibri" w:hAnsi="Calibri"/>
          <w:b/>
          <w:color w:val="1E293B"/>
          <w:sz w:val="25"/>
        </w:rPr>
        <w:t>2.2 The Four Memory Subsystems</w:t>
      </w:r>
    </w:p>
    <w:p>
      <w:r>
        <w:t>To eliminate hallucinations and anchor the neural reasoner to ground-truth physical reality, Agentic MPC integrates four faithful memory stores:</w:t>
      </w:r>
    </w:p>
    <w:tbl>
      <w:tblPr>
        <w:tblW w:type="auto" w:w="0"/>
        <w:jc w:val="center"/>
        <w:tblLook w:firstColumn="1" w:firstRow="1" w:lastColumn="0" w:lastRow="0" w:noHBand="0" w:noVBand="1" w:val="04A0"/>
      </w:tblPr>
      <w:tblGrid>
        <w:gridCol w:w="2340"/>
        <w:gridCol w:w="2340"/>
        <w:gridCol w:w="2340"/>
        <w:gridCol w:w="2340"/>
      </w:tblGrid>
      <w:tr>
        <w:tc>
          <w:tcPr>
            <w:tcW w:type="dxa" w:w="2016"/>
            <w:shd w:fill="1E293B"/>
            <w:tcMar>
              <w:top w:w="120" w:type="dxa"/>
              <w:bottom w:w="120" w:type="dxa"/>
              <w:left w:w="140" w:type="dxa"/>
              <w:right w:w="140" w:type="dxa"/>
            </w:tcMar>
          </w:tcPr>
          <w:p>
            <w:pPr>
              <w:jc w:val="left"/>
            </w:pPr>
            <w:r>
              <w:rPr>
                <w:rFonts w:ascii="Calibri" w:hAnsi="Calibri"/>
                <w:b/>
                <w:color w:val="FFFFFF"/>
                <w:sz w:val="19"/>
              </w:rPr>
              <w:t>Memory Store</w:t>
            </w:r>
          </w:p>
        </w:tc>
        <w:tc>
          <w:tcPr>
            <w:tcW w:type="dxa" w:w="2016"/>
            <w:shd w:fill="1E293B"/>
            <w:tcMar>
              <w:top w:w="120" w:type="dxa"/>
              <w:bottom w:w="120" w:type="dxa"/>
              <w:left w:w="140" w:type="dxa"/>
              <w:right w:w="140" w:type="dxa"/>
            </w:tcMar>
          </w:tcPr>
          <w:p>
            <w:pPr>
              <w:jc w:val="left"/>
            </w:pPr>
            <w:r>
              <w:rPr>
                <w:rFonts w:ascii="Calibri" w:hAnsi="Calibri"/>
                <w:b/>
                <w:color w:val="FFFFFF"/>
                <w:sz w:val="19"/>
              </w:rPr>
              <w:t>Storage Modality</w:t>
            </w:r>
          </w:p>
        </w:tc>
        <w:tc>
          <w:tcPr>
            <w:tcW w:type="dxa" w:w="2880"/>
            <w:shd w:fill="1E293B"/>
            <w:tcMar>
              <w:top w:w="120" w:type="dxa"/>
              <w:bottom w:w="120" w:type="dxa"/>
              <w:left w:w="140" w:type="dxa"/>
              <w:right w:w="140" w:type="dxa"/>
            </w:tcMar>
          </w:tcPr>
          <w:p>
            <w:pPr>
              <w:jc w:val="left"/>
            </w:pPr>
            <w:r>
              <w:rPr>
                <w:rFonts w:ascii="Calibri" w:hAnsi="Calibri"/>
                <w:b/>
                <w:color w:val="FFFFFF"/>
                <w:sz w:val="19"/>
              </w:rPr>
              <w:t>Functional Role in Agentic MPC</w:t>
            </w:r>
          </w:p>
        </w:tc>
        <w:tc>
          <w:tcPr>
            <w:tcW w:type="dxa" w:w="2448"/>
            <w:shd w:fill="1E293B"/>
            <w:tcMar>
              <w:top w:w="120" w:type="dxa"/>
              <w:bottom w:w="120" w:type="dxa"/>
              <w:left w:w="140" w:type="dxa"/>
              <w:right w:w="140" w:type="dxa"/>
            </w:tcMar>
          </w:tcPr>
          <w:p>
            <w:pPr>
              <w:jc w:val="left"/>
            </w:pPr>
            <w:r>
              <w:rPr>
                <w:rFonts w:ascii="Calibri" w:hAnsi="Calibri"/>
                <w:b/>
                <w:color w:val="FFFFFF"/>
                <w:sz w:val="19"/>
              </w:rPr>
              <w:t>CSTR Chemical Realization</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Playbook</w:t>
            </w:r>
          </w:p>
        </w:tc>
        <w:tc>
          <w:tcPr>
            <w:tcW w:type="dxa" w:w="2016"/>
            <w:shd w:fill="FFFFFF"/>
            <w:tcMar>
              <w:top w:w="100" w:type="dxa"/>
              <w:bottom w:w="100" w:type="dxa"/>
              <w:left w:w="140" w:type="dxa"/>
              <w:right w:w="140" w:type="dxa"/>
            </w:tcMar>
          </w:tcPr>
          <w:p>
            <w:pPr>
              <w:jc w:val="left"/>
            </w:pPr>
            <w:r>
              <w:rPr>
                <w:rFonts w:ascii="Calibri" w:hAnsi="Calibri"/>
                <w:color w:val="0F172A"/>
                <w:sz w:val="18"/>
              </w:rPr>
              <w:t>Procedural (SKILL.md)</w:t>
            </w:r>
          </w:p>
        </w:tc>
        <w:tc>
          <w:tcPr>
            <w:tcW w:type="dxa" w:w="2880"/>
            <w:shd w:fill="FFFFFF"/>
            <w:tcMar>
              <w:top w:w="100" w:type="dxa"/>
              <w:bottom w:w="100" w:type="dxa"/>
              <w:left w:w="140" w:type="dxa"/>
              <w:right w:w="140" w:type="dxa"/>
            </w:tcMar>
          </w:tcPr>
          <w:p>
            <w:pPr>
              <w:jc w:val="left"/>
            </w:pPr>
            <w:r>
              <w:rPr>
                <w:rFonts w:ascii="Calibri" w:hAnsi="Calibri"/>
                <w:color w:val="0F172A"/>
                <w:sz w:val="18"/>
              </w:rPr>
              <w:t>Executable operational runbooks with deterministic verification tests</w:t>
            </w:r>
          </w:p>
        </w:tc>
        <w:tc>
          <w:tcPr>
            <w:tcW w:type="dxa" w:w="2448"/>
            <w:shd w:fill="FFFFFF"/>
            <w:tcMar>
              <w:top w:w="100" w:type="dxa"/>
              <w:bottom w:w="100" w:type="dxa"/>
              <w:left w:w="140" w:type="dxa"/>
              <w:right w:w="140" w:type="dxa"/>
            </w:tcMar>
          </w:tcPr>
          <w:p>
            <w:pPr>
              <w:jc w:val="left"/>
            </w:pPr>
            <w:r>
              <w:rPr>
                <w:rFonts w:ascii="Calibri" w:hAnsi="Calibri"/>
                <w:color w:val="0F172A"/>
                <w:sz w:val="18"/>
              </w:rPr>
              <w:t>cstr_thermal_runaway_mitigation.md verified via &lt;30ms unit tests</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Rulebook</w:t>
            </w:r>
          </w:p>
        </w:tc>
        <w:tc>
          <w:tcPr>
            <w:tcW w:type="dxa" w:w="2016"/>
            <w:shd w:fill="F8FAFC"/>
            <w:tcMar>
              <w:top w:w="100" w:type="dxa"/>
              <w:bottom w:w="100" w:type="dxa"/>
              <w:left w:w="140" w:type="dxa"/>
              <w:right w:w="140" w:type="dxa"/>
            </w:tcMar>
          </w:tcPr>
          <w:p>
            <w:pPr>
              <w:jc w:val="left"/>
            </w:pPr>
            <w:r>
              <w:rPr>
                <w:rFonts w:ascii="Calibri" w:hAnsi="Calibri"/>
                <w:color w:val="0F172A"/>
                <w:sz w:val="18"/>
              </w:rPr>
              <w:t>Semantic (Vector DB)</w:t>
            </w:r>
          </w:p>
        </w:tc>
        <w:tc>
          <w:tcPr>
            <w:tcW w:type="dxa" w:w="2880"/>
            <w:shd w:fill="F8FAFC"/>
            <w:tcMar>
              <w:top w:w="100" w:type="dxa"/>
              <w:bottom w:w="100" w:type="dxa"/>
              <w:left w:w="140" w:type="dxa"/>
              <w:right w:w="140" w:type="dxa"/>
            </w:tcMar>
          </w:tcPr>
          <w:p>
            <w:pPr>
              <w:jc w:val="left"/>
            </w:pPr>
            <w:r>
              <w:rPr>
                <w:rFonts w:ascii="Calibri" w:hAnsi="Calibri"/>
                <w:color w:val="0F172A"/>
                <w:sz w:val="18"/>
              </w:rPr>
              <w:t>Regulatory compliance envelopes, thermodynamics, and physical constraints</w:t>
            </w:r>
          </w:p>
        </w:tc>
        <w:tc>
          <w:tcPr>
            <w:tcW w:type="dxa" w:w="2448"/>
            <w:shd w:fill="F8FAFC"/>
            <w:tcMar>
              <w:top w:w="100" w:type="dxa"/>
              <w:bottom w:w="100" w:type="dxa"/>
              <w:left w:w="140" w:type="dxa"/>
              <w:right w:w="140" w:type="dxa"/>
            </w:tcMar>
          </w:tcPr>
          <w:p>
            <w:pPr>
              <w:jc w:val="left"/>
            </w:pPr>
            <w:r>
              <w:rPr>
                <w:rFonts w:ascii="Calibri" w:hAnsi="Calibri"/>
                <w:color w:val="0F172A"/>
                <w:sz w:val="18"/>
              </w:rPr>
              <w:t>OSHA 1910.119 PSM standards, ASME Section VIII (T_max = 385 K)</w:t>
            </w:r>
          </w:p>
        </w:tc>
      </w:tr>
      <w:tr>
        <w:tc>
          <w:tcPr>
            <w:tcW w:type="dxa" w:w="2016"/>
            <w:shd w:fill="FFFFFF"/>
            <w:tcMar>
              <w:top w:w="100" w:type="dxa"/>
              <w:bottom w:w="100" w:type="dxa"/>
              <w:left w:w="140" w:type="dxa"/>
              <w:right w:w="140" w:type="dxa"/>
            </w:tcMar>
          </w:tcPr>
          <w:p>
            <w:pPr>
              <w:jc w:val="left"/>
            </w:pPr>
            <w:r>
              <w:rPr>
                <w:rFonts w:ascii="Calibri" w:hAnsi="Calibri"/>
                <w:color w:val="0F172A"/>
                <w:sz w:val="18"/>
              </w:rPr>
              <w:t>The Yearbook</w:t>
            </w:r>
          </w:p>
        </w:tc>
        <w:tc>
          <w:tcPr>
            <w:tcW w:type="dxa" w:w="2016"/>
            <w:shd w:fill="FFFFFF"/>
            <w:tcMar>
              <w:top w:w="100" w:type="dxa"/>
              <w:bottom w:w="100" w:type="dxa"/>
              <w:left w:w="140" w:type="dxa"/>
              <w:right w:w="140" w:type="dxa"/>
            </w:tcMar>
          </w:tcPr>
          <w:p>
            <w:pPr>
              <w:jc w:val="left"/>
            </w:pPr>
            <w:r>
              <w:rPr>
                <w:rFonts w:ascii="Calibri" w:hAnsi="Calibri"/>
                <w:color w:val="0F172A"/>
                <w:sz w:val="18"/>
              </w:rPr>
              <w:t>Relational (Graph)</w:t>
            </w:r>
          </w:p>
        </w:tc>
        <w:tc>
          <w:tcPr>
            <w:tcW w:type="dxa" w:w="2880"/>
            <w:shd w:fill="FFFFFF"/>
            <w:tcMar>
              <w:top w:w="100" w:type="dxa"/>
              <w:bottom w:w="100" w:type="dxa"/>
              <w:left w:w="140" w:type="dxa"/>
              <w:right w:w="140" w:type="dxa"/>
            </w:tcMar>
          </w:tcPr>
          <w:p>
            <w:pPr>
              <w:jc w:val="left"/>
            </w:pPr>
            <w:r>
              <w:rPr>
                <w:rFonts w:ascii="Calibri" w:hAnsi="Calibri"/>
                <w:color w:val="0F172A"/>
                <w:sz w:val="18"/>
              </w:rPr>
              <w:t>Physical plant topological connectivity and component dependencies</w:t>
            </w:r>
          </w:p>
        </w:tc>
        <w:tc>
          <w:tcPr>
            <w:tcW w:type="dxa" w:w="2448"/>
            <w:shd w:fill="FFFFFF"/>
            <w:tcMar>
              <w:top w:w="100" w:type="dxa"/>
              <w:bottom w:w="100" w:type="dxa"/>
              <w:left w:w="140" w:type="dxa"/>
              <w:right w:w="140" w:type="dxa"/>
            </w:tcMar>
          </w:tcPr>
          <w:p>
            <w:pPr>
              <w:jc w:val="left"/>
            </w:pPr>
            <w:r>
              <w:rPr>
                <w:rFonts w:ascii="Calibri" w:hAnsi="Calibri"/>
                <w:color w:val="0F172A"/>
                <w:sz w:val="18"/>
              </w:rPr>
              <w:t>Piping graph: V-101 -&gt; J-101 -&gt; CV-201 -&gt; M-101 -&gt; CH-3</w:t>
            </w:r>
          </w:p>
        </w:tc>
      </w:tr>
      <w:tr>
        <w:tc>
          <w:tcPr>
            <w:tcW w:type="dxa" w:w="2016"/>
            <w:shd w:fill="F8FAFC"/>
            <w:tcMar>
              <w:top w:w="100" w:type="dxa"/>
              <w:bottom w:w="100" w:type="dxa"/>
              <w:left w:w="140" w:type="dxa"/>
              <w:right w:w="140" w:type="dxa"/>
            </w:tcMar>
          </w:tcPr>
          <w:p>
            <w:pPr>
              <w:jc w:val="left"/>
            </w:pPr>
            <w:r>
              <w:rPr>
                <w:rFonts w:ascii="Calibri" w:hAnsi="Calibri"/>
                <w:color w:val="0F172A"/>
                <w:sz w:val="18"/>
              </w:rPr>
              <w:t>The Whiteboard</w:t>
            </w:r>
          </w:p>
        </w:tc>
        <w:tc>
          <w:tcPr>
            <w:tcW w:type="dxa" w:w="2016"/>
            <w:shd w:fill="F8FAFC"/>
            <w:tcMar>
              <w:top w:w="100" w:type="dxa"/>
              <w:bottom w:w="100" w:type="dxa"/>
              <w:left w:w="140" w:type="dxa"/>
              <w:right w:w="140" w:type="dxa"/>
            </w:tcMar>
          </w:tcPr>
          <w:p>
            <w:pPr>
              <w:jc w:val="left"/>
            </w:pPr>
            <w:r>
              <w:rPr>
                <w:rFonts w:ascii="Calibri" w:hAnsi="Calibri"/>
                <w:color w:val="0F172A"/>
                <w:sz w:val="18"/>
              </w:rPr>
              <w:t>Shared IPC (Working)</w:t>
            </w:r>
          </w:p>
        </w:tc>
        <w:tc>
          <w:tcPr>
            <w:tcW w:type="dxa" w:w="2880"/>
            <w:shd w:fill="F8FAFC"/>
            <w:tcMar>
              <w:top w:w="100" w:type="dxa"/>
              <w:bottom w:w="100" w:type="dxa"/>
              <w:left w:w="140" w:type="dxa"/>
              <w:right w:w="140" w:type="dxa"/>
            </w:tcMar>
          </w:tcPr>
          <w:p>
            <w:pPr>
              <w:jc w:val="left"/>
            </w:pPr>
            <w:r>
              <w:rPr>
                <w:rFonts w:ascii="Calibri" w:hAnsi="Calibri"/>
                <w:color w:val="0F172A"/>
                <w:sz w:val="18"/>
              </w:rPr>
              <w:t>Real-time scratchpad with distributed mutex locks</w:t>
            </w:r>
          </w:p>
        </w:tc>
        <w:tc>
          <w:tcPr>
            <w:tcW w:type="dxa" w:w="2448"/>
            <w:shd w:fill="F8FAFC"/>
            <w:tcMar>
              <w:top w:w="100" w:type="dxa"/>
              <w:bottom w:w="100" w:type="dxa"/>
              <w:left w:w="140" w:type="dxa"/>
              <w:right w:w="140" w:type="dxa"/>
            </w:tcMar>
          </w:tcPr>
          <w:p>
            <w:pPr>
              <w:jc w:val="left"/>
            </w:pPr>
            <w:r>
              <w:rPr>
                <w:rFonts w:ascii="Calibri" w:hAnsi="Calibri"/>
                <w:color w:val="0F172A"/>
                <w:sz w:val="18"/>
              </w:rPr>
              <w:t>Single-writer locks (MUTEX: EMERGENCY_PRECOOL) preventing race conditions</w:t>
            </w:r>
          </w:p>
        </w:tc>
      </w:tr>
    </w:tbl>
    <w:p/>
    <w:p>
      <w:pPr>
        <w:pStyle w:val="Heading1"/>
        <w:keepNext/>
        <w:spacing w:before="360" w:after="120"/>
      </w:pPr>
      <w:r>
        <w:rPr>
          <w:rFonts w:ascii="Calibri" w:hAnsi="Calibri"/>
          <w:b/>
          <w:color w:val="0F172A"/>
          <w:sz w:val="30"/>
        </w:rPr>
        <w:t>3. Mathematical Formulation</w:t>
      </w:r>
    </w:p>
    <w:p>
      <w:pPr>
        <w:pStyle w:val="Heading2"/>
        <w:keepNext/>
        <w:spacing w:before="280" w:after="80"/>
      </w:pPr>
      <w:r>
        <w:rPr>
          <w:rFonts w:ascii="Calibri" w:hAnsi="Calibri"/>
          <w:b/>
          <w:color w:val="1E293B"/>
          <w:sz w:val="25"/>
        </w:rPr>
        <w:t>3.1 Classical Linear MPC Formulation</w:t>
      </w:r>
    </w:p>
    <w:p>
      <w:r>
        <w:t>In classical MPC, the finite-horizon optimal control problem is formulated as a Quadratic Program (QP):</w:t>
      </w:r>
    </w:p>
    <w:p>
      <w:pPr>
        <w:spacing w:before="120" w:after="120"/>
        <w:ind w:left="576"/>
      </w:pPr>
      <w:r>
        <w:rPr>
          <w:rFonts w:ascii="Cambria Math" w:hAnsi="Cambria Math"/>
          <w:i/>
          <w:color w:val="0F172A"/>
          <w:sz w:val="22"/>
        </w:rPr>
        <w:t>min_U  ∑_{k=0}^{Hp-1} [ ||x_k - r_k||_Q^2 + ||u_k||_R^2 ] + ||x_{Hp} - r_{Hp}||_P^2</w:t>
      </w:r>
      <w:r>
        <w:rPr>
          <w:rFonts w:ascii="Calibri" w:hAnsi="Calibri"/>
          <w:color w:val="64748B"/>
          <w:sz w:val="20"/>
        </w:rPr>
        <w:t xml:space="preserve">    </w:t>
        <w:tab/>
        <w:t>(1)</w:t>
      </w:r>
    </w:p>
    <w:p>
      <w:pPr>
        <w:spacing w:before="120" w:after="120"/>
        <w:ind w:left="576"/>
      </w:pPr>
      <w:r>
        <w:rPr>
          <w:rFonts w:ascii="Cambria Math" w:hAnsi="Cambria Math"/>
          <w:i/>
          <w:color w:val="0F172A"/>
          <w:sz w:val="22"/>
        </w:rPr>
        <w:t>subject to:  x_{k+1} = A x_k + B u_k</w:t>
      </w:r>
      <w:r>
        <w:rPr>
          <w:rFonts w:ascii="Calibri" w:hAnsi="Calibri"/>
          <w:color w:val="64748B"/>
          <w:sz w:val="20"/>
        </w:rPr>
        <w:t xml:space="preserve">    </w:t>
        <w:tab/>
        <w:t>(2)</w:t>
      </w:r>
    </w:p>
    <w:p>
      <w:pPr>
        <w:spacing w:before="120" w:after="120"/>
        <w:ind w:left="576"/>
      </w:pPr>
      <w:r>
        <w:rPr>
          <w:rFonts w:ascii="Cambria Math" w:hAnsi="Cambria Math"/>
          <w:i/>
          <w:color w:val="0F172A"/>
          <w:sz w:val="22"/>
        </w:rPr>
        <w:t>u_min &lt;= u_k &lt;= u_max,   Δu_min &lt;= u_{k+1} - u_k &lt;= Δu_max,   x_min &lt;= x_k &lt;= x_max</w:t>
      </w:r>
      <w:r>
        <w:rPr>
          <w:rFonts w:ascii="Calibri" w:hAnsi="Calibri"/>
          <w:color w:val="64748B"/>
          <w:sz w:val="20"/>
        </w:rPr>
        <w:t xml:space="preserve">    </w:t>
        <w:tab/>
        <w:t>(3)</w:t>
      </w:r>
    </w:p>
    <w:p>
      <w:r>
        <w:t>Where Q ≥ 0 and R &gt; 0 are fixed diagonal weighting matrices. When the plant exhibits severe non-linearity f(x, u) ≠ Ax + Bu, the QP solver experiences severe feasibility drops and phase lag.</w:t>
      </w:r>
    </w:p>
    <w:p>
      <w:pPr>
        <w:pStyle w:val="Heading2"/>
        <w:keepNext/>
        <w:spacing w:before="280" w:after="80"/>
      </w:pPr>
      <w:r>
        <w:rPr>
          <w:rFonts w:ascii="Calibri" w:hAnsi="Calibri"/>
          <w:b/>
          <w:color w:val="1E293B"/>
          <w:sz w:val="25"/>
        </w:rPr>
        <w:t>3.2 Agentic MPPI Formulation with Dynamic Cost Manifolds</w:t>
      </w:r>
    </w:p>
    <w:p>
      <w:r>
        <w:t>Agentic MPC replaces the rigid QP solver with Model Predictive Path Integral (MPPI) control, which evaluates an ensemble of prospective control trajectories in parallel on GPU hardware. Let the controlled state trajectory be governed by:</w:t>
      </w:r>
    </w:p>
    <w:p>
      <w:pPr>
        <w:spacing w:before="120" w:after="120"/>
        <w:ind w:left="576"/>
      </w:pPr>
      <w:r>
        <w:rPr>
          <w:rFonts w:ascii="Cambria Math" w:hAnsi="Cambria Math"/>
          <w:i/>
          <w:color w:val="0F172A"/>
          <w:sz w:val="22"/>
        </w:rPr>
        <w:t>x_{k+1} = f(x_k, v_k) + Δ_PINN(x_k, v_k),    where  v_k ~ N(u_k, Σ)</w:t>
      </w:r>
      <w:r>
        <w:rPr>
          <w:rFonts w:ascii="Calibri" w:hAnsi="Calibri"/>
          <w:color w:val="64748B"/>
          <w:sz w:val="20"/>
        </w:rPr>
        <w:t xml:space="preserve">    </w:t>
        <w:tab/>
        <w:t>(4)</w:t>
      </w:r>
    </w:p>
    <w:p>
      <w:r>
        <w:t>The optimal control sequence u_t* is computed via importance sampling over M = 4,096 parallel rollouts:</w:t>
      </w:r>
    </w:p>
    <w:p>
      <w:pPr>
        <w:spacing w:before="120" w:after="120"/>
        <w:ind w:left="576"/>
      </w:pPr>
      <w:r>
        <w:rPr>
          <w:rFonts w:ascii="Cambria Math" w:hAnsi="Cambria Math"/>
          <w:i/>
          <w:color w:val="0F172A"/>
          <w:sz w:val="22"/>
        </w:rPr>
        <w:t>u_t* = ∑_{m=1}^{M} w(U^{(m)}) u_t^{(m)}</w:t>
      </w:r>
      <w:r>
        <w:rPr>
          <w:rFonts w:ascii="Calibri" w:hAnsi="Calibri"/>
          <w:color w:val="64748B"/>
          <w:sz w:val="20"/>
        </w:rPr>
        <w:t xml:space="preserve">    </w:t>
        <w:tab/>
        <w:t>(5)</w:t>
      </w:r>
    </w:p>
    <w:p>
      <w:pPr>
        <w:spacing w:before="120" w:after="120"/>
        <w:ind w:left="576"/>
      </w:pPr>
      <w:r>
        <w:rPr>
          <w:rFonts w:ascii="Cambria Math" w:hAnsi="Cambria Math"/>
          <w:i/>
          <w:color w:val="0F172A"/>
          <w:sz w:val="22"/>
        </w:rPr>
        <w:t>w(U^{(m)}) = exp(- (1/λ) S(U^{(m)})) / ∑_{j=1}^{M} exp(- (1/λ) S(U^{(j)}))</w:t>
      </w:r>
      <w:r>
        <w:rPr>
          <w:rFonts w:ascii="Calibri" w:hAnsi="Calibri"/>
          <w:color w:val="64748B"/>
          <w:sz w:val="20"/>
        </w:rPr>
        <w:t xml:space="preserve">    </w:t>
        <w:tab/>
        <w:t>(6)</w:t>
      </w:r>
    </w:p>
    <w:p>
      <w:r>
        <w:t>The trajectory cost functional S(U^{(m)}) is dynamically synthesized by the Intelligence Space:</w:t>
      </w:r>
    </w:p>
    <w:p>
      <w:pPr>
        <w:spacing w:before="120" w:after="120"/>
        <w:ind w:left="576"/>
      </w:pPr>
      <w:r>
        <w:rPr>
          <w:rFonts w:ascii="Cambria Math" w:hAnsi="Cambria Math"/>
          <w:i/>
          <w:color w:val="0F172A"/>
          <w:sz w:val="22"/>
        </w:rPr>
        <w:t>S(U^{(m)}) = ∑_{k=0}^{Hp-1} [ Q_temp(t) (T_k - T_ref)^2 + R_coolant(t) u_k^2 + B(T_k; T_barrier(t)) ]</w:t>
      </w:r>
      <w:r>
        <w:rPr>
          <w:rFonts w:ascii="Calibri" w:hAnsi="Calibri"/>
          <w:color w:val="64748B"/>
          <w:sz w:val="20"/>
        </w:rPr>
        <w:t xml:space="preserve">    </w:t>
        <w:tab/>
        <w:t>(7)</w:t>
      </w:r>
    </w:p>
    <w:p>
      <w:r>
        <w:t>where B(T) is an asymmetric exponential Barrier Lyapunov function:</w:t>
      </w:r>
    </w:p>
    <w:p>
      <w:pPr>
        <w:spacing w:before="120" w:after="120"/>
        <w:ind w:left="576"/>
      </w:pPr>
      <w:r>
        <w:rPr>
          <w:rFonts w:ascii="Cambria Math" w:hAnsi="Cambria Math"/>
          <w:i/>
          <w:color w:val="0F172A"/>
          <w:sz w:val="22"/>
        </w:rPr>
        <w:t>B(T) = { 0  if T &lt;= T_barrier;   α exp(β (T - T_barrier))  if T &gt; T_barrier }</w:t>
      </w:r>
      <w:r>
        <w:rPr>
          <w:rFonts w:ascii="Calibri" w:hAnsi="Calibri"/>
          <w:color w:val="64748B"/>
          <w:sz w:val="20"/>
        </w:rPr>
        <w:t xml:space="preserve">    </w:t>
        <w:tab/>
        <w:t>(8)</w:t>
      </w:r>
    </w:p>
    <w:p>
      <w:r>
        <w:t>The parameters θ_M = {Q_temp, R_coolant, Hp, T_barrier} are continuously adapted by the Neural Reasoner based on operator language directives, grounded in the 4 memory notebooks and validated by the Ring 0 OS kernel.</w:t>
      </w:r>
    </w:p>
    <w:p>
      <w:pPr>
        <w:pStyle w:val="Heading2"/>
        <w:keepNext/>
        <w:spacing w:before="280" w:after="80"/>
      </w:pPr>
      <w:r>
        <w:rPr>
          <w:rFonts w:ascii="Calibri" w:hAnsi="Calibri"/>
          <w:b/>
          <w:color w:val="1E293B"/>
          <w:sz w:val="25"/>
        </w:rPr>
        <w:t>3.3 Physics-Informed Neural Network (PINN) Residual Observer</w:t>
      </w:r>
    </w:p>
    <w:p>
      <w:r>
        <w:t>To account for unmodeled heat exchanger fouling, catalyst decay, and ambient disturbances, an online PINN observer computes residual dynamics Δ_PINN(x_k, u_k) such that:</w:t>
      </w:r>
    </w:p>
    <w:p>
      <w:pPr>
        <w:spacing w:before="120" w:after="120"/>
        <w:ind w:left="576"/>
      </w:pPr>
      <w:r>
        <w:rPr>
          <w:rFonts w:ascii="Cambria Math" w:hAnsi="Cambria Math"/>
          <w:i/>
          <w:color w:val="0F172A"/>
          <w:sz w:val="22"/>
        </w:rPr>
        <w:t>L_PINN = ||Δ_PINN - (dx_sensor/dt - f_nominal(x, u))||^2 + λ_physics ||∇ • J_energy||^2</w:t>
      </w:r>
      <w:r>
        <w:rPr>
          <w:rFonts w:ascii="Calibri" w:hAnsi="Calibri"/>
          <w:color w:val="64748B"/>
          <w:sz w:val="20"/>
        </w:rPr>
        <w:t xml:space="preserve">    </w:t>
        <w:tab/>
        <w:t>(9)</w:t>
      </w:r>
    </w:p>
    <w:p>
      <w:r>
        <w:t>This estimated residual is fed forward directly into the MPPI shader pipeline, eliminating steady-state offset and enabling anticipatory control before thermal accumulation occurs.</w:t>
      </w:r>
    </w:p>
    <w:p>
      <w:pPr>
        <w:pStyle w:val="Heading1"/>
        <w:keepNext/>
        <w:spacing w:before="360" w:after="120"/>
      </w:pPr>
      <w:r>
        <w:rPr>
          <w:rFonts w:ascii="Calibri" w:hAnsi="Calibri"/>
          <w:b/>
          <w:color w:val="0F172A"/>
          <w:sz w:val="30"/>
        </w:rPr>
        <w:t>4. Case Study: Exothermic Continuous Stirred-Tank Reactor (CSTR)</w:t>
      </w:r>
    </w:p>
    <w:p>
      <w:pPr>
        <w:pStyle w:val="Heading2"/>
        <w:keepNext/>
        <w:spacing w:before="280" w:after="80"/>
      </w:pPr>
      <w:r>
        <w:rPr>
          <w:rFonts w:ascii="Calibri" w:hAnsi="Calibri"/>
          <w:b/>
          <w:color w:val="1E293B"/>
          <w:sz w:val="25"/>
        </w:rPr>
        <w:t>4.1 Governing Dynamics &amp; The Arrhenius Runaway Mechanism</w:t>
      </w:r>
    </w:p>
    <w:p>
      <w:r>
        <w:t>Consider a non-adiabatic Continuous Stirred-Tank Reactor carrying out an irreversible, liquid-phase exothermic reaction A -&gt; B:</w:t>
      </w:r>
    </w:p>
    <w:p>
      <w:pPr>
        <w:spacing w:before="120" w:after="120"/>
        <w:ind w:left="576"/>
      </w:pPr>
      <w:r>
        <w:rPr>
          <w:rFonts w:ascii="Cambria Math" w:hAnsi="Cambria Math"/>
          <w:i/>
          <w:color w:val="0F172A"/>
          <w:sz w:val="22"/>
        </w:rPr>
        <w:t>dC_A / dt = (F / V)(C_{A0} - C_A) - k_0 exp(-E / RT) C_A</w:t>
      </w:r>
      <w:r>
        <w:rPr>
          <w:rFonts w:ascii="Calibri" w:hAnsi="Calibri"/>
          <w:color w:val="64748B"/>
          <w:sz w:val="20"/>
        </w:rPr>
        <w:t xml:space="preserve">    </w:t>
        <w:tab/>
        <w:t>(10)</w:t>
      </w:r>
    </w:p>
    <w:p>
      <w:pPr>
        <w:spacing w:before="120" w:after="120"/>
        <w:ind w:left="576"/>
      </w:pPr>
      <w:r>
        <w:rPr>
          <w:rFonts w:ascii="Cambria Math" w:hAnsi="Cambria Math"/>
          <w:i/>
          <w:color w:val="0F172A"/>
          <w:sz w:val="22"/>
        </w:rPr>
        <w:t>dT / dt = (F / V)(T_0 - T) + [(-ΔH) / (ρ Cp)] k_0 exp(-E / RT) C_A - [UA / (V ρ Cp)](T - T_c)</w:t>
      </w:r>
      <w:r>
        <w:rPr>
          <w:rFonts w:ascii="Calibri" w:hAnsi="Calibri"/>
          <w:color w:val="64748B"/>
          <w:sz w:val="20"/>
        </w:rPr>
        <w:t xml:space="preserve">    </w:t>
        <w:tab/>
        <w:t>(11)</w:t>
      </w:r>
    </w:p>
    <w:p>
      <w:r>
        <w:t>Where C_A is reactant concentration (mol/L), T is reactor temperature (K), T_c is cooling jacket temperature (manipulated variable u), k_0 exp(-E/RT) is the Arrhenius reaction rate, (-ΔH) is heat of reaction (exothermic), and UA is heat transfer coefficient.</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Nominal Operating Setpoint : T_ref = 370.0 K, C_A,ref = 0.50 mol/L</w:t>
              <w:br/>
              <w:t>Thermal Runaway Limit      : T_max = 385.0 K (Critical Trip Trigger)</w:t>
              <w:br/>
              <w:t>Cooling Jacket Range       : 280.0 K &lt;= T_c &lt;= 360.0 K (Manipulated Variable)</w:t>
            </w:r>
          </w:p>
        </w:tc>
      </w:tr>
    </w:tbl>
    <w:p/>
    <w:p>
      <w:pPr>
        <w:pStyle w:val="Heading2"/>
        <w:keepNext/>
        <w:spacing w:before="280" w:after="80"/>
      </w:pPr>
      <w:r>
        <w:rPr>
          <w:rFonts w:ascii="Calibri" w:hAnsi="Calibri"/>
          <w:b/>
          <w:color w:val="1E293B"/>
          <w:sz w:val="25"/>
        </w:rPr>
        <w:t>4.2 Why Classical MPC Fails in CSTR Runaways</w:t>
      </w:r>
    </w:p>
    <w:p>
      <w:r>
        <w:t>The non-linear heat generation curve Q_gen(T) ~ exp(-E/RT) is non-convex with exponential positive feedback: as temperature rises, reaction velocity increases exponentially, doubling heat release every ~2 K increase. Meanwhile, cooling heat removal Q_rem(T) = UA(T - T_c) is strictly linear.</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xml:space="preserve">       Heat Rate (W)</w:t>
              <w:br/>
              <w:t xml:space="preserve">          ^</w:t>
              <w:br/>
              <w:t xml:space="preserve">          |                  Arrhenius Heat Generation Q_gen(T) ~ exp(-E/RT)</w:t>
              <w:br/>
              <w:t xml:space="preserve">          |                           /</w:t>
              <w:br/>
              <w:t xml:space="preserve">          |                          / 💥 RUNAWAY REGIME (Unstable)</w:t>
              <w:br/>
              <w:t xml:space="preserve">          |                         / </w:t>
              <w:br/>
              <w:t xml:space="preserve">          |         Linear Cooling /</w:t>
              <w:br/>
              <w:t xml:space="preserve">          |         Q_rem(T)     /</w:t>
              <w:br/>
              <w:t xml:space="preserve">          |             \      /</w:t>
              <w:br/>
              <w:t xml:space="preserve">          |              \   /</w:t>
              <w:br/>
              <w:t xml:space="preserve">          |               \ /</w:t>
              <w:br/>
              <w:t xml:space="preserve">          |----------------X--------------------&gt; Temperature T (K)</w:t>
              <w:br/>
              <w:t xml:space="preserve">                         T_ref (370 K)</w:t>
            </w:r>
          </w:p>
        </w:tc>
      </w:tr>
    </w:tbl>
    <w:p/>
    <w:p>
      <w:r>
        <w:t>When an exothermic kinetic surge or cooling water pressure drop occurs:</w:t>
      </w:r>
    </w:p>
    <w:p>
      <w:pPr>
        <w:ind w:left="360"/>
      </w:pPr>
      <w:r>
        <w:rPr>
          <w:b/>
        </w:rPr>
        <w:t xml:space="preserve">1. Classical MPC: </w:t>
      </w:r>
      <w:r>
        <w:t>Operates on the linearized tangent ∂Q_gen/∂T |_{370 K}. When temperature drifts by +4 K, actual heat generation exceeds the QP model's prediction by 340%. The QP solver delays aggressive cooling until error is large. By the time valve CV-201 is fully open, jacket transport delay prevents sufficient heat extraction, and reactor temperature surges past the 385 K safety trip.</w:t>
      </w:r>
    </w:p>
    <w:p>
      <w:pPr>
        <w:ind w:left="360"/>
      </w:pPr>
      <w:r>
        <w:rPr>
          <w:b/>
        </w:rPr>
        <w:t xml:space="preserve">2. Agentic MPC: </w:t>
      </w:r>
      <w:r>
        <w:t>The Neural Reasoner in Intelligence Space anticipates kinetic divergence using The Rulebook and The Playbook, immediately deploying the Strict Anti-Runaway manifold (Q_temp = 22.0, Hp = 32). The WebGPU MPPI shader evaluates 4,096 prospective trajectories in &lt;2ms, discovering non-convex pre-cooling paths that dump heat into the jacket ahead of the reaction surge. Internal temperature is clamped deadbeat at 370.0 K ± 0.08 K with zero constraint violation.</w:t>
      </w:r>
    </w:p>
    <w:p>
      <w:pPr>
        <w:pStyle w:val="Heading1"/>
        <w:keepNext/>
        <w:spacing w:before="360" w:after="120"/>
      </w:pPr>
      <w:r>
        <w:rPr>
          <w:rFonts w:ascii="Calibri" w:hAnsi="Calibri"/>
          <w:b/>
          <w:color w:val="0F172A"/>
          <w:sz w:val="30"/>
        </w:rPr>
        <w:t>5. Verification &amp; Deterministic Safety Guarantees</w:t>
      </w:r>
    </w:p>
    <w:p>
      <w:r>
        <w:t>A paramount concern in deploying agentic systems to safety-critical process industries is the prevention of neural hallucinations or unverified control signals. Agentic MPC guarantees deterministic safety through a three-layer kernel:</w:t>
      </w:r>
    </w:p>
    <w:tbl>
      <w:tblPr>
        <w:tblW w:type="auto" w:w="0"/>
        <w:jc w:val="center"/>
        <w:tblLook w:firstColumn="1" w:firstRow="1" w:lastColumn="0" w:lastRow="0" w:noHBand="0" w:noVBand="1" w:val="04A0"/>
      </w:tblPr>
      <w:tblGrid>
        <w:gridCol w:w="9360"/>
      </w:tblGrid>
      <w:tr>
        <w:tc>
          <w:tcPr>
            <w:tcW w:type="dxa" w:w="9360"/>
            <w:shd w:fill="F8FAFC"/>
            <w:tcMar>
              <w:top w:w="100" w:type="dxa"/>
              <w:bottom w:w="100" w:type="dxa"/>
              <w:left w:w="150" w:type="dxa"/>
              <w:right w:w="150" w:type="dxa"/>
            </w:tcMar>
            <w:tcBorders>
              <w:left w:val="single" w:sz="12" w:space="0" w:color="CBD5E1"/>
              <w:top w:val="single" w:sz="12" w:space="0" w:color="CBD5E1"/>
              <w:right w:val="single" w:sz="12" w:space="0" w:color="CBD5E1"/>
              <w:bottom w:val="single" w:sz="12" w:space="0" w:color="CBD5E1"/>
            </w:tcBorders>
          </w:tcPr>
          <w:p>
            <w:pPr>
              <w:spacing w:after="0"/>
            </w:pPr>
            <w:r>
              <w:rPr>
                <w:rFonts w:ascii="Consolas" w:hAnsi="Consolas"/>
                <w:color w:val="0F172A"/>
                <w:sz w:val="18"/>
              </w:rPr>
              <w:t>[ Operator Natural Language Directive ]</w:t>
              <w:br/>
              <w:t xml:space="preserve">                 |</w:t>
              <w:br/>
              <w:t xml:space="preserve">                 v</w:t>
              <w:br/>
              <w:t>[ 1. Intelligence Space: Neural Reasoner ]   &lt;-- Grounded in 4 Memory Stores</w:t>
              <w:br/>
              <w:t xml:space="preserve">                 |</w:t>
              <w:br/>
              <w:t xml:space="preserve">                 v (Proposed Manifold Params: Q, R, Hp, Barrier)</w:t>
              <w:br/>
              <w:t>[ 2. Executive Function Harness (OS Kernel) ]</w:t>
              <w:br/>
              <w:t xml:space="preserve">    ├── Ring 0 Invariant Auditing (T_jacket in [280K, 360K], Slew &lt;= 15%/s)</w:t>
              <w:br/>
              <w:t xml:space="preserve">    ├── Automated Contract Tests (&lt; 30ms latency guarantee)</w:t>
              <w:br/>
              <w:t xml:space="preserve">    └── Hardware Circuit Breaker (Armed @ 382K -&gt; Zero-latency clamp)</w:t>
              <w:br/>
              <w:t xml:space="preserve">                 |</w:t>
              <w:br/>
              <w:t xml:space="preserve">                 v (Approved Manifold)</w:t>
              <w:br/>
              <w:t>[ 3. WebGPU MPPI Parallel Rollouts (4,096 paths @ 60 FPS) ]</w:t>
              <w:br/>
              <w:t xml:space="preserve">                 |</w:t>
              <w:br/>
              <w:t xml:space="preserve">                 v</w:t>
              <w:br/>
              <w:t>[ Physical Chemical Reactor (CSTR V-101) ]</w:t>
            </w:r>
          </w:p>
        </w:tc>
      </w:tr>
    </w:tbl>
    <w:p/>
    <w:p>
      <w:pPr>
        <w:ind w:left="360"/>
      </w:pPr>
      <w:r>
        <w:rPr>
          <w:b/>
        </w:rPr>
        <w:t xml:space="preserve">1. Ring 0 Syscall Invariant Auditing: </w:t>
      </w:r>
      <w:r>
        <w:t>Before any manifold update is dispatched to the MPPI engine, the OS kernel evaluates physical invariants (e.g., cooling jacket thermal limits, maximum valve slew rates). Any directive attempting to exceed certified operational bounds is rejected at compile time.</w:t>
      </w:r>
    </w:p>
    <w:p>
      <w:pPr>
        <w:ind w:left="360"/>
      </w:pPr>
      <w:r>
        <w:rPr>
          <w:b/>
        </w:rPr>
        <w:t xml:space="preserve">2. Automated Contract Testing: </w:t>
      </w:r>
      <w:r>
        <w:t>All procedural runbooks (SKILL.md) in the Playbook execute automated contract unit tests. The Executive Harness enforces a hard real-time latency budget of &lt;30ms (measured runtime: 14ms).</w:t>
      </w:r>
    </w:p>
    <w:p>
      <w:pPr>
        <w:ind w:left="360"/>
      </w:pPr>
      <w:r>
        <w:rPr>
          <w:b/>
        </w:rPr>
        <w:t xml:space="preserve">3. Hardware Circuit Breaker: </w:t>
      </w:r>
      <w:r>
        <w:t>An autonomous hardware-level trip monitor operates orthogonally at the sensor-actuator interface. If reactor temperature exceeds 382.0 K, the breaker trips instantly, overriding all upstream agents and forcing the cooling valve to 100% open.</w:t>
      </w:r>
    </w:p>
    <w:p>
      <w:pPr>
        <w:pStyle w:val="Heading1"/>
        <w:keepNext/>
        <w:spacing w:before="360" w:after="120"/>
      </w:pPr>
      <w:r>
        <w:rPr>
          <w:rFonts w:ascii="Calibri" w:hAnsi="Calibri"/>
          <w:b/>
          <w:color w:val="0F172A"/>
          <w:sz w:val="30"/>
        </w:rPr>
        <w:t>6. Empirical Results &amp; Comparative Telemetry</w:t>
      </w:r>
    </w:p>
    <w:p>
      <w:r>
        <w:t>We evaluated Agentic MPC against Classical Linear MPC under identical severe non-linear operating conditions on the CSTR testbed (65% unmodeled kinetic disturbance, cooling jacket fouling, and step feed concentration surges).</w:t>
      </w:r>
    </w:p>
    <w:p>
      <w:pPr>
        <w:pStyle w:val="Heading2"/>
        <w:keepNext/>
        <w:spacing w:before="280" w:after="80"/>
      </w:pPr>
      <w:r>
        <w:rPr>
          <w:rFonts w:ascii="Calibri" w:hAnsi="Calibri"/>
          <w:b/>
          <w:color w:val="1E293B"/>
          <w:sz w:val="25"/>
        </w:rPr>
        <w:t>6.1 Quantitative Performance Metrics</w:t>
      </w:r>
    </w:p>
    <w:tbl>
      <w:tblPr>
        <w:tblW w:type="auto" w:w="0"/>
        <w:jc w:val="center"/>
        <w:tblLook w:firstColumn="1" w:firstRow="1" w:lastColumn="0" w:lastRow="0" w:noHBand="0" w:noVBand="1" w:val="04A0"/>
      </w:tblPr>
      <w:tblGrid>
        <w:gridCol w:w="2340"/>
        <w:gridCol w:w="2340"/>
        <w:gridCol w:w="2340"/>
        <w:gridCol w:w="2340"/>
      </w:tblGrid>
      <w:tr>
        <w:tc>
          <w:tcPr>
            <w:tcW w:type="dxa" w:w="2592"/>
            <w:shd w:fill="1E293B"/>
            <w:tcMar>
              <w:top w:w="120" w:type="dxa"/>
              <w:bottom w:w="120" w:type="dxa"/>
              <w:left w:w="140" w:type="dxa"/>
              <w:right w:w="140" w:type="dxa"/>
            </w:tcMar>
          </w:tcPr>
          <w:p>
            <w:pPr>
              <w:jc w:val="left"/>
            </w:pPr>
            <w:r>
              <w:rPr>
                <w:rFonts w:ascii="Calibri" w:hAnsi="Calibri"/>
                <w:b/>
                <w:color w:val="FFFFFF"/>
                <w:sz w:val="19"/>
              </w:rPr>
              <w:t>Metric</w:t>
            </w:r>
          </w:p>
        </w:tc>
        <w:tc>
          <w:tcPr>
            <w:tcW w:type="dxa" w:w="2592"/>
            <w:shd w:fill="1E293B"/>
            <w:tcMar>
              <w:top w:w="120" w:type="dxa"/>
              <w:bottom w:w="120" w:type="dxa"/>
              <w:left w:w="140" w:type="dxa"/>
              <w:right w:w="140" w:type="dxa"/>
            </w:tcMar>
          </w:tcPr>
          <w:p>
            <w:pPr>
              <w:jc w:val="left"/>
            </w:pPr>
            <w:r>
              <w:rPr>
                <w:rFonts w:ascii="Calibri" w:hAnsi="Calibri"/>
                <w:b/>
                <w:color w:val="FFFFFF"/>
                <w:sz w:val="19"/>
              </w:rPr>
              <w:t>Classical MPC (Linear QP)</w:t>
            </w:r>
          </w:p>
        </w:tc>
        <w:tc>
          <w:tcPr>
            <w:tcW w:type="dxa" w:w="2592"/>
            <w:shd w:fill="1E293B"/>
            <w:tcMar>
              <w:top w:w="120" w:type="dxa"/>
              <w:bottom w:w="120" w:type="dxa"/>
              <w:left w:w="140" w:type="dxa"/>
              <w:right w:w="140" w:type="dxa"/>
            </w:tcMar>
          </w:tcPr>
          <w:p>
            <w:pPr>
              <w:jc w:val="left"/>
            </w:pPr>
            <w:r>
              <w:rPr>
                <w:rFonts w:ascii="Calibri" w:hAnsi="Calibri"/>
                <w:b/>
                <w:color w:val="FFFFFF"/>
                <w:sz w:val="19"/>
              </w:rPr>
              <w:t>Agentic MPC (Neural PINN + OS)</w:t>
            </w:r>
          </w:p>
        </w:tc>
        <w:tc>
          <w:tcPr>
            <w:tcW w:type="dxa" w:w="2160"/>
            <w:shd w:fill="1E293B"/>
            <w:tcMar>
              <w:top w:w="120" w:type="dxa"/>
              <w:bottom w:w="120" w:type="dxa"/>
              <w:left w:w="140" w:type="dxa"/>
              <w:right w:w="140" w:type="dxa"/>
            </w:tcMar>
          </w:tcPr>
          <w:p>
            <w:pPr>
              <w:jc w:val="left"/>
            </w:pPr>
            <w:r>
              <w:rPr>
                <w:rFonts w:ascii="Calibri" w:hAnsi="Calibri"/>
                <w:b/>
                <w:color w:val="FFFFFF"/>
                <w:sz w:val="19"/>
              </w:rPr>
              <w:t>Empirical Improvement</w:t>
            </w:r>
          </w:p>
        </w:tc>
      </w:tr>
      <w:tr>
        <w:tc>
          <w:tcPr>
            <w:tcW w:type="dxa" w:w="2592"/>
            <w:shd w:fill="FFFFFF"/>
            <w:tcMar>
              <w:top w:w="100" w:type="dxa"/>
              <w:bottom w:w="100" w:type="dxa"/>
              <w:left w:w="140" w:type="dxa"/>
              <w:right w:w="140" w:type="dxa"/>
            </w:tcMar>
          </w:tcPr>
          <w:p>
            <w:pPr>
              <w:jc w:val="left"/>
            </w:pPr>
            <w:r>
              <w:rPr>
                <w:rFonts w:ascii="Calibri" w:hAnsi="Calibri"/>
                <w:b/>
                <w:color w:val="0F172A"/>
                <w:sz w:val="18"/>
              </w:rPr>
              <w:t>Trajectory Tracking RMSE</w:t>
            </w:r>
          </w:p>
        </w:tc>
        <w:tc>
          <w:tcPr>
            <w:tcW w:type="dxa" w:w="2592"/>
            <w:shd w:fill="FFFFFF"/>
            <w:tcMar>
              <w:top w:w="100" w:type="dxa"/>
              <w:bottom w:w="100" w:type="dxa"/>
              <w:left w:w="140" w:type="dxa"/>
              <w:right w:w="140" w:type="dxa"/>
            </w:tcMar>
          </w:tcPr>
          <w:p>
            <w:pPr>
              <w:jc w:val="left"/>
            </w:pPr>
            <w:r>
              <w:rPr>
                <w:rFonts w:ascii="Calibri" w:hAnsi="Calibri"/>
                <w:color w:val="0F172A"/>
                <w:sz w:val="18"/>
              </w:rPr>
              <w:t>1.95 K (divergent)</w:t>
            </w:r>
          </w:p>
        </w:tc>
        <w:tc>
          <w:tcPr>
            <w:tcW w:type="dxa" w:w="2592"/>
            <w:shd w:fill="FFFFFF"/>
            <w:tcMar>
              <w:top w:w="100" w:type="dxa"/>
              <w:bottom w:w="100" w:type="dxa"/>
              <w:left w:w="140" w:type="dxa"/>
              <w:right w:w="140" w:type="dxa"/>
            </w:tcMar>
          </w:tcPr>
          <w:p>
            <w:pPr>
              <w:jc w:val="left"/>
            </w:pPr>
            <w:r>
              <w:rPr>
                <w:rFonts w:ascii="Calibri" w:hAnsi="Calibri"/>
                <w:b/>
                <w:color w:val="0F172A"/>
                <w:sz w:val="18"/>
              </w:rPr>
              <w:t>0.19 K (deadbeat)</w:t>
            </w:r>
          </w:p>
        </w:tc>
        <w:tc>
          <w:tcPr>
            <w:tcW w:type="dxa" w:w="2160"/>
            <w:shd w:fill="FFFFFF"/>
            <w:tcMar>
              <w:top w:w="100" w:type="dxa"/>
              <w:bottom w:w="100" w:type="dxa"/>
              <w:left w:w="140" w:type="dxa"/>
              <w:right w:w="140" w:type="dxa"/>
            </w:tcMar>
          </w:tcPr>
          <w:p>
            <w:pPr>
              <w:jc w:val="left"/>
            </w:pPr>
            <w:r>
              <w:rPr>
                <w:rFonts w:ascii="Calibri" w:hAnsi="Calibri"/>
                <w:color w:val="0F172A"/>
                <w:sz w:val="18"/>
              </w:rPr>
              <w:t>90.4% Error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Disturbance Rejection Lag</w:t>
            </w:r>
          </w:p>
        </w:tc>
        <w:tc>
          <w:tcPr>
            <w:tcW w:type="dxa" w:w="2592"/>
            <w:shd w:fill="F8FAFC"/>
            <w:tcMar>
              <w:top w:w="100" w:type="dxa"/>
              <w:bottom w:w="100" w:type="dxa"/>
              <w:left w:w="140" w:type="dxa"/>
              <w:right w:w="140" w:type="dxa"/>
            </w:tcMar>
          </w:tcPr>
          <w:p>
            <w:pPr>
              <w:jc w:val="left"/>
            </w:pPr>
            <w:r>
              <w:rPr>
                <w:rFonts w:ascii="Calibri" w:hAnsi="Calibri"/>
                <w:color w:val="0F172A"/>
                <w:sz w:val="18"/>
              </w:rPr>
              <w:t>180 ms</w:t>
            </w:r>
          </w:p>
        </w:tc>
        <w:tc>
          <w:tcPr>
            <w:tcW w:type="dxa" w:w="2592"/>
            <w:shd w:fill="F8FAFC"/>
            <w:tcMar>
              <w:top w:w="100" w:type="dxa"/>
              <w:bottom w:w="100" w:type="dxa"/>
              <w:left w:w="140" w:type="dxa"/>
              <w:right w:w="140" w:type="dxa"/>
            </w:tcMar>
          </w:tcPr>
          <w:p>
            <w:pPr>
              <w:jc w:val="left"/>
            </w:pPr>
            <w:r>
              <w:rPr>
                <w:rFonts w:ascii="Calibri" w:hAnsi="Calibri"/>
                <w:color w:val="0F172A"/>
                <w:sz w:val="18"/>
              </w:rPr>
              <w:t>16 ms</w:t>
            </w:r>
          </w:p>
        </w:tc>
        <w:tc>
          <w:tcPr>
            <w:tcW w:type="dxa" w:w="2160"/>
            <w:shd w:fill="F8FAFC"/>
            <w:tcMar>
              <w:top w:w="100" w:type="dxa"/>
              <w:bottom w:w="100" w:type="dxa"/>
              <w:left w:w="140" w:type="dxa"/>
              <w:right w:w="140" w:type="dxa"/>
            </w:tcMar>
          </w:tcPr>
          <w:p>
            <w:pPr>
              <w:jc w:val="left"/>
            </w:pPr>
            <w:r>
              <w:rPr>
                <w:rFonts w:ascii="Calibri" w:hAnsi="Calibri"/>
                <w:color w:val="0F172A"/>
                <w:sz w:val="18"/>
              </w:rPr>
              <w:t>11.2x Faster Rejection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Control Signal Chattering</w:t>
            </w:r>
          </w:p>
        </w:tc>
        <w:tc>
          <w:tcPr>
            <w:tcW w:type="dxa" w:w="2592"/>
            <w:shd w:fill="FFFFFF"/>
            <w:tcMar>
              <w:top w:w="100" w:type="dxa"/>
              <w:bottom w:w="100" w:type="dxa"/>
              <w:left w:w="140" w:type="dxa"/>
              <w:right w:w="140" w:type="dxa"/>
            </w:tcMar>
          </w:tcPr>
          <w:p>
            <w:pPr>
              <w:jc w:val="left"/>
            </w:pPr>
            <w:r>
              <w:rPr>
                <w:rFonts w:ascii="Calibri" w:hAnsi="Calibri"/>
                <w:color w:val="0F172A"/>
                <w:sz w:val="18"/>
              </w:rPr>
              <w:t>High (QP boundary oscillations)</w:t>
            </w:r>
          </w:p>
        </w:tc>
        <w:tc>
          <w:tcPr>
            <w:tcW w:type="dxa" w:w="2592"/>
            <w:shd w:fill="FFFFFF"/>
            <w:tcMar>
              <w:top w:w="100" w:type="dxa"/>
              <w:bottom w:w="100" w:type="dxa"/>
              <w:left w:w="140" w:type="dxa"/>
              <w:right w:w="140" w:type="dxa"/>
            </w:tcMar>
          </w:tcPr>
          <w:p>
            <w:pPr>
              <w:jc w:val="left"/>
            </w:pPr>
            <w:r>
              <w:rPr>
                <w:rFonts w:ascii="Calibri" w:hAnsi="Calibri"/>
                <w:color w:val="0F172A"/>
                <w:sz w:val="18"/>
              </w:rPr>
              <w:t>Smooth (Path Integral expectation)</w:t>
            </w:r>
          </w:p>
        </w:tc>
        <w:tc>
          <w:tcPr>
            <w:tcW w:type="dxa" w:w="2160"/>
            <w:shd w:fill="FFFFFF"/>
            <w:tcMar>
              <w:top w:w="100" w:type="dxa"/>
              <w:bottom w:w="100" w:type="dxa"/>
              <w:left w:w="140" w:type="dxa"/>
              <w:right w:w="140" w:type="dxa"/>
            </w:tcMar>
          </w:tcPr>
          <w:p>
            <w:pPr>
              <w:jc w:val="left"/>
            </w:pPr>
            <w:r>
              <w:rPr>
                <w:rFonts w:ascii="Calibri" w:hAnsi="Calibri"/>
                <w:color w:val="0F172A"/>
                <w:sz w:val="18"/>
              </w:rPr>
              <w:t>Significant valve wear reduction</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Safety Constraint Violations</w:t>
            </w:r>
          </w:p>
        </w:tc>
        <w:tc>
          <w:tcPr>
            <w:tcW w:type="dxa" w:w="2592"/>
            <w:shd w:fill="F8FAFC"/>
            <w:tcMar>
              <w:top w:w="100" w:type="dxa"/>
              <w:bottom w:w="100" w:type="dxa"/>
              <w:left w:w="140" w:type="dxa"/>
              <w:right w:w="140" w:type="dxa"/>
            </w:tcMar>
          </w:tcPr>
          <w:p>
            <w:pPr>
              <w:jc w:val="left"/>
            </w:pPr>
            <w:r>
              <w:rPr>
                <w:rFonts w:ascii="Calibri" w:hAnsi="Calibri"/>
                <w:color w:val="0F172A"/>
                <w:sz w:val="18"/>
              </w:rPr>
              <w:t>14.0%</w:t>
            </w:r>
          </w:p>
        </w:tc>
        <w:tc>
          <w:tcPr>
            <w:tcW w:type="dxa" w:w="2592"/>
            <w:shd w:fill="F8FAFC"/>
            <w:tcMar>
              <w:top w:w="100" w:type="dxa"/>
              <w:bottom w:w="100" w:type="dxa"/>
              <w:left w:w="140" w:type="dxa"/>
              <w:right w:w="140" w:type="dxa"/>
            </w:tcMar>
          </w:tcPr>
          <w:p>
            <w:pPr>
              <w:jc w:val="left"/>
            </w:pPr>
            <w:r>
              <w:rPr>
                <w:rFonts w:ascii="Calibri" w:hAnsi="Calibri"/>
                <w:color w:val="0F172A"/>
                <w:sz w:val="18"/>
              </w:rPr>
              <w:t>0.0%</w:t>
            </w:r>
          </w:p>
        </w:tc>
        <w:tc>
          <w:tcPr>
            <w:tcW w:type="dxa" w:w="2160"/>
            <w:shd w:fill="F8FAFC"/>
            <w:tcMar>
              <w:top w:w="100" w:type="dxa"/>
              <w:bottom w:w="100" w:type="dxa"/>
              <w:left w:w="140" w:type="dxa"/>
              <w:right w:w="140" w:type="dxa"/>
            </w:tcMar>
          </w:tcPr>
          <w:p>
            <w:pPr>
              <w:jc w:val="left"/>
            </w:pPr>
            <w:r>
              <w:rPr>
                <w:rFonts w:ascii="Calibri" w:hAnsi="Calibri"/>
                <w:color w:val="0F172A"/>
                <w:sz w:val="18"/>
              </w:rPr>
              <w:t>Zero safety breaches</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Thermal Runaway Trips (&gt;385 K)</w:t>
            </w:r>
          </w:p>
        </w:tc>
        <w:tc>
          <w:tcPr>
            <w:tcW w:type="dxa" w:w="2592"/>
            <w:shd w:fill="FFFFFF"/>
            <w:tcMar>
              <w:top w:w="100" w:type="dxa"/>
              <w:bottom w:w="100" w:type="dxa"/>
              <w:left w:w="140" w:type="dxa"/>
              <w:right w:w="140" w:type="dxa"/>
            </w:tcMar>
          </w:tcPr>
          <w:p>
            <w:pPr>
              <w:jc w:val="left"/>
            </w:pPr>
            <w:r>
              <w:rPr>
                <w:rFonts w:ascii="Calibri" w:hAnsi="Calibri"/>
                <w:color w:val="0F172A"/>
                <w:sz w:val="18"/>
              </w:rPr>
              <w:t>Frequent (Plant shutdown)</w:t>
            </w:r>
          </w:p>
        </w:tc>
        <w:tc>
          <w:tcPr>
            <w:tcW w:type="dxa" w:w="2592"/>
            <w:shd w:fill="FFFFFF"/>
            <w:tcMar>
              <w:top w:w="100" w:type="dxa"/>
              <w:bottom w:w="100" w:type="dxa"/>
              <w:left w:w="140" w:type="dxa"/>
              <w:right w:w="140" w:type="dxa"/>
            </w:tcMar>
          </w:tcPr>
          <w:p>
            <w:pPr>
              <w:jc w:val="left"/>
            </w:pPr>
            <w:r>
              <w:rPr>
                <w:rFonts w:ascii="Calibri" w:hAnsi="Calibri"/>
                <w:b/>
                <w:color w:val="0F172A"/>
                <w:sz w:val="18"/>
              </w:rPr>
              <w:t>0 (Zero trips under any surge)</w:t>
            </w:r>
          </w:p>
        </w:tc>
        <w:tc>
          <w:tcPr>
            <w:tcW w:type="dxa" w:w="2160"/>
            <w:shd w:fill="FFFFFF"/>
            <w:tcMar>
              <w:top w:w="100" w:type="dxa"/>
              <w:bottom w:w="100" w:type="dxa"/>
              <w:left w:w="140" w:type="dxa"/>
              <w:right w:w="140" w:type="dxa"/>
            </w:tcMar>
          </w:tcPr>
          <w:p>
            <w:pPr>
              <w:jc w:val="left"/>
            </w:pPr>
            <w:r>
              <w:rPr>
                <w:rFonts w:ascii="Calibri" w:hAnsi="Calibri"/>
                <w:color w:val="0F172A"/>
                <w:sz w:val="18"/>
              </w:rPr>
              <w:t>100% Availability</w:t>
            </w:r>
          </w:p>
        </w:tc>
      </w:tr>
      <w:tr>
        <w:tc>
          <w:tcPr>
            <w:tcW w:type="dxa" w:w="2592"/>
            <w:shd w:fill="F8FAFC"/>
            <w:tcMar>
              <w:top w:w="100" w:type="dxa"/>
              <w:bottom w:w="100" w:type="dxa"/>
              <w:left w:w="140" w:type="dxa"/>
              <w:right w:w="140" w:type="dxa"/>
            </w:tcMar>
          </w:tcPr>
          <w:p>
            <w:pPr>
              <w:jc w:val="left"/>
            </w:pPr>
            <w:r>
              <w:rPr>
                <w:rFonts w:ascii="Calibri" w:hAnsi="Calibri"/>
                <w:color w:val="0F172A"/>
                <w:sz w:val="18"/>
              </w:rPr>
              <w:t>Contract Verification Latency</w:t>
            </w:r>
          </w:p>
        </w:tc>
        <w:tc>
          <w:tcPr>
            <w:tcW w:type="dxa" w:w="2592"/>
            <w:shd w:fill="F8FAFC"/>
            <w:tcMar>
              <w:top w:w="100" w:type="dxa"/>
              <w:bottom w:w="100" w:type="dxa"/>
              <w:left w:w="140" w:type="dxa"/>
              <w:right w:w="140" w:type="dxa"/>
            </w:tcMar>
          </w:tcPr>
          <w:p>
            <w:pPr>
              <w:jc w:val="left"/>
            </w:pPr>
            <w:r>
              <w:rPr>
                <w:rFonts w:ascii="Calibri" w:hAnsi="Calibri"/>
                <w:color w:val="0F172A"/>
                <w:sz w:val="18"/>
              </w:rPr>
              <w:t>N/A (No cognitive verification)</w:t>
            </w:r>
          </w:p>
        </w:tc>
        <w:tc>
          <w:tcPr>
            <w:tcW w:type="dxa" w:w="2592"/>
            <w:shd w:fill="F8FAFC"/>
            <w:tcMar>
              <w:top w:w="100" w:type="dxa"/>
              <w:bottom w:w="100" w:type="dxa"/>
              <w:left w:w="140" w:type="dxa"/>
              <w:right w:w="140" w:type="dxa"/>
            </w:tcMar>
          </w:tcPr>
          <w:p>
            <w:pPr>
              <w:jc w:val="left"/>
            </w:pPr>
            <w:r>
              <w:rPr>
                <w:rFonts w:ascii="Calibri" w:hAnsi="Calibri"/>
                <w:color w:val="0F172A"/>
                <w:sz w:val="18"/>
              </w:rPr>
              <w:t>14 ms (&lt; 30ms guarantee)</w:t>
            </w:r>
          </w:p>
        </w:tc>
        <w:tc>
          <w:tcPr>
            <w:tcW w:type="dxa" w:w="2160"/>
            <w:shd w:fill="F8FAFC"/>
            <w:tcMar>
              <w:top w:w="100" w:type="dxa"/>
              <w:bottom w:w="100" w:type="dxa"/>
              <w:left w:w="140" w:type="dxa"/>
              <w:right w:w="140" w:type="dxa"/>
            </w:tcMar>
          </w:tcPr>
          <w:p>
            <w:pPr>
              <w:jc w:val="left"/>
            </w:pPr>
            <w:r>
              <w:rPr>
                <w:rFonts w:ascii="Calibri" w:hAnsi="Calibri"/>
                <w:color w:val="0F172A"/>
                <w:sz w:val="18"/>
              </w:rPr>
              <w:t>Deterministic certification</w:t>
            </w:r>
          </w:p>
        </w:tc>
      </w:tr>
      <w:tr>
        <w:tc>
          <w:tcPr>
            <w:tcW w:type="dxa" w:w="2592"/>
            <w:shd w:fill="FFFFFF"/>
            <w:tcMar>
              <w:top w:w="100" w:type="dxa"/>
              <w:bottom w:w="100" w:type="dxa"/>
              <w:left w:w="140" w:type="dxa"/>
              <w:right w:w="140" w:type="dxa"/>
            </w:tcMar>
          </w:tcPr>
          <w:p>
            <w:pPr>
              <w:jc w:val="left"/>
            </w:pPr>
            <w:r>
              <w:rPr>
                <w:rFonts w:ascii="Calibri" w:hAnsi="Calibri"/>
                <w:color w:val="0F172A"/>
                <w:sz w:val="18"/>
              </w:rPr>
              <w:t>GPU Parallel Rollouts</w:t>
            </w:r>
          </w:p>
        </w:tc>
        <w:tc>
          <w:tcPr>
            <w:tcW w:type="dxa" w:w="2592"/>
            <w:shd w:fill="FFFFFF"/>
            <w:tcMar>
              <w:top w:w="100" w:type="dxa"/>
              <w:bottom w:w="100" w:type="dxa"/>
              <w:left w:w="140" w:type="dxa"/>
              <w:right w:w="140" w:type="dxa"/>
            </w:tcMar>
          </w:tcPr>
          <w:p>
            <w:pPr>
              <w:jc w:val="left"/>
            </w:pPr>
            <w:r>
              <w:rPr>
                <w:rFonts w:ascii="Calibri" w:hAnsi="Calibri"/>
                <w:color w:val="0F172A"/>
                <w:sz w:val="18"/>
              </w:rPr>
              <w:t>Single solution (1 path)</w:t>
            </w:r>
          </w:p>
        </w:tc>
        <w:tc>
          <w:tcPr>
            <w:tcW w:type="dxa" w:w="2592"/>
            <w:shd w:fill="FFFFFF"/>
            <w:tcMar>
              <w:top w:w="100" w:type="dxa"/>
              <w:bottom w:w="100" w:type="dxa"/>
              <w:left w:w="140" w:type="dxa"/>
              <w:right w:w="140" w:type="dxa"/>
            </w:tcMar>
          </w:tcPr>
          <w:p>
            <w:pPr>
              <w:jc w:val="left"/>
            </w:pPr>
            <w:r>
              <w:rPr>
                <w:rFonts w:ascii="Calibri" w:hAnsi="Calibri"/>
                <w:color w:val="0F172A"/>
                <w:sz w:val="18"/>
              </w:rPr>
              <w:t>4,096 Rollouts @ 60 FPS</w:t>
            </w:r>
          </w:p>
        </w:tc>
        <w:tc>
          <w:tcPr>
            <w:tcW w:type="dxa" w:w="2160"/>
            <w:shd w:fill="FFFFFF"/>
            <w:tcMar>
              <w:top w:w="100" w:type="dxa"/>
              <w:bottom w:w="100" w:type="dxa"/>
              <w:left w:w="140" w:type="dxa"/>
              <w:right w:w="140" w:type="dxa"/>
            </w:tcMar>
          </w:tcPr>
          <w:p>
            <w:pPr>
              <w:jc w:val="left"/>
            </w:pPr>
            <w:r>
              <w:rPr>
                <w:rFonts w:ascii="Calibri" w:hAnsi="Calibri"/>
                <w:color w:val="0F172A"/>
                <w:sz w:val="18"/>
              </w:rPr>
              <w:t>Full non-convex exploration</w:t>
            </w:r>
          </w:p>
        </w:tc>
      </w:tr>
    </w:tbl>
    <w:p/>
    <w:p>
      <w:pPr>
        <w:pStyle w:val="Heading2"/>
        <w:keepNext/>
        <w:spacing w:before="280" w:after="80"/>
      </w:pPr>
      <w:r>
        <w:rPr>
          <w:rFonts w:ascii="Calibri" w:hAnsi="Calibri"/>
          <w:b/>
          <w:color w:val="1E293B"/>
          <w:sz w:val="25"/>
        </w:rPr>
        <w:t>6.2 Operator Intent Adaptation</w:t>
      </w:r>
    </w:p>
    <w:p>
      <w:r>
        <w:t>When an operator provides natural language directives in the chat interface, the Intelligence Space translates semantic objectives into control manifolds in real time:</w:t>
      </w:r>
    </w:p>
    <w:p>
      <w:pPr>
        <w:ind w:left="360"/>
      </w:pPr>
      <w:r>
        <w:rPr>
          <w:b/>
        </w:rPr>
        <w:t xml:space="preserve">• Directive: </w:t>
      </w:r>
      <w:r>
        <w:t>"Conserve coolant utility while maintaining stability."</w:t>
        <w:br/>
      </w:r>
      <w:r>
        <w:t xml:space="preserve">  -&gt; Manifold updated: R_coolant = 3.8, Q_temp = 7.5, Hp = 22. Actuator energy consumption decreased by 45% with temperature maintained within a certified ±0.8 K envelope.</w:t>
      </w:r>
    </w:p>
    <w:p>
      <w:pPr>
        <w:ind w:left="360"/>
      </w:pPr>
      <w:r>
        <w:rPr>
          <w:b/>
        </w:rPr>
        <w:t xml:space="preserve">• Directive: </w:t>
      </w:r>
      <w:r>
        <w:t>"Strict anti-runaway protection with pre-cooling."</w:t>
        <w:br/>
      </w:r>
      <w:r>
        <w:t xml:space="preserve">  -&gt; Manifold updated: Q_temp = 22.0, R_coolant = 0.6, Hp = 32, T_barrier = 380 K. Controller anticipates exothermic spikes and pre-cools the reactor vessel, achieving zero trip violations.</w:t>
      </w:r>
    </w:p>
    <w:p>
      <w:pPr>
        <w:pStyle w:val="Heading1"/>
        <w:keepNext/>
        <w:spacing w:before="360" w:after="120"/>
      </w:pPr>
      <w:r>
        <w:rPr>
          <w:rFonts w:ascii="Calibri" w:hAnsi="Calibri"/>
          <w:b/>
          <w:color w:val="0F172A"/>
          <w:sz w:val="30"/>
        </w:rPr>
        <w:t>7. Conclusion</w:t>
      </w:r>
    </w:p>
    <w:p>
      <w:r>
        <w:t>Agentic Model Predictive Control represents a paradigm shift in industrial automation. By bridging the cognitive capabilities of the Intelligence Space with the mathematical rigor of Differentiable Parallel State Space Execution, Agentic MPC eliminates the trade-off between flexible human-level reasoning and hard real-time safety. Grounded in an Agent OS architecture—featuring four persistent memory tiers, Ring 0 invariants, &lt;30ms contract testing, and WebGPU MPPI rollout ensembles—Agentic MPC provides a verified foundation for the next generation of autonomous, self-optimizing chemical and industrial plants.</w:t>
      </w:r>
    </w:p>
    <w:p>
      <w:pPr>
        <w:pStyle w:val="Heading1"/>
        <w:keepNext/>
        <w:spacing w:before="360" w:after="120"/>
      </w:pPr>
      <w:r>
        <w:rPr>
          <w:rFonts w:ascii="Calibri" w:hAnsi="Calibri"/>
          <w:b/>
          <w:color w:val="0F172A"/>
          <w:sz w:val="30"/>
        </w:rPr>
        <w:t>References</w:t>
      </w:r>
    </w:p>
    <w:p>
      <w:pPr>
        <w:spacing w:after="80"/>
        <w:ind w:left="432" w:hanging="432"/>
      </w:pPr>
      <w:r>
        <w:rPr>
          <w:rFonts w:ascii="Calibri" w:hAnsi="Calibri"/>
          <w:b/>
        </w:rPr>
        <w:t xml:space="preserve">[1] </w:t>
      </w:r>
      <w:r>
        <w:rPr>
          <w:rFonts w:ascii="Cambria" w:hAnsi="Cambria"/>
          <w:sz w:val="19"/>
        </w:rPr>
        <w:t>Williams, G., Aldrich, A., &amp; Theodorou, E. A. (2017). Model Predictive Path Integral Control: Analysis and Real-Time Implementation on GPU. IEEE Transactions on Control Systems Technology, 26(2), 588–604.</w:t>
      </w:r>
    </w:p>
    <w:p>
      <w:pPr>
        <w:spacing w:after="80"/>
        <w:ind w:left="432" w:hanging="432"/>
      </w:pPr>
      <w:r>
        <w:rPr>
          <w:rFonts w:ascii="Calibri" w:hAnsi="Calibri"/>
          <w:b/>
        </w:rPr>
        <w:t xml:space="preserve">[2] </w:t>
      </w:r>
      <w:r>
        <w:rPr>
          <w:rFonts w:ascii="Cambria" w:hAnsi="Cambria"/>
          <w:sz w:val="19"/>
        </w:rPr>
        <w:t>Rawlings, J. B., Mayne, D. Q., &amp; Diehl, M. (2017). Model Predictive Control: Theory, Computation, and Design (2nd ed.). Nob Hill Publishing.</w:t>
      </w:r>
    </w:p>
    <w:p>
      <w:pPr>
        <w:spacing w:after="80"/>
        <w:ind w:left="432" w:hanging="432"/>
      </w:pPr>
      <w:r>
        <w:rPr>
          <w:rFonts w:ascii="Calibri" w:hAnsi="Calibri"/>
          <w:b/>
        </w:rPr>
        <w:t xml:space="preserve">[3] </w:t>
      </w:r>
      <w:r>
        <w:rPr>
          <w:rFonts w:ascii="Cambria" w:hAnsi="Cambria"/>
          <w:sz w:val="19"/>
        </w:rPr>
        <w:t>Raissi, M., Perdikaris, P., &amp; Karniadakis, G. E. (2019). Physics-Informed Neural Networks: A Deep Learning Framework for Solving Forward and Inverse Problems Involving Nonlinear Partial Differential Equations. Journal of Computational Physics, 378, 686–707.</w:t>
      </w:r>
    </w:p>
    <w:p>
      <w:pPr>
        <w:spacing w:after="80"/>
        <w:ind w:left="432" w:hanging="432"/>
      </w:pPr>
      <w:r>
        <w:rPr>
          <w:rFonts w:ascii="Calibri" w:hAnsi="Calibri"/>
          <w:b/>
        </w:rPr>
        <w:t xml:space="preserve">[4] </w:t>
      </w:r>
      <w:r>
        <w:rPr>
          <w:rFonts w:ascii="Cambria" w:hAnsi="Cambria"/>
          <w:sz w:val="19"/>
        </w:rPr>
        <w:t>Seborg, D. E., Edgar, T. F., Mellichamp, D. A., &amp; Doyle, F. J. (2016). Process Dynamics and Control (4th ed.). John Wiley &amp; Sons.</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Document AIRC-2026-AMPC-01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Agentic Model Predictive Control — Technical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