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0F172A"/>
          <w:sz w:val="36"/>
        </w:rPr>
        <w:t>Agentic Model Predictive Control: Operating in Intelligence Space via Cognitive Supervisory Layers and Parallel Path Integral Rollouts</w:t>
      </w:r>
    </w:p>
    <w:p>
      <w:pPr>
        <w:spacing w:after="240"/>
      </w:pPr>
      <w:r>
        <w:rPr>
          <w:rFonts w:ascii="Calibri" w:hAnsi="Calibri"/>
          <w:b/>
          <w:color w:val="475569"/>
          <w:sz w:val="19"/>
        </w:rPr>
        <w:t xml:space="preserve">Author: </w:t>
      </w:r>
      <w:r>
        <w:rPr>
          <w:rFonts w:ascii="Calibri" w:hAnsi="Calibri"/>
          <w:b w:val="0"/>
          <w:color w:val="475569"/>
          <w:sz w:val="19"/>
        </w:rPr>
        <w:t xml:space="preserve">Zhaoyang Wan, PhD, MBA    |    </w:t>
      </w:r>
      <w:r>
        <w:rPr>
          <w:rFonts w:ascii="Calibri" w:hAnsi="Calibri"/>
          <w:b/>
          <w:color w:val="475569"/>
          <w:sz w:val="19"/>
        </w:rPr>
        <w:t xml:space="preserve">Date: </w:t>
      </w:r>
      <w:r>
        <w:rPr>
          <w:rFonts w:ascii="Calibri" w:hAnsi="Calibri"/>
          <w:b w:val="0"/>
          <w:color w:val="475569"/>
          <w:sz w:val="19"/>
        </w:rPr>
        <w:t xml:space="preserve">October 2026    |    </w:t>
      </w:r>
      <w:r>
        <w:rPr>
          <w:rFonts w:ascii="Calibri" w:hAnsi="Calibri"/>
          <w:b/>
          <w:color w:val="475569"/>
          <w:sz w:val="19"/>
        </w:rPr>
        <w:t xml:space="preserve">Repository: </w:t>
      </w:r>
      <w:r>
        <w:rPr>
          <w:rFonts w:ascii="Calibri" w:hAnsi="Calibri"/>
          <w:b w:val="0"/>
          <w:color w:val="475569"/>
          <w:sz w:val="19"/>
        </w:rPr>
        <w:t>cosmosanalytics/uat-copilot-local</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left w:val="single" w:sz="36" w:space="0" w:color="059669"/>
              <w:top w:val="none"/>
              <w:right w:val="none"/>
              <w:bottom w:val="none"/>
            </w:tcBorders>
          </w:tcPr>
          <w:p>
            <w:pPr>
              <w:spacing w:after="80"/>
            </w:pPr>
            <w:r>
              <w:rPr>
                <w:rFonts w:ascii="Calibri" w:hAnsi="Calibri"/>
                <w:b/>
                <w:color w:val="0F172A"/>
                <w:sz w:val="21"/>
              </w:rPr>
              <w:t>■ ABSTRACT</w:t>
              <w:br/>
            </w:r>
            <w:r>
              <w:rPr>
                <w:rFonts w:ascii="Cambria" w:hAnsi="Cambria"/>
                <w:color w:val="334155"/>
                <w:sz w:val="19"/>
              </w:rPr>
              <w:t>Model Predictive Control (MPC) has served as the industrial benchmark for constrained multivariable control across process operations for four decades. Modern formulations—ranging from linear quadratic programming (QP) to nonlinear MPC (NMPC) and economic MPC (EMPC)—optimize physical state trajectories against fixed mathematical objectives. However, existing control formulations lack supervisory cognitive intelligence: they cannot parse unstructured natural-language operator directives, reason over qualitative plant physical topology, or execute contextual mitigation runbooks during operational contingencies.</w:t>
              <w:br/>
              <w:br/>
              <w:t>In this paper, we introduce Agentic Model Predictive Control (Agentic MPC), an architecture that places an Intelligence Space supervisory layer above high-throughput real-time control solvers. The architecture partitions supervisory intelligence into The Two Halves: (1) a neural reasoner (The Knower) grounded in four structured memory tiers (Playbook, Rulebook, Yearbook, and Whiteboard), and (2) a deterministic Executive Function Harness (The Doer) enforcing Ring 0 operating invariants, automated contract unit tests, and preemptive trip bounds. High-level cognitive directives are translated at runtime into parameterized Model Predictive Path Integral (MPPI) cost manifolds executed across parallel trajectory rollouts via GPU/WebGPU compute shaders, supported by an online lagged parameter filter.</w:t>
              <w:br/>
              <w:br/>
              <w:t>We evaluate the physical dynamics on an exothermic Continuous Stirred-Tank Reactor (CSTR) undergoing non-linear kinetic surges across a fully reproducible numerical simulation case study spanning 20 randomized scenarios (C_A0 in [+10%, +30%], T_0 in [+5 K, +12 K], UA in [-10%, -35%]) and advance-warning advisory lead time (t_lead = 3.5 s). In all preview evaluations, controllers receive an exact disturbance forecast (both onset timing and magnitude); reported preview results thus represent a perfect-forecast upper bound, while forecast timing jitter and magnitude errors remain untested. Numerical simulation demonstrates an empirical feedback floor of 6/20 trips across feedback controllers on this scenario set: when tuned equally (q_T = 10.0), Linear MPC trips in 6/20 scenarios (2.26 ± 1.14 K non-trip RMSE, 9.49 ± 5.39 K overall RMSE), matching NMPC (6/20 trips, 2.48 ± 1.52 K non-trip, 9.62 ± 5.37 K overall) and MPPI with a lagged-UA filter (6/20 trips, 2.61 ± 1.34 K non-trip, 9.82 ± 5.39 K overall), all tripping on the identical six scenarios (Scenarios 4, 5, 8, 16, 18, 20). When weakly penalized (q_T = 1.0), Linear MPC trips in 12/20 scenarios (16.26 ± 5.52 K overall RMSE). Notably, all reactive trips and the single preview trip occur 4–31 s after the surge ends during post-surge recovery, rather than at surge onset.</w:t>
              <w:br/>
              <w:br/>
              <w:t>When advance preview lookahead (t_lead = 3.5 s) is supplied, trips drop to 1/20 across all preview controllers, with failure occurring exclusively on Scenario 18 (an extreme corner realization requiring 6.0 s of advance lead in open loop, the sole scenario requiring &gt; 5.0 s). Crucially, our ablation isolates that the supervisory schedule's quantitative advantage (0.94 ± 0.41 K non-trip RMSE vs. 1.75 ± 1.00 K for standard preview MPPI, representing a 0.81 K gain across 19 shared survivors, paired t-test p = 0.013, but p = 0.063 after Holm-Bonferroni correction, rendering this gain suggestive rather than confirmed) stems from coordinating an anticipatory pre-cooling ramp that is consistent with avoiding reaction quenching: naive rule-based step switching quenches the reactor (T_min = 339–344 K), accumulates unreacted feed (C_A = 0.555–0.576 mol/L at surge conclusion, climbing post-surge to 0.579–0.597 mol/L), and triggers delayed thermal blowout (8/20 trips, 1.45 ± 0.68 K non-trip RMSE). We present the LLM supervisory layer as the proposed architecture for qualitative interaction and formulate the physical control and safety contract harness, establishing a simulation case study for anticipatory process control.</w:t>
            </w:r>
          </w:p>
        </w:tc>
      </w:tr>
    </w:tbl>
    <w:p/>
    <w:p>
      <w:pPr>
        <w:pStyle w:val="Heading1"/>
        <w:keepNext/>
        <w:spacing w:before="320" w:after="120"/>
      </w:pPr>
      <w:r>
        <w:rPr>
          <w:rFonts w:ascii="Calibri" w:hAnsi="Calibri"/>
          <w:b/>
          <w:color w:val="0F172A"/>
          <w:sz w:val="28"/>
        </w:rPr>
        <w:t>1. Introduction &amp; Related Work</w:t>
      </w:r>
    </w:p>
    <w:p>
      <w:r>
        <w:t>Model Predictive Control operates on the receding-horizon principle: at each discrete time step t, the controller solves an open-loop optimal control problem over a prediction horizon Hp, applies the first control input u_t, and repeats the cycle upon receiving fresh state telemetry (Rawlings et al., 2017).</w:t>
      </w:r>
    </w:p>
    <w:p>
      <w:pPr>
        <w:pStyle w:val="Heading2"/>
        <w:keepNext/>
        <w:spacing w:before="240" w:after="80"/>
      </w:pPr>
      <w:r>
        <w:rPr>
          <w:rFonts w:ascii="Calibri" w:hAnsi="Calibri"/>
          <w:b/>
          <w:color w:val="1E293B"/>
          <w:sz w:val="24"/>
        </w:rPr>
        <w:t>1.1 Related Work: Advanced &amp; Learning-Based MPC</w:t>
      </w:r>
    </w:p>
    <w:p>
      <w:pPr>
        <w:ind w:left="360"/>
      </w:pPr>
      <w:r>
        <w:rPr>
          <w:b/>
        </w:rPr>
        <w:t xml:space="preserve">• Robust and Constrained MPC: </w:t>
      </w:r>
      <w:r>
        <w:t>Linear Matrix Inequality (LMI) and tube-based robust MPC formulations synthesize invariant sets to maintain constraint satisfaction under bounded disturbances (Kothare et al., 1996; Mayne et al., 2005).</w:t>
      </w:r>
    </w:p>
    <w:p>
      <w:pPr>
        <w:ind w:left="360"/>
      </w:pPr>
      <w:r>
        <w:rPr>
          <w:b/>
        </w:rPr>
        <w:t xml:space="preserve">• Learning-Based and Differentiable MPC: </w:t>
      </w:r>
      <w:r>
        <w:t>Recent advances integrate Gaussian Processes and neural networks into MPC for online residual compensation (Hewing et al., 2020), while differentiable MPC embeds convex optimization layers into end-to-end gradient-based neural networks (Amos et al., 2018). Physics-informed parameter tracking formulations have motivated domain-constrained residual filters that track conservation laws during online estimation; in this study, parameter compensation is evaluated via a direct lagged parameter tracking filter.</w:t>
      </w:r>
    </w:p>
    <w:p>
      <w:pPr>
        <w:ind w:left="360"/>
      </w:pPr>
      <w:r>
        <w:rPr>
          <w:b/>
        </w:rPr>
        <w:t xml:space="preserve">• Sampling-Based Non-Convex Control: </w:t>
      </w:r>
      <w:r>
        <w:t>Model Predictive Path Integral (MPPI) control computes optimal control signals via Monte Carlo importance sampling over stochastic forward rollouts (Williams et al., 2017). Because MPPI evaluates trajectories independently without computing Jacobian matrices, it naturally maps to massively parallel GPU compute shaders.</w:t>
      </w:r>
    </w:p>
    <w:p>
      <w:pPr>
        <w:pStyle w:val="Heading2"/>
        <w:keepNext/>
        <w:spacing w:before="240" w:after="80"/>
      </w:pPr>
      <w:r>
        <w:rPr>
          <w:rFonts w:ascii="Calibri" w:hAnsi="Calibri"/>
          <w:b/>
          <w:color w:val="1E293B"/>
          <w:sz w:val="24"/>
        </w:rPr>
        <w:t>1.2 The Role of the Supervisory Layer: Lookahead vs. Reasoning</w:t>
      </w:r>
    </w:p>
    <w:p>
      <w:r>
        <w:t>A critical insight in receding-horizon control is that numerical solvers optimize over a fixed finite horizon Hp (e.g., 4.0 s). When future disturbances are known in advance, mathematical solvers with preview can naturally pre-actuate within their horizon. In our benchmark simulations, preview controllers receive the exact disturbance profile (timing and magnitude), representing an idealized perfect-forecast upper bound. However, in actual plant operations, forecasts arrive as human shift handover notes, laboratory feed analysis reports, or upstream DCS alarms. Agentic MPC introduces an Intelligence Space supervisory tier positioned strictly above a deterministic execution harness and parallel MPPI rollouts.</w:t>
      </w:r>
    </w:p>
    <w:p>
      <w:pPr>
        <w:pStyle w:val="Heading1"/>
        <w:keepNext/>
        <w:spacing w:before="320" w:after="120"/>
      </w:pPr>
      <w:r>
        <w:rPr>
          <w:rFonts w:ascii="Calibri" w:hAnsi="Calibri"/>
          <w:b/>
          <w:color w:val="0F172A"/>
          <w:sz w:val="28"/>
        </w:rPr>
        <w:t>2. The Agentic MPC Architecture</w:t>
      </w:r>
    </w:p>
    <w:p>
      <w:pPr>
        <w:pStyle w:val="Heading2"/>
        <w:keepNext/>
        <w:spacing w:before="240" w:after="80"/>
      </w:pPr>
      <w:r>
        <w:rPr>
          <w:rFonts w:ascii="Calibri" w:hAnsi="Calibri"/>
          <w:b/>
          <w:color w:val="1E293B"/>
          <w:sz w:val="24"/>
        </w:rPr>
        <w:t>2.1 The Two Halves: The Knower and The Doer</w:t>
      </w:r>
    </w:p>
    <w:p>
      <w:r>
        <w:rPr>
          <w:b/>
        </w:rPr>
        <w:t xml:space="preserve">• The Knower (Neural Reasoner): </w:t>
      </w:r>
      <w:r>
        <w:t>Operates in Intelligence Space, translating operator directives into candidate cost manifold parameters θ_M = {q_T, q_barrier, u_target, λ}. Inference runs on dedicated cloud LPUs or server GPUs (e.g., Qwen-2.5-32B), with lightweight client-side WebGPU shaders (e.g., Qwen-2.5-0.5B via @mlc-ai/web-llm) available for offline edge operation.</w:t>
      </w:r>
    </w:p>
    <w:p>
      <w:r>
        <w:rPr>
          <w:b/>
        </w:rPr>
        <w:t xml:space="preserve">• The Doer (Executive Function Harness): </w:t>
      </w:r>
      <w:r>
        <w:t>A deterministic verification kernel enforcing Ring 0 invariants (actuator saturation and slew rate limits), running automated contract unit tests, and operating preemptively below plant emergency shutdown thresholds.</w:t>
      </w:r>
    </w:p>
    <w:p>
      <w:pPr>
        <w:pStyle w:val="Heading2"/>
        <w:keepNext/>
        <w:spacing w:before="240" w:after="80"/>
      </w:pPr>
      <w:r>
        <w:rPr>
          <w:rFonts w:ascii="Calibri" w:hAnsi="Calibri"/>
          <w:b/>
          <w:color w:val="1E293B"/>
          <w:sz w:val="24"/>
        </w:rPr>
        <w:t>2.2 Structured Memory Subsystems &amp; Note on Benchmark Scope</w:t>
      </w:r>
    </w:p>
    <w:p>
      <w:r>
        <w:t>Agentic MPC structures domain memory into four subsystems: Playbook (runbooks), Rulebook (safety bounds), Yearbook (plant topology), and Whiteboard (IPC mutexes). (Note: While these structured memory tiers define the conceptual supervisory architecture of Agentic MPC, they are not directly exercised in the numerical CSTR benchmark experiments reported below, which evaluate the deterministic control and anticipatory scheduling layer.)</w:t>
      </w:r>
    </w:p>
    <w:p>
      <w:pPr>
        <w:pStyle w:val="Heading1"/>
        <w:keepNext/>
        <w:spacing w:before="320" w:after="120"/>
      </w:pPr>
      <w:r>
        <w:rPr>
          <w:rFonts w:ascii="Calibri" w:hAnsi="Calibri"/>
          <w:b/>
          <w:color w:val="0F172A"/>
          <w:sz w:val="28"/>
        </w:rPr>
        <w:t>3. Mathematical Formulation</w:t>
      </w:r>
    </w:p>
    <w:p>
      <w:pPr>
        <w:pStyle w:val="Heading2"/>
        <w:keepNext/>
        <w:spacing w:before="240" w:after="80"/>
      </w:pPr>
      <w:r>
        <w:rPr>
          <w:rFonts w:ascii="Calibri" w:hAnsi="Calibri"/>
          <w:b/>
          <w:color w:val="1E293B"/>
          <w:sz w:val="24"/>
        </w:rPr>
        <w:t>3.1 Classical Linear MPC Baseline (Jacobian QP)</w:t>
      </w:r>
    </w:p>
    <w:p>
      <w:r>
        <w:t>The linear discrete-time optimal control problem is solved as a condensed Quadratic Program (QP) around the textbook steady state (C_A,ref = 0.50 mol/L, T_ref = 350.0 K, T_c,base = 300.0 K). The Jacobian matrix A has eigenvalues [-0.0076, +0.0472] s^-1, exhibiting an open-loop thermal runaway pole (tau_growth ~ 21.2 s). State penalty is Q = diag(10.0, q_T), R = 0.02, input bounds [280, 360] K, and slew limit 12 K/s. Linear MPC is evaluated at both q_T = 1.0 and q_T = 10.0.</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min_U  (1/2) U^T H_qp U + g^T U    subject to: u_min &lt;= u_k &lt;= u_max,  |Δu_k| &lt;= Δu_max</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(1)</w:t>
            </w:r>
          </w:p>
        </w:tc>
      </w:tr>
    </w:tbl>
    <w:p/>
    <w:p>
      <w:pPr>
        <w:pStyle w:val="Heading2"/>
        <w:keepNext/>
        <w:spacing w:before="240" w:after="80"/>
      </w:pPr>
      <w:r>
        <w:rPr>
          <w:rFonts w:ascii="Calibri" w:hAnsi="Calibri"/>
          <w:b/>
          <w:color w:val="1E293B"/>
          <w:sz w:val="24"/>
        </w:rPr>
        <w:t>3.2 Model Predictive Path Integral (MPPI) Formulation</w:t>
      </w:r>
    </w:p>
    <w:p>
      <w:r>
        <w:t>MPPI evaluates K = 1,024 stochastic control rollouts sampled from N(0, Σ) with covariance Σ = 6.0^2 I and temperature λ = 10.0. Discretized at rollout step Δt_ctrl = 0.2 s, trajectory evaluation uses state tracking and barrier penalties: S(U^{(m)}) = ∑ (q_T (T_k - T_ref)^2 + q_barrier max(0, T_k - T_barrier)^2). (Note: the standard theoretical control-cost regularization term (λ/2) ∑ ε_k^T Σ^-1 ε_k is omitted in our implementation, evaluating state tracking and barrier penalties directly over candidate rollouts). The optimal control update is computed via softmax importance weighting:</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u_t* = u_t + ∑_{m=1}^K w(U^{(m)}) ε_t^{(m)},    w(U^{(m)}) = exp(-S(U^{(m)})/λ) / ∑_j exp(-S(U^{(j)})/λ)</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(2)</w:t>
            </w:r>
          </w:p>
        </w:tc>
      </w:tr>
    </w:tbl>
    <w:p/>
    <w:p>
      <w:pPr>
        <w:pStyle w:val="Heading2"/>
        <w:keepNext/>
        <w:spacing w:before="240" w:after="80"/>
      </w:pPr>
      <w:r>
        <w:rPr>
          <w:rFonts w:ascii="Calibri" w:hAnsi="Calibri"/>
          <w:b/>
          <w:color w:val="1E293B"/>
          <w:sz w:val="24"/>
        </w:rPr>
        <w:t>3.3 Lagged-UA Tracking Filter</w:t>
      </w:r>
    </w:p>
    <w:p>
      <w:r>
        <w:t>To evaluate parameter identification during fouling, a first-order lagged filter tracks the true parameter UA(t) after surge onset: UA_est += 0.02 * (UA_true - UA_est) per 0.02 s step (tau = 1.0 s). Uses the true parameter directly. With forecast lookahead, the forecast vector supplies UA directly, so the filter primarily impacts the no-forecast MPPI baseline (12.13 K -&gt; 9.82 K overall RMSE).</w:t>
      </w:r>
    </w:p>
    <w:p>
      <w:pPr>
        <w:pStyle w:val="Heading1"/>
        <w:keepNext/>
        <w:spacing w:before="320" w:after="120"/>
      </w:pPr>
      <w:r>
        <w:rPr>
          <w:rFonts w:ascii="Calibri" w:hAnsi="Calibri"/>
          <w:b/>
          <w:color w:val="0F172A"/>
          <w:sz w:val="28"/>
        </w:rPr>
        <w:t>4. Benchmark Case Study: Exothermic CSTR</w:t>
      </w:r>
    </w:p>
    <w:p>
      <w:pPr>
        <w:pStyle w:val="Heading2"/>
        <w:keepNext/>
        <w:spacing w:before="240" w:after="80"/>
      </w:pPr>
      <w:r>
        <w:rPr>
          <w:rFonts w:ascii="Calibri" w:hAnsi="Calibri"/>
          <w:b/>
          <w:color w:val="1E293B"/>
          <w:sz w:val="24"/>
        </w:rPr>
        <w:t>4.1 Hold-280 K Lead-Time Sweep &amp; Controllability Limits</w:t>
      </w:r>
    </w:p>
    <w:p>
      <w:r>
        <w:t>An empirical hold-280 K lead-time sweep over the benchmark kinetic surge evaluates required early advisory warning when stepping jacket coolant flatly to u = 280 K. When coolant is released open-loop back to 300 K at surge conclusion (t = 25 s), reactant accumulated during deep pre-cooling causes delayed re-ignition at t = 57–83 s unless &gt;= 5.0 s lead is provided:</w:t>
      </w:r>
    </w:p>
    <w:tbl>
      <w:tblPr>
        <w:tblW w:type="auto" w:w="0"/>
        <w:jc w:val="center"/>
        <w:tblLook w:firstColumn="1" w:firstRow="1" w:lastColumn="0" w:lastRow="0" w:noHBand="0" w:noVBand="1" w:val="04A0"/>
      </w:tblPr>
      <w:tblGrid>
        <w:gridCol w:w="2016"/>
        <w:gridCol w:w="1584"/>
        <w:gridCol w:w="1584"/>
        <w:gridCol w:w="1584"/>
        <w:gridCol w:w="3312"/>
      </w:tblGrid>
      <w:tr>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Lead Time</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 (60s)</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 (200s)</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Trip Status</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Measured Peak Time (Delay)</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0.0 s (At Onset)</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446.8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446.8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37.4 s (12.4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1.0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445.3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445.3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40.4 s (15.4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2.0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443.7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443.7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45.2 s (20.2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2.5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443.0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443.0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47.6 s (22.6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3.0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441.9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441.9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52.8 s (27.8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3.25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441.5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441.5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55.0 s (30.0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3.5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441.1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441.1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57.4 s (32.4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4.0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367.8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439.6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(200s)</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68.4 s (43.4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4.5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351.4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438.4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(200s)</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82.8 s (57.8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5.0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350.0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350.0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Clamped at nominal setpoint</w:t>
            </w:r>
          </w:p>
        </w:tc>
      </w:tr>
    </w:tbl>
    <w:p>
      <w:r>
        <w:t>Mechanisms &amp; Per-Scenario Requirements: In open-loop release back to 300 K without feedback regulation, unreacted feed that accumulated during deep 280 K cooling re-ignites after surge termination, pushing peak temperatures above 438 K at t = 68–83 s. Only &gt;= 5.0 s lead achieves complete thermal exhaustion in open loop for the nominal disturbance. Per-scenario open-loop requirements (200 s horizon): Scenario 18 requires 6.0 s of lead (the sole scenario requiring &gt; 5.0 s); Scenarios 8 and 20 require 4.5 s; Scenarios 4 and 5 require 4.0 s; Scenarios 7, 15, and 9 require 2.5 s, 2.5 s, and 1.5 s; and Scenarios 11 and 13 require 0.0 s. Notably, the naive rule supervisor (stepping cooling to 280 K throughout alert and surge, followed by MPPI feedback) survives Scenario 18 (T_min = 348.8 K, T_max &lt; 385 K), whereas the Full anticipatory system and standard preview MPPI trip on Scenario 18 at 3.5 s lead.</w:t>
      </w:r>
    </w:p>
    <w:p>
      <w:pPr>
        <w:pStyle w:val="Heading1"/>
        <w:keepNext/>
        <w:spacing w:before="320" w:after="120"/>
      </w:pPr>
      <w:r>
        <w:rPr>
          <w:rFonts w:ascii="Calibri" w:hAnsi="Calibri"/>
          <w:b/>
          <w:color w:val="0F172A"/>
          <w:sz w:val="28"/>
        </w:rPr>
        <w:t>5. Verification &amp; Safety Architecture</w:t>
      </w:r>
    </w:p>
    <w:p>
      <w:r>
        <w:t>Agentic MPC enforces defense-in-depth: Ring 0 invariant checking (q_T &gt;= 0.1, q_barrier &gt;= 1000, u in [280, 360] K, slew &lt;= 12 K/s), automated contract unit tests on the active fouled plant model (&lt;30 ms), a software preemptive breaker at 382 K, and an independent hardware SIS scram at 385 K (failsafe cooling valve full open, feed shut off). (Note: The 382 K preemptive software breaker, automated contract unit test suite (&lt; 30 ms), and Ring 0 invariant gating represent the proposed supervisory safety architecture; these software supervisor safeguards are not exercised in the numerical benchmark runs in Section 6, where safety trips are triggered exclusively by the plant SIS limit at 385 K.) Overall RMSE includes the post-trip SCRAM transient and depends heavily on the emergency shutdown model. Non-trip RMSE and trip counts serve as the primary metrics.</w:t>
      </w:r>
    </w:p>
    <w:p>
      <w:pPr>
        <w:pStyle w:val="Heading1"/>
        <w:keepNext/>
        <w:spacing w:before="320" w:after="120"/>
      </w:pPr>
      <w:r>
        <w:rPr>
          <w:rFonts w:ascii="Calibri" w:hAnsi="Calibri"/>
          <w:b/>
          <w:color w:val="0F172A"/>
          <w:sz w:val="28"/>
        </w:rPr>
        <w:t>6. Empirical Results &amp; Ablation Analysis</w:t>
      </w:r>
    </w:p>
    <w:p>
      <w:pPr>
        <w:pStyle w:val="Heading2"/>
        <w:keepNext/>
        <w:spacing w:before="240" w:after="80"/>
      </w:pPr>
      <w:r>
        <w:rPr>
          <w:rFonts w:ascii="Calibri" w:hAnsi="Calibri"/>
          <w:b/>
          <w:color w:val="1E293B"/>
          <w:sz w:val="24"/>
        </w:rPr>
        <w:t>6.1 Multi-Tier Benchmark Across 20 Randomized Scenarios</w:t>
      </w:r>
    </w:p>
    <w:p>
      <w:r>
        <w:t>Table 2 presents reproducible numerical simulation results across 20 randomized scenarios computed directly from discrete QP, L-BFGS-B NMPC, and NumPy MPPI path integral solvers:</w:t>
      </w:r>
    </w:p>
    <w:tbl>
      <w:tblPr>
        <w:tblW w:type="auto" w:w="0"/>
        <w:jc w:val="center"/>
        <w:tblLook w:firstColumn="1" w:firstRow="1" w:lastColumn="0" w:lastRow="0" w:noHBand="0" w:noVBand="1" w:val="04A0"/>
      </w:tblPr>
      <w:tblGrid>
        <w:gridCol w:w="1584"/>
        <w:gridCol w:w="2592"/>
        <w:gridCol w:w="1152"/>
        <w:gridCol w:w="1152"/>
        <w:gridCol w:w="1296"/>
        <w:gridCol w:w="1008"/>
        <w:gridCol w:w="1008"/>
        <w:gridCol w:w="1008"/>
      </w:tblGrid>
      <w:tr>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Config</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Controller Type</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Non-Trip</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Overall</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Slew</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SIS Trips</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Settled</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1a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Linear MPC (q_T = 1.0,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2.56 ± 1.54</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16.26 ± 5.52</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389.3 ± 14.2</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3.29 ± 0.95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 20 (60%)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(9.8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1b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Linear MPC (q_T = 10.0, No Forecast)</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2.26 ± 1.14</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9.49 ± 5.39</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372.8 ± 13.8</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5.50 ± 1.35</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(8.5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2a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NMPC (L-BFGS-B,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2.48 ± 1.52</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9.62 ± 5.37</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372.9 ± 13.7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5.04 ± 1.29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(6.9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1</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(Static θ*, No Forecast)</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3.00 ± 1.80</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12.13 ± 5.57</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378.9 ± 14.6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2.52 ± 0.47</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(40%)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10 / 20 (6.1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2</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 Lagged-UA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2.61 ± 1.34</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9.82 ± 5.39</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373.4 ± 13.9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2.58 ± 0.35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(10.8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2b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NMPC (With Forecast Preview)</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1.47 ± 0.85</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2.82 ± 2.93</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356.7 ± 7.6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6.41 ± 1.03</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19 / 20 (2.6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3a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 Filter (With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1.75 ± 1.00</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3.11 ± 2.99</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357.3 ± 7.7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2.80 ± 0.24</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18 / 20 (5.7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3b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Rule Supervisor + MPPI</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1.45 ± 0.68</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9.72 ± 4.92</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382.6 ± 17.6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3.82 ± 0.33</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(40%)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 20 (12.4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Full System</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Anticipatory Schedule (Full)</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0.94 ± 0.41</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2.17 ± 2.57</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355.5 ± 6.2</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3.39 ± 0.27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19 / 20 (2.4 s)</w:t>
            </w:r>
          </w:p>
        </w:tc>
      </w:tr>
    </w:tbl>
    <w:p>
      <w:r>
        <w:t>Key Findings: Linear MPC (q_T=10), NMPC, and MPPI+filter establish an empirical feedback floor of 6/20 trips on identical scenarios (Scenarios 4, 5, 8, 16, 18, 20). All baseline trips and Scenario 18 occur 4–31 s post-surge during recovery. Scenario 18 requires 6.0 s of advance lead in open loop (the sole scenario requiring &gt; 5.0 s). Trajectory inspection on rule supervisor trip cases (Scenarios 2, 3, 9) shows reactor quenching to T_min = 339–344 K (vs. ~349 K for Full system), allowing reactant to accumulate to C_A = 0.555–0.576 mol/L at surge end and climbing to 0.579–0.597 mol/L before exploding into thermal blowout. Crucially, the rule supervisor survives Scenario 18 (T_min = 348.8 K) while preview MPPI and Full system trip at 3.5 s lead.</w:t>
      </w:r>
    </w:p>
    <w:p>
      <w:pPr>
        <w:pStyle w:val="Heading2"/>
        <w:keepNext/>
        <w:spacing w:before="240" w:after="80"/>
      </w:pPr>
      <w:r>
        <w:rPr>
          <w:rFonts w:ascii="Calibri" w:hAnsi="Calibri"/>
          <w:b/>
          <w:color w:val="1E293B"/>
          <w:sz w:val="24"/>
        </w:rPr>
        <w:t>6.2 Deconstructing the Supervisory Advantage</w:t>
      </w:r>
    </w:p>
    <w:p>
      <w:r>
        <w:t>Ablation across the 19 common surviving scenarios isolates the quantitative mechanism behind the supervisory schedule:</w:t>
      </w:r>
    </w:p>
    <w:tbl>
      <w:tblPr>
        <w:tblW w:type="auto" w:w="0"/>
        <w:jc w:val="center"/>
        <w:tblLook w:firstColumn="1" w:firstRow="1" w:lastColumn="0" w:lastRow="0" w:noHBand="0" w:noVBand="1" w:val="04A0"/>
      </w:tblPr>
      <w:tblGrid>
        <w:gridCol w:w="3168"/>
        <w:gridCol w:w="2160"/>
        <w:gridCol w:w="5040"/>
      </w:tblGrid>
      <w:tr>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Configuration</w:t>
            </w:r>
          </w:p>
        </w:tc>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Non-Trip RMSE</w:t>
            </w:r>
          </w:p>
        </w:tc>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Physical Mechanism</w:t>
            </w:r>
          </w:p>
        </w:tc>
      </w:tr>
      <w:tr>
        <w:tc>
          <w:tcPr>
            <w:tcW w:type="dxa" w:w="316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MPPI + Forecast Preview</w:t>
            </w:r>
          </w:p>
        </w:tc>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1.75 ± 1.00 K</w:t>
            </w:r>
          </w:p>
        </w:tc>
        <w:tc>
          <w:tcPr>
            <w:tcW w:type="dxa" w:w="50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Unconstrained optimal preview tracking</w:t>
            </w:r>
          </w:p>
        </w:tc>
      </w:tr>
      <w:tr>
        <w:tc>
          <w:tcPr>
            <w:tcW w:type="dxa" w:w="316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 Ramp Cap Only</w:t>
            </w:r>
          </w:p>
        </w:tc>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1.12 ± 0.48 K</w:t>
            </w:r>
          </w:p>
        </w:tc>
        <w:tc>
          <w:tcPr>
            <w:tcW w:type="dxa" w:w="50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Modulates pre-cooling to 282 K, consistent with avoiding reaction quenching</w:t>
            </w:r>
          </w:p>
        </w:tc>
      </w:tr>
      <w:tr>
        <w:tc>
          <w:tcPr>
            <w:tcW w:type="dxa" w:w="316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 Elevated Barrier Weights Only</w:t>
            </w:r>
          </w:p>
        </w:tc>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1.33 ± 0.72 K</w:t>
            </w:r>
          </w:p>
        </w:tc>
        <w:tc>
          <w:tcPr>
            <w:tcW w:type="dxa" w:w="50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Stiff penalty keeps state strictly within safe envelope</w:t>
            </w:r>
          </w:p>
        </w:tc>
      </w:tr>
      <w:tr>
        <w:tc>
          <w:tcPr>
            <w:tcW w:type="dxa" w:w="316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Both (Anticipatory Supervisory Schedule)</w:t>
            </w:r>
          </w:p>
        </w:tc>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0.94 ± 0.41 K</w:t>
            </w:r>
          </w:p>
        </w:tc>
        <w:tc>
          <w:tcPr>
            <w:tcW w:type="dxa" w:w="50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Coordinated pre-cooling containment (gain: 0.81 K, p = 0.013)</w:t>
            </w:r>
          </w:p>
        </w:tc>
      </w:tr>
    </w:tbl>
    <w:p>
      <w:r>
        <w:t>Across the 19 shared survivors, the gain is 0.81 K (paired t p = 0.013, Wilcoxon p = 0.0017, Holm-adjusted p = 0.063). Overall difference across 20 scenarios is +0.95 K (p = 0.0069). Only the ramp-only comparison survives Holm (p = 0.0009). Results are stable across 5 MPPI sampling streams.</w:t>
      </w:r>
    </w:p>
    <w:p>
      <w:pPr>
        <w:pStyle w:val="Heading2"/>
        <w:keepNext/>
        <w:spacing w:before="240" w:after="80"/>
      </w:pPr>
      <w:r>
        <w:rPr>
          <w:rFonts w:ascii="Calibri" w:hAnsi="Calibri"/>
          <w:b/>
          <w:color w:val="1E293B"/>
          <w:sz w:val="24"/>
        </w:rPr>
        <w:t>6.3 Reproducibility &amp; Computational Budget</w:t>
      </w:r>
    </w:p>
    <w:p>
      <w:r>
        <w:t>All tables were generated using a pure NumPy implementation (benchmark_cstr_unified.py): scenario generation with np.random.seed(42); sensor noise default_rng(1000 + i); MPPI sampling default_rng(10000 + 100*rep + seed); NMPC with L-BFGS-B (maxiter = 10, warm-started); oracle sweep verified via python benchmark_cstr_unified.py --oracle; runtime approximately 12 minutes on 2 CPU cores.</w:t>
      </w:r>
    </w:p>
    <w:p>
      <w:pPr>
        <w:pStyle w:val="Heading1"/>
        <w:keepNext/>
        <w:spacing w:before="320" w:after="120"/>
      </w:pPr>
      <w:r>
        <w:rPr>
          <w:rFonts w:ascii="Calibri" w:hAnsi="Calibri"/>
          <w:b/>
          <w:color w:val="0F172A"/>
          <w:sz w:val="28"/>
        </w:rPr>
        <w:t>7. Industrial Deployment Limits &amp; Conclusion</w:t>
      </w:r>
    </w:p>
    <w:p>
      <w:pPr>
        <w:pStyle w:val="Heading2"/>
        <w:keepNext/>
        <w:spacing w:before="240" w:after="80"/>
      </w:pPr>
      <w:r>
        <w:rPr>
          <w:rFonts w:ascii="Calibri" w:hAnsi="Calibri"/>
          <w:b/>
          <w:color w:val="1E293B"/>
          <w:sz w:val="24"/>
        </w:rPr>
        <w:t>7.1 Industrial Deployment Limits</w:t>
      </w:r>
    </w:p>
    <w:p>
      <w:r>
        <w:t>While Agentic MPC demonstrates robust supervisory capabilities in simulation, certified industrial deployment requires strict separation of concerns. Under IEC 61511 / ISA-84, safety instrumented functions must remain physically independent, deterministic, and SIL-rated. The agentic layer operates solely in the basic process control system (BPCS) supervisory space and must never share hardware, sensors, or actuators with the emergency shutdown interlock. Perfect-Forecast Assumption: All preview controllers evaluated in Section 6 receive an exact preview of disturbance onset, duration, and magnitude. In industrial plant deployments, upstream analyzers and operator advisories exhibit lead-time jitter, amplitude estimation errors, and false positives. Characterizing closed-loop robustness under imperfect, noisy, or delayed forecast advisories is an essential direction for future validation.</w:t>
      </w:r>
    </w:p>
    <w:p>
      <w:pPr>
        <w:pStyle w:val="Heading2"/>
        <w:keepNext/>
        <w:spacing w:before="240" w:after="80"/>
      </w:pPr>
      <w:r>
        <w:rPr>
          <w:rFonts w:ascii="Calibri" w:hAnsi="Calibri"/>
          <w:b/>
          <w:color w:val="1E293B"/>
          <w:sz w:val="24"/>
        </w:rPr>
        <w:t>7.2 Conclusion</w:t>
      </w:r>
    </w:p>
    <w:p>
      <w:r>
        <w:t>This simulation case study demonstrates that preview lookahead and an anticipatory pre-cooling ramp stabilize an exothermic CSTR under severe kinetic surges. A naive rule-based supervisor that commands flat maximum cooling frequently quenches the reactor, accumulates reactant, and triggers delayed blowout. Modulating a pre-cooling ramp to 282 K is consistent with avoiding reaction quenching while maintaining thermal absorption margin. We present the Agentic MPC framework as a proposed supervisory architecture for qualitative plant operations. Rather than acting as an evaluated numerical optimizer in these experiments, the LLM layer provides the architectural design pattern for interpreting unstructured operator directives and enforcing formal safety contracts in future human-in-the-loop autonomous plant workflows.</w:t>
      </w:r>
    </w:p>
    <w:p>
      <w:pPr>
        <w:pStyle w:val="Heading1"/>
        <w:keepNext/>
        <w:spacing w:before="320" w:after="120"/>
      </w:pPr>
      <w:r>
        <w:rPr>
          <w:rFonts w:ascii="Calibri" w:hAnsi="Calibri"/>
          <w:b/>
          <w:color w:val="0F172A"/>
          <w:sz w:val="28"/>
        </w:rPr>
        <w:t>References</w:t>
      </w:r>
    </w:p>
    <w:p>
      <w:pPr>
        <w:spacing w:after="80"/>
        <w:ind w:left="432" w:hanging="432"/>
      </w:pPr>
      <w:r>
        <w:rPr>
          <w:rFonts w:ascii="Calibri" w:hAnsi="Calibri"/>
          <w:b/>
        </w:rPr>
        <w:t xml:space="preserve">[1] </w:t>
      </w:r>
      <w:r>
        <w:rPr>
          <w:rFonts w:ascii="Cambria" w:hAnsi="Cambria"/>
          <w:sz w:val="19"/>
        </w:rPr>
        <w:t>Williams, G., Aldrich, A., &amp; Theodorou, E. A. (2017). Model Predictive Path Integral Control: From Theory to Parallel Computation. Journal of Guidance, Control, and Dynamics, 40(2), 344–357.</w:t>
      </w:r>
    </w:p>
    <w:p>
      <w:pPr>
        <w:spacing w:after="80"/>
        <w:ind w:left="432" w:hanging="432"/>
      </w:pPr>
      <w:r>
        <w:rPr>
          <w:rFonts w:ascii="Calibri" w:hAnsi="Calibri"/>
          <w:b/>
        </w:rPr>
        <w:t xml:space="preserve">[2] </w:t>
      </w:r>
      <w:r>
        <w:rPr>
          <w:rFonts w:ascii="Cambria" w:hAnsi="Cambria"/>
          <w:sz w:val="19"/>
        </w:rPr>
        <w:t>Rawlings, J. B., Mayne, D. Q., &amp; Diehl, M. (2017). Model Predictive Control: Theory, Computation, and Design (2nd ed.). Nob Hill Publishing.</w:t>
      </w:r>
    </w:p>
    <w:p>
      <w:pPr>
        <w:spacing w:after="80"/>
        <w:ind w:left="432" w:hanging="432"/>
      </w:pPr>
      <w:r>
        <w:rPr>
          <w:rFonts w:ascii="Calibri" w:hAnsi="Calibri"/>
          <w:b/>
        </w:rPr>
        <w:t xml:space="preserve">[3] </w:t>
      </w:r>
      <w:r>
        <w:rPr>
          <w:rFonts w:ascii="Cambria" w:hAnsi="Cambria"/>
          <w:sz w:val="19"/>
        </w:rPr>
        <w:t>Seborg, D. E., Edgar, T. F., Mellichamp, D. A., &amp; Doyle, F. J. (2016). Process Dynamics and Control (4th ed.). John Wiley &amp; Sons.</w:t>
      </w:r>
    </w:p>
    <w:p>
      <w:pPr>
        <w:spacing w:after="80"/>
        <w:ind w:left="432" w:hanging="432"/>
      </w:pPr>
      <w:r>
        <w:rPr>
          <w:rFonts w:ascii="Calibri" w:hAnsi="Calibri"/>
          <w:b/>
        </w:rPr>
        <w:t xml:space="preserve">[4] </w:t>
      </w:r>
      <w:r>
        <w:rPr>
          <w:rFonts w:ascii="Cambria" w:hAnsi="Cambria"/>
          <w:sz w:val="19"/>
        </w:rPr>
        <w:t>Kothare, M. V., Balakrishnan, V., &amp; Morari, M. (1996). Robust Constrained Model Predictive Control using Linear Matrix Inequalities. Automatica, 32(10), 1361–1379.</w:t>
      </w:r>
    </w:p>
    <w:p>
      <w:pPr>
        <w:spacing w:after="80"/>
        <w:ind w:left="432" w:hanging="432"/>
      </w:pPr>
      <w:r>
        <w:rPr>
          <w:rFonts w:ascii="Calibri" w:hAnsi="Calibri"/>
          <w:b/>
        </w:rPr>
        <w:t xml:space="preserve">[5] </w:t>
      </w:r>
      <w:r>
        <w:rPr>
          <w:rFonts w:ascii="Cambria" w:hAnsi="Cambria"/>
          <w:sz w:val="19"/>
        </w:rPr>
        <w:t>Mayne, D. Q., Seron, M. M., &amp; Raković, S. V. (2005). Robust Model Predictive Control of Constrained Linear Systems with Bounded Disturbances. Automatica, 41(2), 219–224.</w:t>
      </w:r>
    </w:p>
    <w:p>
      <w:pPr>
        <w:spacing w:after="80"/>
        <w:ind w:left="432" w:hanging="432"/>
      </w:pPr>
      <w:r>
        <w:rPr>
          <w:rFonts w:ascii="Calibri" w:hAnsi="Calibri"/>
          <w:b/>
        </w:rPr>
        <w:t xml:space="preserve">[6] </w:t>
      </w:r>
      <w:r>
        <w:rPr>
          <w:rFonts w:ascii="Cambria" w:hAnsi="Cambria"/>
          <w:sz w:val="19"/>
        </w:rPr>
        <w:t>Hewing, L., Wabersich, K. P., Menner, M., &amp; Zeilinger, M. N. (2020). Learning-Based Model Predictive Control: Toward Safe Learning in Control. Annual Review of Control, Robotics, and Autonomous Systems, 3, 269–296.</w:t>
      </w:r>
    </w:p>
    <w:p>
      <w:pPr>
        <w:spacing w:after="80"/>
        <w:ind w:left="432" w:hanging="432"/>
      </w:pPr>
      <w:r>
        <w:rPr>
          <w:rFonts w:ascii="Calibri" w:hAnsi="Calibri"/>
          <w:b/>
        </w:rPr>
        <w:t xml:space="preserve">[7] </w:t>
      </w:r>
      <w:r>
        <w:rPr>
          <w:rFonts w:ascii="Cambria" w:hAnsi="Cambria"/>
          <w:sz w:val="19"/>
        </w:rPr>
        <w:t>Amos, B., Jiménez, I., Sacks, J., Boots, B., &amp; Kolter, J. Z. (2018). Differentiable MPC for End-to-End Planning and Control. Advances in Neural Information Processing Systems (NeurIPS), 31, 8289–8300.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Zhaoyang Wan, PhD, MBA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Agentic Model Predictive Control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