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tbl>
      <w:tblPr>
        <w:tblStyle w:val="Table1"/>
        <w:tblW w:w="105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2"/>
        <w:tblGridChange w:id="0">
          <w:tblGrid>
            <w:gridCol w:w="10512"/>
          </w:tblGrid>
        </w:tblGridChange>
      </w:tblGrid>
      <w:tr>
        <w:trPr>
          <w:cantSplit w:val="0"/>
          <w:trHeight w:val="5876.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rPr/>
            </w:pPr>
            <w:r w:rsidDel="00000000" w:rsidR="00000000" w:rsidRPr="00000000">
              <w:rPr>
                <w:rtl w:val="0"/>
              </w:rPr>
              <w:t xml:space="preserve">Case 1: Perpendicular collision (or T-bone) (e.g. One vehicle pulling out in front or driving across the path of another one from a side street or cross-traffic)</w:t>
            </w:r>
          </w:p>
        </w:tc>
      </w:tr>
      <w:tr>
        <w:trPr>
          <w:cantSplit w:val="0"/>
          <w:trHeight w:val="6371.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rPr/>
            </w:pPr>
            <w:r w:rsidDel="00000000" w:rsidR="00000000" w:rsidRPr="00000000">
              <w:rPr>
                <w:rtl w:val="0"/>
              </w:rPr>
              <w:t xml:space="preserve">Case 2: Side against side collision (e.g.Two vehicles traveling toward each other in different lanes of traffic and one crosses over into the other’s line of traffic and they collide against their sides )</w:t>
            </w:r>
          </w:p>
        </w:tc>
      </w:tr>
    </w:tbl>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More on Back</w:t>
      </w:r>
    </w:p>
    <w:p w:rsidR="00000000" w:rsidDel="00000000" w:rsidP="00000000" w:rsidRDefault="00000000" w:rsidRPr="00000000" w14:paraId="00000006">
      <w:pPr>
        <w:jc w:val="center"/>
        <w:rPr/>
      </w:pPr>
      <w:r w:rsidDel="00000000" w:rsidR="00000000" w:rsidRPr="00000000">
        <w:br w:type="page"/>
      </w:r>
      <w:r w:rsidDel="00000000" w:rsidR="00000000" w:rsidRPr="00000000">
        <w:rPr>
          <w:rtl w:val="0"/>
        </w:rPr>
      </w:r>
    </w:p>
    <w:tbl>
      <w:tblPr>
        <w:tblStyle w:val="Table2"/>
        <w:tblW w:w="105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2"/>
        <w:tblGridChange w:id="0">
          <w:tblGrid>
            <w:gridCol w:w="10512"/>
          </w:tblGrid>
        </w:tblGridChange>
      </w:tblGrid>
      <w:tr>
        <w:trPr>
          <w:cantSplit w:val="0"/>
          <w:trHeight w:val="6860.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Case 3: Head-on collision</w:t>
            </w:r>
          </w:p>
        </w:tc>
      </w:tr>
      <w:tr>
        <w:trPr>
          <w:cantSplit w:val="0"/>
          <w:trHeight w:val="6120.75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Case 4: Rear-end collision (e.g., two vehicles driving in the same direction. The car in front slows down or stops, and the driver behind hits it. OR, you slow/stop your car, and the vehicle behind runs into your vehicle)</w:t>
            </w:r>
          </w:p>
          <w:p w:rsidR="00000000" w:rsidDel="00000000" w:rsidP="00000000" w:rsidRDefault="00000000" w:rsidRPr="00000000" w14:paraId="00000009">
            <w:pPr>
              <w:widowControl w:val="0"/>
              <w:spacing w:line="240" w:lineRule="auto"/>
              <w:rPr/>
            </w:pP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sectPr>
      <w:pgSz w:h="15840" w:w="12240" w:orient="portrait"/>
      <w:pgMar w:bottom="720" w:top="720" w:left="1008"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