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04852"/>
        </w:rPr>
      </w:pPr>
      <w:r w:rsidDel="00000000" w:rsidR="00000000" w:rsidRPr="00000000">
        <w:rPr>
          <w:color w:val="304852"/>
          <w:rtl w:val="0"/>
        </w:rPr>
        <w:t xml:space="preserve">Lesson 4: Teacher Reference</w:t>
      </w:r>
    </w:p>
    <w:bookmarkStart w:colFirst="0" w:colLast="0" w:name="gjdgxs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Variable Half Sheets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</w:rPr>
        <w:drawing>
          <wp:inline distB="19050" distT="19050" distL="19050" distR="19050">
            <wp:extent cx="6319838" cy="24941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249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6344698" cy="2218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4698" cy="221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6300788" cy="242182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242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6234113" cy="52048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520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