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Stage 1 Competitor Analysis - Freelance Portfolio Websites</w:t>
      </w:r>
    </w:p>
    <w:p>
      <w:r>
        <w:t>Prepared for Jawad Jalal. Focus: positioning and messaging before design-token definition. Audience fit: creative freelancers and SaaS founders who need premium first impressions and measurable conversion outcomes.</w:t>
      </w:r>
    </w:p>
    <w:p>
      <w:pPr>
        <w:pStyle w:val="Heading1"/>
      </w:pPr>
      <w:r>
        <w:t>Executive Summary</w:t>
      </w:r>
    </w:p>
    <w:p>
      <w:pPr>
        <w:pStyle w:val="ListBullet"/>
      </w:pPr>
      <w:r>
        <w:t>Top portfolios win on identity and interaction, but many under-explain outcomes and business impact.</w:t>
      </w:r>
    </w:p>
    <w:p>
      <w:pPr>
        <w:pStyle w:val="ListBullet"/>
      </w:pPr>
      <w:r>
        <w:t>Creative-led competitors often prioritize wow effects over conversion clarity and buyer guidance.</w:t>
      </w:r>
    </w:p>
    <w:p>
      <w:pPr>
        <w:pStyle w:val="ListBullet"/>
      </w:pPr>
      <w:r>
        <w:t>Business-led competitors often convert better but look generic and less memorable.</w:t>
      </w:r>
    </w:p>
    <w:p>
      <w:pPr>
        <w:pStyle w:val="ListBullet"/>
      </w:pPr>
      <w:r>
        <w:t>Your strongest gap to own is cinematic craft plus conversion strategy plus rapid AI-assisted delivery.</w:t>
      </w:r>
    </w:p>
    <w:p>
      <w:pPr>
        <w:pStyle w:val="ListBullet"/>
      </w:pPr>
      <w:r>
        <w:t>For Stage 1, prioritize narrative clarity, proof architecture, and offer packaging before final token systems.</w:t>
      </w:r>
    </w:p>
    <w:p>
      <w:pPr>
        <w:pStyle w:val="Heading1"/>
      </w:pPr>
      <w:r>
        <w:t>Detailed Competitive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Competitor</w:t>
            </w:r>
          </w:p>
        </w:tc>
        <w:tc>
          <w:tcPr>
            <w:tcW w:type="dxa" w:w="1234"/>
          </w:tcPr>
          <w:p>
            <w:r>
              <w:t>URL</w:t>
            </w:r>
          </w:p>
        </w:tc>
        <w:tc>
          <w:tcPr>
            <w:tcW w:type="dxa" w:w="1234"/>
          </w:tcPr>
          <w:p>
            <w:r>
              <w:t>Screenshot Reference</w:t>
            </w:r>
          </w:p>
        </w:tc>
        <w:tc>
          <w:tcPr>
            <w:tcW w:type="dxa" w:w="1234"/>
          </w:tcPr>
          <w:p>
            <w:r>
              <w:t>Strengths (Memorable, Capability, Personality)</w:t>
            </w:r>
          </w:p>
        </w:tc>
        <w:tc>
          <w:tcPr>
            <w:tcW w:type="dxa" w:w="1234"/>
          </w:tcPr>
          <w:p>
            <w:r>
              <w:t>Weaknesses (Generic Areas, Missing Proof, Hiring Risks)</w:t>
            </w:r>
          </w:p>
        </w:tc>
        <w:tc>
          <w:tcPr>
            <w:tcW w:type="dxa" w:w="1234"/>
          </w:tcPr>
          <w:p>
            <w:r>
              <w:t>Opportunities For You</w:t>
            </w:r>
          </w:p>
        </w:tc>
        <w:tc>
          <w:tcPr>
            <w:tcW w:type="dxa" w:w="1234"/>
          </w:tcPr>
          <w:p>
            <w:r>
              <w:t>Inspiration To Adapt</w:t>
            </w:r>
          </w:p>
        </w:tc>
      </w:tr>
      <w:tr>
        <w:tc>
          <w:tcPr>
            <w:tcW w:type="dxa" w:w="1234"/>
          </w:tcPr>
          <w:p>
            <w:r>
              <w:t>Bruno Simon</w:t>
            </w:r>
          </w:p>
        </w:tc>
        <w:tc>
          <w:tcPr>
            <w:tcW w:type="dxa" w:w="1234"/>
          </w:tcPr>
          <w:p>
            <w:r>
              <w:t>https://www.bruno-simon.com/</w:t>
            </w:r>
          </w:p>
        </w:tc>
        <w:tc>
          <w:tcPr>
            <w:tcW w:type="dxa" w:w="1234"/>
          </w:tcPr>
          <w:p>
            <w:r>
              <w:t>https://image.thum.io/get/width/1400/https://www.bruno-simon.com/</w:t>
            </w:r>
          </w:p>
        </w:tc>
        <w:tc>
          <w:tcPr>
            <w:tcW w:type="dxa" w:w="1234"/>
          </w:tcPr>
          <w:p>
            <w:r>
              <w:t>Extremely memorable game-like portfolio with 3D driving world. Demonstrates advanced Three.js/WebGL, physics, sound, and interaction systems. Personality is playful, bold, and technically fearless.</w:t>
            </w:r>
          </w:p>
        </w:tc>
        <w:tc>
          <w:tcPr>
            <w:tcW w:type="dxa" w:w="1234"/>
          </w:tcPr>
          <w:p>
            <w:r>
              <w:t>Business outcomes are not central and buyer path is less direct for conservative clients. Some prospects may see it as spectacle first, conversion second. Can create uncertainty about fit for straightforward B2B delivery.</w:t>
            </w:r>
          </w:p>
        </w:tc>
        <w:tc>
          <w:tcPr>
            <w:tcW w:type="dxa" w:w="1234"/>
          </w:tcPr>
          <w:p>
            <w:r>
              <w:t>Own the middle: high craft with explicit conversion strategy. Show cinematic interactions with clear ROI language, timeline, and service packaging. Present both wow mode and fast decision mode.</w:t>
            </w:r>
          </w:p>
        </w:tc>
        <w:tc>
          <w:tcPr>
            <w:tcW w:type="dxa" w:w="1234"/>
          </w:tcPr>
          <w:p>
            <w:r>
              <w:t>Gamified navigation, hidden easter eggs, and a dedicated behind-the-scenes build section. Adapt the signature-interaction idea without forcing all users through a complex flow.</w:t>
            </w:r>
          </w:p>
        </w:tc>
      </w:tr>
      <w:tr>
        <w:tc>
          <w:tcPr>
            <w:tcW w:type="dxa" w:w="1234"/>
          </w:tcPr>
          <w:p>
            <w:r>
              <w:t>Brittany Chiang</w:t>
            </w:r>
          </w:p>
        </w:tc>
        <w:tc>
          <w:tcPr>
            <w:tcW w:type="dxa" w:w="1234"/>
          </w:tcPr>
          <w:p>
            <w:r>
              <w:t>https://brittanychiang.com/</w:t>
            </w:r>
          </w:p>
        </w:tc>
        <w:tc>
          <w:tcPr>
            <w:tcW w:type="dxa" w:w="1234"/>
          </w:tcPr>
          <w:p>
            <w:r>
              <w:t>https://image.thum.io/get/width/1400/https://brittanychiang.com/</w:t>
            </w:r>
          </w:p>
        </w:tc>
        <w:tc>
          <w:tcPr>
            <w:tcW w:type="dxa" w:w="1234"/>
          </w:tcPr>
          <w:p>
            <w:r>
              <w:t>Exceptionally clear narrative, high trust, and clean structure. Demonstrates accessibility, design systems, and frontend engineering maturity. Personality feels credible, thoughtful, and detail-oriented.</w:t>
            </w:r>
          </w:p>
        </w:tc>
        <w:tc>
          <w:tcPr>
            <w:tcW w:type="dxa" w:w="1234"/>
          </w:tcPr>
          <w:p>
            <w:r>
              <w:t>Visual distinctiveness is lower than experimental competitors. Emotional storytelling and dramatic case framing are limited on the homepage. May read as senior employee profile more than specialist freelance offer.</w:t>
            </w:r>
          </w:p>
        </w:tc>
        <w:tc>
          <w:tcPr>
            <w:tcW w:type="dxa" w:w="1234"/>
          </w:tcPr>
          <w:p>
            <w:r>
              <w:t>Use this clarity benchmark but add stronger brand theater and market positioning. Keep scanability while adding sharper outcomes and differentiation. Make your specialist promise impossible to miss in first 5 seconds.</w:t>
            </w:r>
          </w:p>
        </w:tc>
        <w:tc>
          <w:tcPr>
            <w:tcW w:type="dxa" w:w="1234"/>
          </w:tcPr>
          <w:p>
            <w:r>
              <w:t>Simple information architecture, concise role summaries, and credibility stacking through writing plus projects. Adapt the structure while adding stronger persuasion framing.</w:t>
            </w:r>
          </w:p>
        </w:tc>
      </w:tr>
      <w:tr>
        <w:tc>
          <w:tcPr>
            <w:tcW w:type="dxa" w:w="1234"/>
          </w:tcPr>
          <w:p>
            <w:r>
              <w:t>Adham Dannaway</w:t>
            </w:r>
          </w:p>
        </w:tc>
        <w:tc>
          <w:tcPr>
            <w:tcW w:type="dxa" w:w="1234"/>
          </w:tcPr>
          <w:p>
            <w:r>
              <w:t>https://www.adhamdannaway.com/</w:t>
            </w:r>
          </w:p>
        </w:tc>
        <w:tc>
          <w:tcPr>
            <w:tcW w:type="dxa" w:w="1234"/>
          </w:tcPr>
          <w:p>
            <w:r>
              <w:t>https://image.thum.io/get/width/1400/https://www.adhamdannaway.com/</w:t>
            </w:r>
          </w:p>
        </w:tc>
        <w:tc>
          <w:tcPr>
            <w:tcW w:type="dxa" w:w="1234"/>
          </w:tcPr>
          <w:p>
            <w:r>
              <w:t>Memorable dual-role positioning (designer and developer) gives immediate clarity. Demonstrates hybrid capability and systems-level thinking. Personality appears disciplined, direct, and professional.</w:t>
            </w:r>
          </w:p>
        </w:tc>
        <w:tc>
          <w:tcPr>
            <w:tcW w:type="dxa" w:w="1234"/>
          </w:tcPr>
          <w:p>
            <w:r>
              <w:t>The split-positioning pattern is now commonly copied and less unique. Technical depth and measurable results are not always explicit at first glance. Service boundaries can feel broad if not packaged tightly.</w:t>
            </w:r>
          </w:p>
        </w:tc>
        <w:tc>
          <w:tcPr>
            <w:tcW w:type="dxa" w:w="1234"/>
          </w:tcPr>
          <w:p>
            <w:r>
              <w:t>Modernize hybrid positioning for your niche: portfolios plus landing pages only. Pair role clarity with stronger conversion proof and fast delivery narrative. Productize your services to remove uncertainty.</w:t>
            </w:r>
          </w:p>
        </w:tc>
        <w:tc>
          <w:tcPr>
            <w:tcW w:type="dxa" w:w="1234"/>
          </w:tcPr>
          <w:p>
            <w:r>
              <w:t>Above-the-fold binary positioning and concise service signaling. Adapt with your own angle: cinematic execution plus conversion-first strategy.</w:t>
            </w:r>
          </w:p>
        </w:tc>
      </w:tr>
      <w:tr>
        <w:tc>
          <w:tcPr>
            <w:tcW w:type="dxa" w:w="1234"/>
          </w:tcPr>
          <w:p>
            <w:r>
              <w:t>Dennis Snellenberg</w:t>
            </w:r>
          </w:p>
        </w:tc>
        <w:tc>
          <w:tcPr>
            <w:tcW w:type="dxa" w:w="1234"/>
          </w:tcPr>
          <w:p>
            <w:r>
              <w:t>https://www.dennissnellenberg.com/</w:t>
            </w:r>
          </w:p>
        </w:tc>
        <w:tc>
          <w:tcPr>
            <w:tcW w:type="dxa" w:w="1234"/>
          </w:tcPr>
          <w:p>
            <w:r>
              <w:t>https://image.thum.io/get/width/1400/https://www.dennissnellenberg.com/</w:t>
            </w:r>
          </w:p>
        </w:tc>
        <w:tc>
          <w:tcPr>
            <w:tcW w:type="dxa" w:w="1234"/>
          </w:tcPr>
          <w:p>
            <w:r>
              <w:t>High-end visual polish and refined motion language create premium perception. Demonstrates advanced frontend craftsmanship and international studio quality. Personality feels elegant, composed, and globally positioned.</w:t>
            </w:r>
          </w:p>
        </w:tc>
        <w:tc>
          <w:tcPr>
            <w:tcW w:type="dxa" w:w="1234"/>
          </w:tcPr>
          <w:p>
            <w:r>
              <w:t>The buyer journey can feel portfolio-first and conversion-second. Process transparency, pricing signals, and ROI framing are less explicit. Some clients may assume high cost or long timelines without clear guidance.</w:t>
            </w:r>
          </w:p>
        </w:tc>
        <w:tc>
          <w:tcPr>
            <w:tcW w:type="dxa" w:w="1234"/>
          </w:tcPr>
          <w:p>
            <w:r>
              <w:t>Keep premium aesthetics but reduce buying friction with transparent process and package framing. Highlight speed, clarity, and outcomes to de-risk decisions. Use direct-fit messaging for freelancers and founders.</w:t>
            </w:r>
          </w:p>
        </w:tc>
        <w:tc>
          <w:tcPr>
            <w:tcW w:type="dxa" w:w="1234"/>
          </w:tcPr>
          <w:p>
            <w:r>
              <w:t>Polished motion hierarchy, restrained typography, and elegant project presentation. Adapt this premium feel with stronger sales architecture.</w:t>
            </w:r>
          </w:p>
        </w:tc>
      </w:tr>
      <w:tr>
        <w:tc>
          <w:tcPr>
            <w:tcW w:type="dxa" w:w="1234"/>
          </w:tcPr>
          <w:p>
            <w:r>
              <w:t>Robby Leonardi</w:t>
            </w:r>
          </w:p>
        </w:tc>
        <w:tc>
          <w:tcPr>
            <w:tcW w:type="dxa" w:w="1234"/>
          </w:tcPr>
          <w:p>
            <w:r>
              <w:t>https://www.rleonardi.com/</w:t>
            </w:r>
          </w:p>
        </w:tc>
        <w:tc>
          <w:tcPr>
            <w:tcW w:type="dxa" w:w="1234"/>
          </w:tcPr>
          <w:p>
            <w:r>
              <w:t>https://image.thum.io/get/width/1400/https://www.rleonardi.com/</w:t>
            </w:r>
          </w:p>
        </w:tc>
        <w:tc>
          <w:tcPr>
            <w:tcW w:type="dxa" w:w="1234"/>
          </w:tcPr>
          <w:p>
            <w:r>
              <w:t>Iconic interactive-resume concept remains highly memorable. Demonstrates storytelling through interface and playful product thinking. Personality is imaginative, artistic, and fun.</w:t>
            </w:r>
          </w:p>
        </w:tc>
        <w:tc>
          <w:tcPr>
            <w:tcW w:type="dxa" w:w="1234"/>
          </w:tcPr>
          <w:p>
            <w:r>
              <w:t>Style feels older relative to modern interaction and performance standards. Proof of current stack depth and commercial delivery model is limited. Some buyers may question modern scalability and process rigor.</w:t>
            </w:r>
          </w:p>
        </w:tc>
        <w:tc>
          <w:tcPr>
            <w:tcW w:type="dxa" w:w="1234"/>
          </w:tcPr>
          <w:p>
            <w:r>
              <w:t>Build a modern interactive narrative with current performance and accessibility standards. Combine creativity with explicit strategic outcomes. Show modern implementation depth to avoid style-over-substance concerns.</w:t>
            </w:r>
          </w:p>
        </w:tc>
        <w:tc>
          <w:tcPr>
            <w:tcW w:type="dxa" w:w="1234"/>
          </w:tcPr>
          <w:p>
            <w:r>
              <w:t>Narrative-driven scrolling and portfolio-as-experience framing. Adapt the story mechanic into a lighter, modernized journey with clear CTAs.</w:t>
            </w:r>
          </w:p>
        </w:tc>
      </w:tr>
      <w:tr>
        <w:tc>
          <w:tcPr>
            <w:tcW w:type="dxa" w:w="1234"/>
          </w:tcPr>
          <w:p>
            <w:r>
              <w:t>Vincent De Feo</w:t>
            </w:r>
          </w:p>
        </w:tc>
        <w:tc>
          <w:tcPr>
            <w:tcW w:type="dxa" w:w="1234"/>
          </w:tcPr>
          <w:p>
            <w:r>
              <w:t>https://vincent.codes/</w:t>
            </w:r>
          </w:p>
        </w:tc>
        <w:tc>
          <w:tcPr>
            <w:tcW w:type="dxa" w:w="1234"/>
          </w:tcPr>
          <w:p>
            <w:r>
              <w:t>https://image.thum.io/get/width/1400/https://vincent.codes/</w:t>
            </w:r>
          </w:p>
        </w:tc>
        <w:tc>
          <w:tcPr>
            <w:tcW w:type="dxa" w:w="1234"/>
          </w:tcPr>
          <w:p>
            <w:r>
              <w:t>Strong execution credibility through concise case snapshots and stack transparency. Demonstrates production work across startups, agencies, animation, and engineering contexts. Personality feels pragmatic, senior, and reliable.</w:t>
            </w:r>
          </w:p>
        </w:tc>
        <w:tc>
          <w:tcPr>
            <w:tcW w:type="dxa" w:w="1234"/>
          </w:tcPr>
          <w:p>
            <w:r>
              <w:t>Strategic messaging for non-technical buyers is less pronounced. Emotional brand story and high-level transformation framing can be expanded. Some prospects may see dev excellence but not full creative-direction depth.</w:t>
            </w:r>
          </w:p>
        </w:tc>
        <w:tc>
          <w:tcPr>
            <w:tcW w:type="dxa" w:w="1234"/>
          </w:tcPr>
          <w:p>
            <w:r>
              <w:t>Adopt his clarity and proof density while adding stronger persuasion and brand narrative. Translate technical capability into business-language outcomes. Position yourself as strategy plus craft plus speed.</w:t>
            </w:r>
          </w:p>
        </w:tc>
        <w:tc>
          <w:tcPr>
            <w:tcW w:type="dxa" w:w="1234"/>
          </w:tcPr>
          <w:p>
            <w:r>
              <w:t>Role-impact-stack formatting for rapid scanning. Adapt this format in your case studies with clearer before/after and metric framing.</w:t>
            </w:r>
          </w:p>
        </w:tc>
      </w:tr>
      <w:tr>
        <w:tc>
          <w:tcPr>
            <w:tcW w:type="dxa" w:w="1234"/>
          </w:tcPr>
          <w:p>
            <w:r>
              <w:t>Martin Laxenaire</w:t>
            </w:r>
          </w:p>
        </w:tc>
        <w:tc>
          <w:tcPr>
            <w:tcW w:type="dxa" w:w="1234"/>
          </w:tcPr>
          <w:p>
            <w:r>
              <w:t>https://www.martin-laxenaire.fr/</w:t>
            </w:r>
          </w:p>
        </w:tc>
        <w:tc>
          <w:tcPr>
            <w:tcW w:type="dxa" w:w="1234"/>
          </w:tcPr>
          <w:p>
            <w:r>
              <w:t>https://image.thum.io/get/width/1400/https://www.martin-laxenaire.fr/</w:t>
            </w:r>
          </w:p>
        </w:tc>
        <w:tc>
          <w:tcPr>
            <w:tcW w:type="dxa" w:w="1234"/>
          </w:tcPr>
          <w:p>
            <w:r>
              <w:t>Highly memorable game-like flow with unlockable content and playful exploration. Demonstrates elite WebGPU/WebGL, performance optimization, and open-source authority. Personality is inventive, experimental, and community-driven.</w:t>
            </w:r>
          </w:p>
        </w:tc>
        <w:tc>
          <w:tcPr>
            <w:tcW w:type="dxa" w:w="1234"/>
          </w:tcPr>
          <w:p>
            <w:r>
              <w:t>Interaction depth may increase cognitive load for time-poor prospects. Service offering and commercial path can be secondary to exploration. Practical outcomes are less foregrounded than technical artistry.</w:t>
            </w:r>
          </w:p>
        </w:tc>
        <w:tc>
          <w:tcPr>
            <w:tcW w:type="dxa" w:w="1234"/>
          </w:tcPr>
          <w:p>
            <w:r>
              <w:t>Keep interactive distinctiveness but provide an express buyer path with fast qualification. Combine technical authority with clearer service conversion design. Emphasize outcomes for your specific client avatars.</w:t>
            </w:r>
          </w:p>
        </w:tc>
        <w:tc>
          <w:tcPr>
            <w:tcW w:type="dxa" w:w="1234"/>
          </w:tcPr>
          <w:p>
            <w:r>
              <w:t>Unlock mechanics, contribution proof, and quantified authority signals. Adapt selective gamification while preserving direct conversion flow.</w:t>
            </w:r>
          </w:p>
        </w:tc>
      </w:tr>
      <w:tr>
        <w:tc>
          <w:tcPr>
            <w:tcW w:type="dxa" w:w="1234"/>
          </w:tcPr>
          <w:p>
            <w:r>
              <w:t>Simone Andreotti</w:t>
            </w:r>
          </w:p>
        </w:tc>
        <w:tc>
          <w:tcPr>
            <w:tcW w:type="dxa" w:w="1234"/>
          </w:tcPr>
          <w:p>
            <w:r>
              <w:t>https://simone-dev.com/</w:t>
            </w:r>
          </w:p>
        </w:tc>
        <w:tc>
          <w:tcPr>
            <w:tcW w:type="dxa" w:w="1234"/>
          </w:tcPr>
          <w:p>
            <w:r>
              <w:t>https://image.thum.io/get/width/1400/https://simone-dev.com/</w:t>
            </w:r>
          </w:p>
        </w:tc>
        <w:tc>
          <w:tcPr>
            <w:tcW w:type="dxa" w:w="1234"/>
          </w:tcPr>
          <w:p>
            <w:r>
              <w:t>Spiral-card interaction and adaptive hero messaging create memorable repeat visits. Demonstrates creative frontend execution and immersive interaction competence. Personality feels energetic, curious, and experimental.</w:t>
            </w:r>
          </w:p>
        </w:tc>
        <w:tc>
          <w:tcPr>
            <w:tcW w:type="dxa" w:w="1234"/>
          </w:tcPr>
          <w:p>
            <w:r>
              <w:t>Business positioning can feel less explicit than visual exploration. Case outcomes and commercial proof are not always the lead story. Some buyers may be unsure about process structure for larger engagements.</w:t>
            </w:r>
          </w:p>
        </w:tc>
        <w:tc>
          <w:tcPr>
            <w:tcW w:type="dxa" w:w="1234"/>
          </w:tcPr>
          <w:p>
            <w:r>
              <w:t>Keep dynamic personality but tighten the offer narrative and buyer confidence signals. Add stronger problem-solution-result case framing. Provide explicit process milestones and deliverables.</w:t>
            </w:r>
          </w:p>
        </w:tc>
        <w:tc>
          <w:tcPr>
            <w:tcW w:type="dxa" w:w="1234"/>
          </w:tcPr>
          <w:p>
            <w:r>
              <w:t>Adaptive copy for return users, card-based discovery, and experiential micro-storytelling. Adapt these for your portfolio sections and CTA journey.</w:t>
            </w:r>
          </w:p>
        </w:tc>
      </w:tr>
      <w:tr>
        <w:tc>
          <w:tcPr>
            <w:tcW w:type="dxa" w:w="1234"/>
          </w:tcPr>
          <w:p>
            <w:r>
              <w:t>Faraz Shaikh</w:t>
            </w:r>
          </w:p>
        </w:tc>
        <w:tc>
          <w:tcPr>
            <w:tcW w:type="dxa" w:w="1234"/>
          </w:tcPr>
          <w:p>
            <w:r>
              <w:t>https://farazzshaikh.com/</w:t>
            </w:r>
          </w:p>
        </w:tc>
        <w:tc>
          <w:tcPr>
            <w:tcW w:type="dxa" w:w="1234"/>
          </w:tcPr>
          <w:p>
            <w:r>
              <w:t>https://image.thum.io/get/width/1400/https://farazzshaikh.com/</w:t>
            </w:r>
          </w:p>
        </w:tc>
        <w:tc>
          <w:tcPr>
            <w:tcW w:type="dxa" w:w="1234"/>
          </w:tcPr>
          <w:p>
            <w:r>
              <w:t>Clear niche positioning around creative web plus WebGL/WebGPU/WebXR. Demonstrates advanced graphics-oriented capability and technical specialization. Personality feels forward-looking and innovation-centered.</w:t>
            </w:r>
          </w:p>
        </w:tc>
        <w:tc>
          <w:tcPr>
            <w:tcW w:type="dxa" w:w="1234"/>
          </w:tcPr>
          <w:p>
            <w:r>
              <w:t>Niche framing can appear narrow for clients wanting practical conversion pages. Service packaging and process transparency could be clearer. Hiring risk for some buyers is perceived specialization over business breadth.</w:t>
            </w:r>
          </w:p>
        </w:tc>
        <w:tc>
          <w:tcPr>
            <w:tcW w:type="dxa" w:w="1234"/>
          </w:tcPr>
          <w:p>
            <w:r>
              <w:t>Position yourself as specialized yet commercially grounded. Show both immersive craft and conversion execution for standard business pages. Add confidence through clear packages and delivery promises.</w:t>
            </w:r>
          </w:p>
        </w:tc>
        <w:tc>
          <w:tcPr>
            <w:tcW w:type="dxa" w:w="1234"/>
          </w:tcPr>
          <w:p>
            <w:r>
              <w:t>Focused one-liner positioning and strong capability signaling. Adapt this clarity to your own category ownership statement.</w:t>
            </w:r>
          </w:p>
        </w:tc>
      </w:tr>
      <w:tr>
        <w:tc>
          <w:tcPr>
            <w:tcW w:type="dxa" w:w="1234"/>
          </w:tcPr>
          <w:p>
            <w:r>
              <w:t>Tom Caklos</w:t>
            </w:r>
          </w:p>
        </w:tc>
        <w:tc>
          <w:tcPr>
            <w:tcW w:type="dxa" w:w="1234"/>
          </w:tcPr>
          <w:p>
            <w:r>
              <w:t>https://tomthedesigner.com/</w:t>
            </w:r>
          </w:p>
        </w:tc>
        <w:tc>
          <w:tcPr>
            <w:tcW w:type="dxa" w:w="1234"/>
          </w:tcPr>
          <w:p>
            <w:r>
              <w:t>https://image.thum.io/get/width/1400/https://tomthedesigner.com/</w:t>
            </w:r>
          </w:p>
        </w:tc>
        <w:tc>
          <w:tcPr>
            <w:tcW w:type="dxa" w:w="1234"/>
          </w:tcPr>
          <w:p>
            <w:r>
              <w:t>Very clear business messaging, strong objection handling, and direct lead capture. Demonstrates practical sales architecture with FAQs, pricing context, and fit filtering. Personality is confident, commercial, and service-oriented.</w:t>
            </w:r>
          </w:p>
        </w:tc>
        <w:tc>
          <w:tcPr>
            <w:tcW w:type="dxa" w:w="1234"/>
          </w:tcPr>
          <w:p>
            <w:r>
              <w:t>Visual language is less distinctive than premium creative portfolios. Brand uniqueness can feel template-like in parts. High-conviction copy may feel broad rather than category-defining.</w:t>
            </w:r>
          </w:p>
        </w:tc>
        <w:tc>
          <w:tcPr>
            <w:tcW w:type="dxa" w:w="1234"/>
          </w:tcPr>
          <w:p>
            <w:r>
              <w:t>Combine his conversion structure with your cinematic creative differentiation. Keep practical trust assets while elevating visual signature and storytelling. This creates both memorability and sales efficiency.</w:t>
            </w:r>
          </w:p>
        </w:tc>
        <w:tc>
          <w:tcPr>
            <w:tcW w:type="dxa" w:w="1234"/>
          </w:tcPr>
          <w:p>
            <w:r>
              <w:t>Conversion-focused sections: fit criteria, agency-vs-freelancer framing, FAQ depth, and pricing context. Adapt these sales mechanics with a more premium narrative and design system.</w:t>
            </w:r>
          </w:p>
        </w:tc>
      </w:tr>
    </w:tbl>
    <w:p>
      <w:pPr>
        <w:pStyle w:val="Heading1"/>
      </w:pPr>
      <w:r>
        <w:t>Stage 1 Actions (Next Before Design Tokens)</w:t>
      </w:r>
    </w:p>
    <w:p>
      <w:pPr>
        <w:pStyle w:val="ListBullet"/>
      </w:pPr>
      <w:r>
        <w:t>Define one sharp category statement in hero: who you serve, what you build, and what measurable outcome you target.</w:t>
      </w:r>
    </w:p>
    <w:p>
      <w:pPr>
        <w:pStyle w:val="ListBullet"/>
      </w:pPr>
      <w:r>
        <w:t>Design two homepage paths: fast decision path for buyers and immersive proof path for creative directors.</w:t>
      </w:r>
    </w:p>
    <w:p>
      <w:pPr>
        <w:pStyle w:val="ListBullet"/>
      </w:pPr>
      <w:r>
        <w:t>Publish package scaffolding early (scope, timeline, starting investment, revision model) to reduce friction.</w:t>
      </w:r>
    </w:p>
    <w:p>
      <w:pPr>
        <w:pStyle w:val="ListBullet"/>
      </w:pPr>
      <w:r>
        <w:t>Structure case studies as problem, strategy, execution, and business outcome with one clear metric each.</w:t>
      </w:r>
    </w:p>
    <w:p>
      <w:pPr>
        <w:pStyle w:val="ListBullet"/>
      </w:pPr>
      <w:r>
        <w:t>Codify your signature interaction language after positioning is finalized, then build tokens around that narrative.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