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color w:val="1E40AF"/>
          <w:sz w:val="52"/>
        </w:rPr>
        <w:t>Criterios de Aceptación</w:t>
      </w:r>
    </w:p>
    <w:p>
      <w:pPr>
        <w:jc w:val="center"/>
      </w:pPr>
      <w:r>
        <w:rPr>
          <w:color w:val="52525B"/>
          <w:sz w:val="30"/>
        </w:rPr>
        <w:t>Evaluación 3 — Épica 4 (Reservas) y Épica 5 (Pagos)</w:t>
      </w:r>
    </w:p>
    <w:p>
      <w:pPr>
        <w:jc w:val="center"/>
      </w:pPr>
      <w:r>
        <w:rPr>
          <w:color w:val="52525B"/>
          <w:sz w:val="26"/>
        </w:rPr>
        <w:t>App01Mingesoft — TravelAgency</w:t>
      </w:r>
    </w:p>
    <w:p/>
    <w:p>
      <w:pPr>
        <w:jc w:val="center"/>
      </w:pPr>
      <w:r>
        <w:rPr>
          <w:color w:val="52525B"/>
          <w:sz w:val="20"/>
        </w:rPr>
        <w:t>Fecha: 15/07/2026</w:t>
        <w:br/>
        <w:t>Formato: Gherkin (Given / When / Then)</w:t>
      </w:r>
    </w:p>
    <w:p>
      <w:r>
        <w:br w:type="page"/>
      </w:r>
    </w:p>
    <w:p>
      <w:pPr>
        <w:pStyle w:val="Heading1"/>
      </w:pPr>
      <w:r>
        <w:rPr>
          <w:color w:val="1E40AF"/>
        </w:rPr>
        <w:t>Introducción</w:t>
      </w:r>
    </w:p>
    <w:p>
      <w:r>
        <w:t>Este documento define los criterios de aceptación de las Épicas 4 (Reservas) y 5 (Pagos) de App01Mingesoft, en lenguaje Gherkin (Given/When/Then), como base para su posterior automatización con Playwright (ver Documento 2: Resultados de Pruebas Funcionales). Se definieron 3 criterios por épica, cubriendo en cada caso el flujo principal exitoso y al menos una regla de validación/rechazo relevante del negocio.</w:t>
      </w:r>
    </w:p>
    <w:p>
      <w:r>
        <w:t>Cada criterio incluye una descripción detallada de la regla de negocio que valida, referenciando el componente del backend responsable, y una captura de pantalla real de la aplicación en el estado que ese escenario ejercita.</w:t>
      </w:r>
    </w:p>
    <w:p>
      <w:r>
        <w:br w:type="page"/>
      </w:r>
    </w:p>
    <w:p>
      <w:pPr>
        <w:pStyle w:val="Heading1"/>
      </w:pPr>
      <w:r>
        <w:rPr>
          <w:color w:val="1E40AF"/>
        </w:rPr>
        <w:t>Épica 4 — Reservas</w:t>
      </w:r>
    </w:p>
    <w:p>
      <w:pPr>
        <w:pStyle w:val="Heading2"/>
      </w:pPr>
      <w:r>
        <w:rPr>
          <w:color w:val="1E3A8A"/>
        </w:rPr>
        <w:t>Criterio 1: Crear reserva exitosa con validaciones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GIVEN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THEN</w:t>
            </w:r>
          </w:p>
        </w:tc>
        <w:tc>
          <w:tcPr>
            <w:tcW w:type="dxa" w:w="7920"/>
          </w:tcPr>
          <w:p/>
        </w:tc>
      </w:tr>
    </w:tbl>
    <w:p/>
    <w:p>
      <w:r>
        <w:rPr>
          <w:b/>
        </w:rPr>
        <w:t xml:space="preserve">Descripción detallada: </w:t>
      </w:r>
      <w:r>
        <w:t>Cubre el flujo principal de la Épica 4: un cliente logueado elige un paquete con cupos disponibles, indica la cantidad de pasajeros dentro del rango permitido, y confirma. El sistema debe persistir la reserva en estado PENDING, descontar los cupos usados del paquete (BookingService, Regla 5), y llevar al usuario al paso de pago. Es el criterio base: si este falla, ningún otro flujo de compra es alcanzable.</w:t>
      </w:r>
    </w:p>
    <w:p/>
    <w:p>
      <w:r>
        <w:rPr>
          <w:b/>
        </w:rPr>
        <w:t>Captura de referencia: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E3A8A"/>
        </w:rPr>
        <w:t>Criterio 2: Aplicar descuentos automáticamente en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GIVEN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THEN</w:t>
            </w:r>
          </w:p>
        </w:tc>
        <w:tc>
          <w:tcPr>
            <w:tcW w:type="dxa" w:w="7920"/>
          </w:tcPr>
          <w:p/>
        </w:tc>
      </w:tr>
    </w:tbl>
    <w:p/>
    <w:p>
      <w:r>
        <w:rPr>
          <w:b/>
        </w:rPr>
        <w:t xml:space="preserve">Descripción detallada: </w:t>
      </w:r>
      <w:r>
        <w:t>Verifica la Regla 2 de descuentos (DiscountService): el sistema cuenta las reservas CONFIRMED previas del cliente y, si son 3 o más, aplica un 10% de descuento sin que el cliente lo solicite ni pueda desactivarlo. El descuento debe quedar visible en el resumen de pago, con su porcentaje y descripción, antes de que el cliente ingrese los datos de la tarjeta — transparencia de descuentos (Épica 4, Regla 7).</w:t>
      </w:r>
    </w:p>
    <w:p/>
    <w:p>
      <w:r>
        <w:rPr>
          <w:b/>
        </w:rPr>
        <w:t>Captura de referencia: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E3A8A"/>
        </w:rPr>
        <w:t>Criterio 3: Validar restricciones de cupos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GIVEN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THEN</w:t>
            </w:r>
          </w:p>
        </w:tc>
        <w:tc>
          <w:tcPr>
            <w:tcW w:type="dxa" w:w="7920"/>
          </w:tcPr>
          <w:p/>
        </w:tc>
      </w:tr>
    </w:tbl>
    <w:p/>
    <w:p>
      <w:r>
        <w:rPr>
          <w:b/>
        </w:rPr>
        <w:t xml:space="preserve">Descripción detallada: </w:t>
      </w:r>
      <w:r>
        <w:t>Prueba el límite de capacidad (BookingService, Regla 4): un paquete nunca puede aceptar más pasajeros que cupos disponibles. La aplicación real implementa este rechazo en dos capas: el formulario de reserva bloquea el envío y muestra el mensaje de inmediato (prevención de errores, Heurística 5 de Nielsen — ver Documento 3), y el backend revalida la misma regla de forma independiente si la petición llegara a enviarse igual (defensa en profundidad).</w:t>
      </w:r>
    </w:p>
    <w:p/>
    <w:p>
      <w:r>
        <w:rPr>
          <w:b/>
        </w:rPr>
        <w:t>Captura de referencia: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E40AF"/>
        </w:rPr>
        <w:t>Épica 5 — Pagos</w:t>
      </w:r>
    </w:p>
    <w:p>
      <w:pPr>
        <w:pStyle w:val="Heading2"/>
      </w:pPr>
      <w:r>
        <w:rPr>
          <w:color w:val="1E3A8A"/>
        </w:rPr>
        <w:t>Criterio 1: Procesar pago exitoso y confirmar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GIVEN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THEN</w:t>
            </w:r>
          </w:p>
        </w:tc>
        <w:tc>
          <w:tcPr>
            <w:tcW w:type="dxa" w:w="7920"/>
          </w:tcPr>
          <w:p/>
        </w:tc>
      </w:tr>
    </w:tbl>
    <w:p/>
    <w:p>
      <w:r>
        <w:rPr>
          <w:b/>
        </w:rPr>
        <w:t xml:space="preserve">Descripción detallada: </w:t>
      </w:r>
      <w:r>
        <w:t>Cubre el cierre exitoso del flujo de compra (Épica 5, Reglas 6 y 10): con datos de tarjeta simulada válidos y un monto que coincide exactamente con el total de la reserva, el pago se registra como APPROVED, la reserva pasa de PENDING a CONFIRMED en la misma transacción, y el cliente ve un comprobante con los datos del viaje, el monto pagado y los últimos 4 dígitos de la tarjeta.</w:t>
      </w:r>
    </w:p>
    <w:p/>
    <w:p>
      <w:r>
        <w:rPr>
          <w:b/>
        </w:rPr>
        <w:t>Captura de referencia: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E3A8A"/>
        </w:rPr>
        <w:t>Criterio 2: Rechazar tarjeta expirada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GIVEN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THEN</w:t>
            </w:r>
          </w:p>
        </w:tc>
        <w:tc>
          <w:tcPr>
            <w:tcW w:type="dxa" w:w="7920"/>
          </w:tcPr>
          <w:p/>
        </w:tc>
      </w:tr>
    </w:tbl>
    <w:p/>
    <w:p>
      <w:r>
        <w:rPr>
          <w:b/>
        </w:rPr>
        <w:t xml:space="preserve">Descripción detallada: </w:t>
      </w:r>
      <w:r>
        <w:t>Valida una de las reglas de formato de tarjeta (Épica 5, Regla 9) que no puede expresarse con una expresión regular: que el mes/año de expiración no sea una fecha ya pasada. Esta comprobación ocurre en el servicio (PaymentService), comparando contra la fecha actual del sistema, y debe rechazar el pago sin confirmar la reserva ni registrar ningún cobro.</w:t>
      </w:r>
    </w:p>
    <w:p/>
    <w:p>
      <w:r>
        <w:rPr>
          <w:b/>
        </w:rPr>
        <w:t>Captura de referencia: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E3A8A"/>
        </w:rPr>
        <w:t>Criterio 3: Validar formato CVV de 3 dígitos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GIVEN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1584"/>
            <w:shd w:fill="1E40AF"/>
          </w:tcPr>
          <w:p>
            <w:r>
              <w:rPr>
                <w:b/>
                <w:color w:val="FFFFFF"/>
              </w:rPr>
              <w:t>THEN</w:t>
            </w:r>
          </w:p>
        </w:tc>
        <w:tc>
          <w:tcPr>
            <w:tcW w:type="dxa" w:w="7920"/>
          </w:tcPr>
          <w:p/>
        </w:tc>
      </w:tr>
    </w:tbl>
    <w:p/>
    <w:p>
      <w:r>
        <w:rPr>
          <w:b/>
        </w:rPr>
        <w:t xml:space="preserve">Descripción detallada: </w:t>
      </w:r>
      <w:r>
        <w:t>Valida el formato del CVV (Épica 5, Regla 9: @Pattern \\d{3}). En la aplicación real, el propio campo del formulario ya filtra cualquier carácter no numérico mientras el usuario escribe (prevención de errores en el cliente), así que el caso que efectivamente llega a validarse contra el backend es un CVV incompleto (menos de 3 dígitos, pero numérico) — el sistema debe rechazarlo con un mensaje específico, no genérico.</w:t>
      </w:r>
    </w:p>
    <w:p/>
    <w:p>
      <w:r>
        <w:rPr>
          <w:b/>
        </w:rPr>
        <w:t>Captura de referencia: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