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left"/>
      </w:pPr>
      <w:r>
        <w:rPr>
          <w:rFonts w:ascii="Arial" w:cs="Arial" w:eastAsia="Arial" w:hAnsi="Arial"/>
          <w:color w:val="686662"/>
          <w:spacing w:val="160"/>
          <w:sz w:val="18"/>
          <w:szCs w:val="18"/>
        </w:rPr>
        <w:t xml:space="preserve">HEXIS AI GOVERNANCE</w:t>
      </w:r>
    </w:p>
    <w:p>
      <w:pPr>
        <w:pBdr>
          <w:bottom w:val="single" w:color="B2986C" w:sz="6" w:space="12"/>
        </w:pBdr>
        <w:spacing w:after="400"/>
        <w:jc w:val="left"/>
      </w:pPr>
      <w:r>
        <w:rPr>
          <w:rFonts w:ascii="Georgia" w:cs="Georgia" w:eastAsia="Georgia" w:hAnsi="Georgia"/>
          <w:color w:val="1C1E23"/>
          <w:sz w:val="52"/>
          <w:szCs w:val="52"/>
        </w:rPr>
        <w:t xml:space="preserve">Stratejik Büyüme Analizi</w:t>
      </w:r>
    </w:p>
    <w:p>
      <w:pPr>
        <w:spacing w:after="80"/>
      </w:pPr>
      <w:r>
        <w:rPr>
          <w:rFonts w:ascii="Arial" w:cs="Arial" w:eastAsia="Arial" w:hAnsi="Arial"/>
          <w:color w:val="686662"/>
          <w:sz w:val="24"/>
          <w:szCs w:val="24"/>
        </w:rPr>
        <w:t xml:space="preserve">Sektör Analizi · Rekabet Haritası · 10 Yıllık Vizyon · Aksiyon Planı</w:t>
      </w:r>
    </w:p>
    <w:p>
      <w:pPr>
        <w:spacing w:before="2400"/>
      </w:pPr>
    </w:p>
    <w:p>
      <w:r>
        <w:rPr>
          <w:rFonts w:ascii="Arial" w:cs="Arial" w:eastAsia="Arial" w:hAnsi="Arial"/>
          <w:color w:val="686662"/>
          <w:sz w:val="20"/>
          <w:szCs w:val="20"/>
        </w:rPr>
        <w:t xml:space="preserve">Hazırlayan: Hexis Strateji Masası</w:t>
      </w:r>
    </w:p>
    <w:p>
      <w:r>
        <w:rPr>
          <w:rFonts w:ascii="Arial" w:cs="Arial" w:eastAsia="Arial" w:hAnsi="Arial"/>
          <w:color w:val="686662"/>
          <w:sz w:val="20"/>
          <w:szCs w:val="20"/>
        </w:rPr>
        <w:t xml:space="preserve">Tarih: 25 Mart 2026  |  Sınıflandırma: Dahili</w:t>
      </w:r>
    </w:p>
    <w:p>
      <w:pPr>
        <w:sectPr>
          <w:pgSz w:w="11906" w:h="16838" w:orient="portrait"/>
          <w:pgMar w:top="1440" w:right="1440" w:bottom="1440" w:left="1440" w:header="708" w:footer="708" w:gutter="0"/>
          <w:pgNumType/>
          <w:docGrid w:linePitch="360"/>
        </w:sectPr>
      </w:pPr>
    </w:p>
    <w:p>
      <w:pPr>
        <w:pStyle w:val="Heading1"/>
        <w:spacing w:after="200" w:before="400"/>
      </w:pPr>
      <w:r>
        <w:rPr>
          <w:rFonts w:ascii="Georgia" w:cs="Georgia" w:eastAsia="Georgia" w:hAnsi="Georgia"/>
          <w:b/>
          <w:bCs/>
          <w:color w:val="1C1E23"/>
          <w:sz w:val="32"/>
          <w:szCs w:val="32"/>
        </w:rPr>
        <w:t xml:space="preserve">Yönetici Özeti</w:t>
      </w:r>
    </w:p>
    <w:p>
      <w:pPr>
        <w:spacing w:after="160" w:line="276"/>
      </w:pPr>
      <w:r>
        <w:rPr>
          <w:rFonts w:ascii="Arial" w:cs="Arial" w:eastAsia="Arial" w:hAnsi="Arial"/>
          <w:color w:val="444240"/>
          <w:sz w:val="21"/>
          <w:szCs w:val="21"/>
        </w:rPr>
        <w:t xml:space="preserve">Bu doküman, Hexis AI Governance’ın sektördeki konumunu, rekabet ortamını ve gelir getiren, tanınan bir yapı haline gelmesi için atılması gereken somut adımları analiz etmektedir. Analiz; pazar büyüklüğü, rakip haritası, iç/dış faktörler, 10 yıllık sektör projeksiyonu ve önceliklendirilmiş aksiyon planını kapsamaktadır.</w:t>
      </w:r>
    </w:p>
    <w:p>
      <w:pPr>
        <w:spacing w:after="120" w:before="200"/>
      </w:pPr>
      <w:r>
        <w:rPr>
          <w:rFonts w:ascii="Arial" w:cs="Arial" w:eastAsia="Arial" w:hAnsi="Arial"/>
          <w:b/>
          <w:bCs/>
          <w:color w:val="1C1E23"/>
          <w:sz w:val="22"/>
          <w:szCs w:val="22"/>
        </w:rPr>
        <w:t xml:space="preserve">Temel Bulgular</w:t>
      </w:r>
    </w:p>
    <w:p>
      <w:pPr>
        <w:pStyle w:val="ListParagraph"/>
        <w:numPr>
          <w:ilvl w:val="0"/>
          <w:numId w:val="2"/>
        </w:numPr>
        <w:spacing w:after="80" w:line="276"/>
      </w:pPr>
      <w:r>
        <w:rPr>
          <w:rFonts w:ascii="Arial" w:cs="Arial" w:eastAsia="Arial" w:hAnsi="Arial"/>
          <w:b/>
          <w:bCs/>
          <w:color w:val="1C1E23"/>
          <w:sz w:val="21"/>
          <w:szCs w:val="21"/>
        </w:rPr>
        <w:t xml:space="preserve">Pazar fırsatı: </w:t>
      </w:r>
      <w:r>
        <w:rPr>
          <w:rFonts w:ascii="Arial" w:cs="Arial" w:eastAsia="Arial" w:hAnsi="Arial"/>
          <w:color w:val="444240"/>
          <w:sz w:val="21"/>
          <w:szCs w:val="21"/>
        </w:rPr>
        <w:t xml:space="preserve">AI governance pazarı 2025’te ~308M$, 2030’a kadar 1–1.4B$’a ulaşacak. KOBİ segmenti en hızlı büyüyen dilim.</w:t>
      </w:r>
    </w:p>
    <w:p>
      <w:pPr>
        <w:pStyle w:val="ListParagraph"/>
        <w:numPr>
          <w:ilvl w:val="0"/>
          <w:numId w:val="2"/>
        </w:numPr>
        <w:spacing w:after="80" w:line="276"/>
      </w:pPr>
      <w:r>
        <w:rPr>
          <w:rFonts w:ascii="Arial" w:cs="Arial" w:eastAsia="Arial" w:hAnsi="Arial"/>
          <w:b/>
          <w:bCs/>
          <w:color w:val="1C1E23"/>
          <w:sz w:val="21"/>
          <w:szCs w:val="21"/>
        </w:rPr>
        <w:t xml:space="preserve">Zamanlama avantajı: </w:t>
      </w:r>
      <w:r>
        <w:rPr>
          <w:rFonts w:ascii="Arial" w:cs="Arial" w:eastAsia="Arial" w:hAnsi="Arial"/>
          <w:color w:val="444240"/>
          <w:sz w:val="21"/>
          <w:szCs w:val="21"/>
        </w:rPr>
        <w:t xml:space="preserve">EU AI Act Annex III: Ağustos 2026. KOBİ’lerin yarısından fazlası henüz AI envanter çıkarmadı.</w:t>
      </w:r>
    </w:p>
    <w:p>
      <w:pPr>
        <w:pStyle w:val="ListParagraph"/>
        <w:numPr>
          <w:ilvl w:val="0"/>
          <w:numId w:val="2"/>
        </w:numPr>
        <w:spacing w:after="80" w:line="276"/>
      </w:pPr>
      <w:r>
        <w:rPr>
          <w:rFonts w:ascii="Arial" w:cs="Arial" w:eastAsia="Arial" w:hAnsi="Arial"/>
          <w:b/>
          <w:bCs/>
          <w:color w:val="1C1E23"/>
          <w:sz w:val="21"/>
          <w:szCs w:val="21"/>
        </w:rPr>
        <w:t xml:space="preserve">Rekabet boşluğu: </w:t>
      </w:r>
      <w:r>
        <w:rPr>
          <w:rFonts w:ascii="Arial" w:cs="Arial" w:eastAsia="Arial" w:hAnsi="Arial"/>
          <w:color w:val="444240"/>
          <w:sz w:val="21"/>
          <w:szCs w:val="21"/>
        </w:rPr>
        <w:t xml:space="preserve">Enterprise oyuncular 50K$+ fiyat bandlarında. KOBİ self-serve segmentinde ciddi boşluk var.</w:t>
      </w:r>
    </w:p>
    <w:p>
      <w:pPr>
        <w:pStyle w:val="ListParagraph"/>
        <w:numPr>
          <w:ilvl w:val="0"/>
          <w:numId w:val="2"/>
        </w:numPr>
        <w:spacing w:after="80" w:line="276"/>
      </w:pPr>
      <w:r>
        <w:rPr>
          <w:rFonts w:ascii="Arial" w:cs="Arial" w:eastAsia="Arial" w:hAnsi="Arial"/>
          <w:b/>
          <w:bCs/>
          <w:color w:val="1C1E23"/>
          <w:sz w:val="21"/>
          <w:szCs w:val="21"/>
        </w:rPr>
        <w:t xml:space="preserve">Hexis avantajı: </w:t>
      </w:r>
      <w:r>
        <w:rPr>
          <w:rFonts w:ascii="Arial" w:cs="Arial" w:eastAsia="Arial" w:hAnsi="Arial"/>
          <w:color w:val="444240"/>
          <w:sz w:val="21"/>
          <w:szCs w:val="21"/>
        </w:rPr>
        <w:t xml:space="preserve">ORIENT metodolojisi, ISO 42001, canlı ücretsiz araçlar. Sıfırdan başlamıyoruz.</w:t>
      </w:r>
    </w:p>
    <w:p>
      <w:pPr>
        <w:pStyle w:val="ListParagraph"/>
        <w:numPr>
          <w:ilvl w:val="0"/>
          <w:numId w:val="2"/>
        </w:numPr>
        <w:spacing w:after="80" w:line="276"/>
      </w:pPr>
      <w:r>
        <w:rPr>
          <w:rFonts w:ascii="Arial" w:cs="Arial" w:eastAsia="Arial" w:hAnsi="Arial"/>
          <w:b/>
          <w:bCs/>
          <w:color w:val="1C1E23"/>
          <w:sz w:val="21"/>
          <w:szCs w:val="21"/>
        </w:rPr>
        <w:t xml:space="preserve">10 yıllık projeksiyon: </w:t>
      </w:r>
      <w:r>
        <w:rPr>
          <w:rFonts w:ascii="Arial" w:cs="Arial" w:eastAsia="Arial" w:hAnsi="Arial"/>
          <w:color w:val="444240"/>
          <w:sz w:val="21"/>
          <w:szCs w:val="21"/>
        </w:rPr>
        <w:t xml:space="preserve">AI governance, 2036’ya kadar tüm sektörlerde zorunlu, otonom ve küresel standartlaşmış olacak.</w:t>
      </w:r>
    </w:p>
    <w:p>
      <w:pPr>
        <w:pBdr>
          <w:bottom w:val="single" w:color="B2986C" w:sz="4" w:space="8"/>
        </w:pBdr>
        <w:spacing w:after="200" w:before="200"/>
      </w:pPr>
    </w:p>
    <w:p>
      <w:pPr>
        <w:pStyle w:val="Heading1"/>
        <w:spacing w:after="200" w:before="400"/>
      </w:pPr>
      <w:r>
        <w:rPr>
          <w:rFonts w:ascii="Georgia" w:cs="Georgia" w:eastAsia="Georgia" w:hAnsi="Georgia"/>
          <w:b/>
          <w:bCs/>
          <w:color w:val="1C1E23"/>
          <w:sz w:val="32"/>
          <w:szCs w:val="32"/>
        </w:rPr>
        <w:t xml:space="preserve">1. Sektör Analizi: AI Governance Pazarı</w:t>
      </w:r>
    </w:p>
    <w:p>
      <w:pPr>
        <w:pStyle w:val="Heading2"/>
        <w:spacing w:after="160" w:before="300"/>
      </w:pPr>
      <w:r>
        <w:rPr>
          <w:rFonts w:ascii="Georgia" w:cs="Georgia" w:eastAsia="Georgia" w:hAnsi="Georgia"/>
          <w:b/>
          <w:bCs/>
          <w:color w:val="1C1E23"/>
          <w:sz w:val="26"/>
          <w:szCs w:val="26"/>
        </w:rPr>
        <w:t xml:space="preserve">1.1 Pazar Büyüklüğü ve Büyüme</w:t>
      </w:r>
    </w:p>
    <w:p>
      <w:pPr>
        <w:spacing w:after="160" w:line="276"/>
      </w:pPr>
      <w:r>
        <w:rPr>
          <w:rFonts w:ascii="Arial" w:cs="Arial" w:eastAsia="Arial" w:hAnsi="Arial"/>
          <w:color w:val="444240"/>
          <w:sz w:val="21"/>
          <w:szCs w:val="21"/>
        </w:rPr>
        <w:t xml:space="preserve">Global AI governance pazarı hızlı büyüme göstermektedir: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026"/>
        <w:gridCol w:w="1400"/>
      </w:tblGrid>
      <w:tr>
        <w:tc>
          <w:tcPr>
            <w:tcW w:type="dxa" w:w="18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Kaynak</w:t>
            </w:r>
          </w:p>
        </w:tc>
        <w:tc>
          <w:tcPr>
            <w:tcW w:type="dxa" w:w="14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2025</w:t>
            </w:r>
          </w:p>
        </w:tc>
        <w:tc>
          <w:tcPr>
            <w:tcW w:type="dxa" w:w="14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2026</w:t>
            </w:r>
          </w:p>
        </w:tc>
        <w:tc>
          <w:tcPr>
            <w:tcW w:type="dxa" w:w="2026"/>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2030</w:t>
            </w:r>
          </w:p>
        </w:tc>
        <w:tc>
          <w:tcPr>
            <w:tcW w:type="dxa" w:w="14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CAGR</w:t>
            </w:r>
          </w:p>
        </w:tc>
      </w:tr>
      <w:tr>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MarketsandMarkets</w:t>
            </w:r>
          </w:p>
        </w:tc>
        <w:tc>
          <w:tcPr>
            <w:tcW w:type="dxa" w:w="1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~308M$</w:t>
            </w:r>
          </w:p>
        </w:tc>
        <w:tc>
          <w:tcPr>
            <w:tcW w:type="dxa" w:w="1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~418M$</w:t>
            </w:r>
          </w:p>
        </w:tc>
        <w:tc>
          <w:tcPr>
            <w:tcW w:type="dxa" w:w="2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~1.4B$</w:t>
            </w:r>
          </w:p>
        </w:tc>
        <w:tc>
          <w:tcPr>
            <w:tcW w:type="dxa" w:w="1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%35+</w:t>
            </w:r>
          </w:p>
        </w:tc>
      </w:tr>
      <w:tr>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Gartner</w:t>
            </w:r>
          </w:p>
        </w:tc>
        <w:tc>
          <w:tcPr>
            <w:tcW w:type="dxa" w:w="1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w:t>
            </w:r>
          </w:p>
        </w:tc>
        <w:tc>
          <w:tcPr>
            <w:tcW w:type="dxa" w:w="1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~492M$</w:t>
            </w:r>
          </w:p>
        </w:tc>
        <w:tc>
          <w:tcPr>
            <w:tcW w:type="dxa" w:w="2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&gt;1B$</w:t>
            </w:r>
          </w:p>
        </w:tc>
        <w:tc>
          <w:tcPr>
            <w:tcW w:type="dxa" w:w="1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w:t>
            </w:r>
          </w:p>
        </w:tc>
      </w:tr>
      <w:tr>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Precedence Research</w:t>
            </w:r>
          </w:p>
        </w:tc>
        <w:tc>
          <w:tcPr>
            <w:tcW w:type="dxa" w:w="1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w:t>
            </w:r>
          </w:p>
        </w:tc>
        <w:tc>
          <w:tcPr>
            <w:tcW w:type="dxa" w:w="1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w:t>
            </w:r>
          </w:p>
        </w:tc>
        <w:tc>
          <w:tcPr>
            <w:tcW w:type="dxa" w:w="2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~4.8B$</w:t>
            </w:r>
          </w:p>
        </w:tc>
        <w:tc>
          <w:tcPr>
            <w:tcW w:type="dxa" w:w="1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%51</w:t>
            </w:r>
          </w:p>
        </w:tc>
      </w:tr>
    </w:tbl>
    <w:p>
      <w:pPr>
        <w:spacing w:after="160" w:line="276"/>
      </w:pPr>
      <w:r>
        <w:rPr>
          <w:rFonts w:ascii="Arial" w:cs="Arial" w:eastAsia="Arial" w:hAnsi="Arial"/>
          <w:color w:val="444240"/>
          <w:sz w:val="21"/>
          <w:szCs w:val="21"/>
        </w:rPr>
        <w:t xml:space="preserve">Not: Hexis’in hedeflediği regulatory compliance tools alt segmenti 2026’da ~200–400M$ aralığında değerlendirilmektedir.</w:t>
      </w:r>
    </w:p>
    <w:p>
      <w:pPr>
        <w:pStyle w:val="Heading2"/>
        <w:spacing w:after="160" w:before="300"/>
      </w:pPr>
      <w:r>
        <w:rPr>
          <w:rFonts w:ascii="Georgia" w:cs="Georgia" w:eastAsia="Georgia" w:hAnsi="Georgia"/>
          <w:b/>
          <w:bCs/>
          <w:color w:val="1C1E23"/>
          <w:sz w:val="26"/>
          <w:szCs w:val="26"/>
        </w:rPr>
        <w:t xml:space="preserve">1.2 KOBİ Segmenti</w:t>
      </w:r>
    </w:p>
    <w:p>
      <w:pPr>
        <w:spacing w:after="160" w:line="276"/>
      </w:pPr>
      <w:r>
        <w:rPr>
          <w:rFonts w:ascii="Arial" w:cs="Arial" w:eastAsia="Arial" w:hAnsi="Arial"/>
          <w:color w:val="444240"/>
          <w:sz w:val="21"/>
          <w:szCs w:val="21"/>
        </w:rPr>
        <w:t xml:space="preserve">Büyük kuruluşlar 2024’te pazar payının %71.4’ünü elinde tutuyor. Ancak KOBİ segmenti en yüksek CAGR’a sahip:</w:t>
      </w:r>
    </w:p>
    <w:p>
      <w:pPr>
        <w:pStyle w:val="ListParagraph"/>
        <w:numPr>
          <w:ilvl w:val="0"/>
          <w:numId w:val="2"/>
        </w:numPr>
        <w:spacing w:after="80" w:line="276"/>
      </w:pPr>
      <w:r>
        <w:rPr>
          <w:rFonts w:ascii="Arial" w:cs="Arial" w:eastAsia="Arial" w:hAnsi="Arial"/>
          <w:b/>
          <w:bCs/>
          <w:color w:val="1C1E23"/>
          <w:sz w:val="21"/>
          <w:szCs w:val="21"/>
        </w:rPr>
        <w:t xml:space="preserve">Uyum baskısı: </w:t>
      </w:r>
      <w:r>
        <w:rPr>
          <w:rFonts w:ascii="Arial" w:cs="Arial" w:eastAsia="Arial" w:hAnsi="Arial"/>
          <w:color w:val="444240"/>
          <w:sz w:val="21"/>
          <w:szCs w:val="21"/>
        </w:rPr>
        <w:t xml:space="preserve">AB KOBİ’lerinin %17’si AI kullanıyor (büyük işletmelerde %55). Uyum yükümlülüğü yeni.</w:t>
      </w:r>
    </w:p>
    <w:p>
      <w:pPr>
        <w:pStyle w:val="ListParagraph"/>
        <w:numPr>
          <w:ilvl w:val="0"/>
          <w:numId w:val="2"/>
        </w:numPr>
        <w:spacing w:after="80" w:line="276"/>
      </w:pPr>
      <w:r>
        <w:rPr>
          <w:rFonts w:ascii="Arial" w:cs="Arial" w:eastAsia="Arial" w:hAnsi="Arial"/>
          <w:b/>
          <w:bCs/>
          <w:color w:val="1C1E23"/>
          <w:sz w:val="21"/>
          <w:szCs w:val="21"/>
        </w:rPr>
        <w:t xml:space="preserve">Maliyet hassasiyeti: </w:t>
      </w:r>
      <w:r>
        <w:rPr>
          <w:rFonts w:ascii="Arial" w:cs="Arial" w:eastAsia="Arial" w:hAnsi="Arial"/>
          <w:color w:val="444240"/>
          <w:sz w:val="21"/>
          <w:szCs w:val="21"/>
        </w:rPr>
        <w:t xml:space="preserve">Enterprise araçlar 50–200K$/yıl. KOBİ’ler bu bütcelere sahip değil.</w:t>
      </w:r>
    </w:p>
    <w:p>
      <w:pPr>
        <w:pStyle w:val="ListParagraph"/>
        <w:numPr>
          <w:ilvl w:val="0"/>
          <w:numId w:val="2"/>
        </w:numPr>
        <w:spacing w:after="80" w:line="276"/>
      </w:pPr>
      <w:r>
        <w:rPr>
          <w:rFonts w:ascii="Arial" w:cs="Arial" w:eastAsia="Arial" w:hAnsi="Arial"/>
          <w:b/>
          <w:bCs/>
          <w:color w:val="1C1E23"/>
          <w:sz w:val="21"/>
          <w:szCs w:val="21"/>
        </w:rPr>
        <w:t xml:space="preserve">Self-serve talep: </w:t>
      </w:r>
      <w:r>
        <w:rPr>
          <w:rFonts w:ascii="Arial" w:cs="Arial" w:eastAsia="Arial" w:hAnsi="Arial"/>
          <w:color w:val="444240"/>
          <w:sz w:val="21"/>
          <w:szCs w:val="21"/>
        </w:rPr>
        <w:t xml:space="preserve">DPO/compliance officer tek başına, satış görüşmesi istemiyor.</w:t>
      </w:r>
    </w:p>
    <w:p>
      <w:pPr>
        <w:pStyle w:val="Heading2"/>
        <w:spacing w:after="160" w:before="300"/>
      </w:pPr>
      <w:r>
        <w:rPr>
          <w:rFonts w:ascii="Georgia" w:cs="Georgia" w:eastAsia="Georgia" w:hAnsi="Georgia"/>
          <w:b/>
          <w:bCs/>
          <w:color w:val="1C1E23"/>
          <w:sz w:val="26"/>
          <w:szCs w:val="26"/>
        </w:rPr>
        <w:t xml:space="preserve">1.3 Pazar Trendleri</w:t>
      </w:r>
    </w:p>
    <w:p>
      <w:pPr>
        <w:pStyle w:val="ListParagraph"/>
        <w:numPr>
          <w:ilvl w:val="0"/>
          <w:numId w:val="2"/>
        </w:numPr>
        <w:spacing w:after="80" w:line="276"/>
      </w:pPr>
      <w:r>
        <w:rPr>
          <w:rFonts w:ascii="Arial" w:cs="Arial" w:eastAsia="Arial" w:hAnsi="Arial"/>
          <w:b/>
          <w:bCs/>
          <w:color w:val="1C1E23"/>
          <w:sz w:val="21"/>
          <w:szCs w:val="21"/>
        </w:rPr>
        <w:t xml:space="preserve">Ağustos 2026 deadline etkisi: </w:t>
      </w:r>
      <w:r>
        <w:rPr>
          <w:rFonts w:ascii="Arial" w:cs="Arial" w:eastAsia="Arial" w:hAnsi="Arial"/>
          <w:color w:val="444240"/>
          <w:sz w:val="21"/>
          <w:szCs w:val="21"/>
        </w:rPr>
        <w:t xml:space="preserve">Annex III aciliyet yaratıyor. Şirketlerin yarısı AI envanteri bile çıkarmamış.</w:t>
      </w:r>
    </w:p>
    <w:p>
      <w:pPr>
        <w:pStyle w:val="ListParagraph"/>
        <w:numPr>
          <w:ilvl w:val="0"/>
          <w:numId w:val="2"/>
        </w:numPr>
        <w:spacing w:after="80" w:line="276"/>
      </w:pPr>
      <w:r>
        <w:rPr>
          <w:rFonts w:ascii="Arial" w:cs="Arial" w:eastAsia="Arial" w:hAnsi="Arial"/>
          <w:b/>
          <w:bCs/>
          <w:color w:val="1C1E23"/>
          <w:sz w:val="21"/>
          <w:szCs w:val="21"/>
        </w:rPr>
        <w:t xml:space="preserve">GRC platformlarının AI eklentisi: </w:t>
      </w:r>
      <w:r>
        <w:rPr>
          <w:rFonts w:ascii="Arial" w:cs="Arial" w:eastAsia="Arial" w:hAnsi="Arial"/>
          <w:color w:val="444240"/>
          <w:sz w:val="21"/>
          <w:szCs w:val="21"/>
        </w:rPr>
        <w:t xml:space="preserve">ServiceNow, OneTrust, Archer AI governance modülü ekliyor.</w:t>
      </w:r>
    </w:p>
    <w:p>
      <w:pPr>
        <w:pStyle w:val="ListParagraph"/>
        <w:numPr>
          <w:ilvl w:val="0"/>
          <w:numId w:val="2"/>
        </w:numPr>
        <w:spacing w:after="80" w:line="276"/>
      </w:pPr>
      <w:r>
        <w:rPr>
          <w:rFonts w:ascii="Arial" w:cs="Arial" w:eastAsia="Arial" w:hAnsi="Arial"/>
          <w:b/>
          <w:bCs/>
          <w:color w:val="1C1E23"/>
          <w:sz w:val="21"/>
          <w:szCs w:val="21"/>
        </w:rPr>
        <w:t xml:space="preserve">Solo SaaS dönemi: </w:t>
      </w:r>
      <w:r>
        <w:rPr>
          <w:rFonts w:ascii="Arial" w:cs="Arial" w:eastAsia="Arial" w:hAnsi="Arial"/>
          <w:color w:val="444240"/>
          <w:sz w:val="21"/>
          <w:szCs w:val="21"/>
        </w:rPr>
        <w:t xml:space="preserve">AI ile tek kişi milyonluk SaaS çalıştırabiliyor. Maliyetler %95 düştü.</w:t>
      </w:r>
    </w:p>
    <w:p>
      <w:pPr>
        <w:pStyle w:val="ListParagraph"/>
        <w:numPr>
          <w:ilvl w:val="0"/>
          <w:numId w:val="2"/>
        </w:numPr>
        <w:spacing w:after="80" w:line="276"/>
      </w:pPr>
      <w:r>
        <w:rPr>
          <w:rFonts w:ascii="Arial" w:cs="Arial" w:eastAsia="Arial" w:hAnsi="Arial"/>
          <w:b/>
          <w:bCs/>
          <w:color w:val="1C1E23"/>
          <w:sz w:val="21"/>
          <w:szCs w:val="21"/>
        </w:rPr>
        <w:t xml:space="preserve">Digital Omnibus belirsizliği: </w:t>
      </w:r>
      <w:r>
        <w:rPr>
          <w:rFonts w:ascii="Arial" w:cs="Arial" w:eastAsia="Arial" w:hAnsi="Arial"/>
          <w:color w:val="444240"/>
          <w:sz w:val="21"/>
          <w:szCs w:val="21"/>
        </w:rPr>
        <w:t xml:space="preserve">Deadline uzatma teklifi var ama uyum hazırlığı ertelenemez.</w:t>
      </w:r>
    </w:p>
    <w:p>
      <w:pPr>
        <w:pBdr>
          <w:bottom w:val="single" w:color="B2986C" w:sz="4" w:space="8"/>
        </w:pBdr>
        <w:spacing w:after="200" w:before="200"/>
      </w:pPr>
    </w:p>
    <w:p>
      <w:pPr>
        <w:pStyle w:val="Heading1"/>
        <w:spacing w:after="200" w:before="400"/>
      </w:pPr>
      <w:r>
        <w:rPr>
          <w:rFonts w:ascii="Georgia" w:cs="Georgia" w:eastAsia="Georgia" w:hAnsi="Georgia"/>
          <w:b/>
          <w:bCs/>
          <w:color w:val="1C1E23"/>
          <w:sz w:val="32"/>
          <w:szCs w:val="32"/>
        </w:rPr>
        <w:t xml:space="preserve">2. Rekabet Haritası</w:t>
      </w:r>
    </w:p>
    <w:p>
      <w:pPr>
        <w:pStyle w:val="Heading2"/>
        <w:spacing w:after="160" w:before="300"/>
      </w:pPr>
      <w:r>
        <w:rPr>
          <w:rFonts w:ascii="Georgia" w:cs="Georgia" w:eastAsia="Georgia" w:hAnsi="Georgia"/>
          <w:b/>
          <w:bCs/>
          <w:color w:val="1C1E23"/>
          <w:sz w:val="26"/>
          <w:szCs w:val="26"/>
        </w:rPr>
        <w:t xml:space="preserve">2.1 Enterprise Oyuncular (Dolaylı Rakip)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26"/>
        <w:gridCol w:w="2400"/>
      </w:tblGrid>
      <w:tr>
        <w:tc>
          <w:tcPr>
            <w:tcW w:type="dxa" w:w="18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28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Odak</w:t>
            </w:r>
          </w:p>
        </w:tc>
        <w:tc>
          <w:tcPr>
            <w:tcW w:type="dxa" w:w="2026"/>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Hedef</w:t>
            </w:r>
          </w:p>
        </w:tc>
        <w:tc>
          <w:tcPr>
            <w:tcW w:type="dxa" w:w="24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Fiyat</w:t>
            </w:r>
          </w:p>
        </w:tc>
      </w:tr>
      <w:tr>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Credo AI</w:t>
            </w:r>
          </w:p>
        </w:tc>
        <w:tc>
          <w:tcPr>
            <w:tcW w:type="dxa" w:w="2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AI governance, EU AI Act policy</w:t>
            </w:r>
          </w:p>
        </w:tc>
        <w:tc>
          <w:tcPr>
            <w:tcW w:type="dxa" w:w="2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Enterprise</w:t>
            </w:r>
          </w:p>
        </w:tc>
        <w:tc>
          <w:tcPr>
            <w:tcW w:type="dxa" w:w="2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~50K$+/yıl</w:t>
            </w:r>
          </w:p>
        </w:tc>
      </w:tr>
      <w:tr>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Holistic AI</w:t>
            </w:r>
          </w:p>
        </w:tc>
        <w:tc>
          <w:tcPr>
            <w:tcW w:type="dxa" w:w="2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Provider + deployer uyumu</w:t>
            </w:r>
          </w:p>
        </w:tc>
        <w:tc>
          <w:tcPr>
            <w:tcW w:type="dxa" w:w="2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Enterprise/Mid</w:t>
            </w:r>
          </w:p>
        </w:tc>
        <w:tc>
          <w:tcPr>
            <w:tcW w:type="dxa" w:w="2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Teklif bazlı</w:t>
            </w:r>
          </w:p>
        </w:tc>
      </w:tr>
      <w:tr>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OneTrust</w:t>
            </w:r>
          </w:p>
        </w:tc>
        <w:tc>
          <w:tcPr>
            <w:tcW w:type="dxa" w:w="2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Geniş GRC + AI modülü</w:t>
            </w:r>
          </w:p>
        </w:tc>
        <w:tc>
          <w:tcPr>
            <w:tcW w:type="dxa" w:w="2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Enterprise</w:t>
            </w:r>
          </w:p>
        </w:tc>
        <w:tc>
          <w:tcPr>
            <w:tcW w:type="dxa" w:w="2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50–200K$/yıl</w:t>
            </w:r>
          </w:p>
        </w:tc>
      </w:tr>
      <w:tr>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ServiceNow GRC</w:t>
            </w:r>
          </w:p>
        </w:tc>
        <w:tc>
          <w:tcPr>
            <w:tcW w:type="dxa" w:w="2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IT ops + uyum</w:t>
            </w:r>
          </w:p>
        </w:tc>
        <w:tc>
          <w:tcPr>
            <w:tcW w:type="dxa" w:w="2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Büyük kurumsal</w:t>
            </w:r>
          </w:p>
        </w:tc>
        <w:tc>
          <w:tcPr>
            <w:tcW w:type="dxa" w:w="2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100K$+/yıl</w:t>
            </w:r>
          </w:p>
        </w:tc>
      </w:tr>
    </w:tbl>
    <w:p>
      <w:pPr>
        <w:pStyle w:val="Heading2"/>
        <w:spacing w:after="160" w:before="300"/>
      </w:pPr>
      <w:r>
        <w:rPr>
          <w:rFonts w:ascii="Georgia" w:cs="Georgia" w:eastAsia="Georgia" w:hAnsi="Georgia"/>
          <w:b/>
          <w:bCs/>
          <w:color w:val="1C1E23"/>
          <w:sz w:val="26"/>
          <w:szCs w:val="26"/>
        </w:rPr>
        <w:t xml:space="preserve">2.2 KOBİ Segmenti (Doğrudan Rakip)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26"/>
        <w:gridCol w:w="2400"/>
      </w:tblGrid>
      <w:tr>
        <w:tc>
          <w:tcPr>
            <w:tcW w:type="dxa" w:w="18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28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Özellik</w:t>
            </w:r>
          </w:p>
        </w:tc>
        <w:tc>
          <w:tcPr>
            <w:tcW w:type="dxa" w:w="2026"/>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Fiyat</w:t>
            </w:r>
          </w:p>
        </w:tc>
        <w:tc>
          <w:tcPr>
            <w:tcW w:type="dxa" w:w="24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Zayıf Nokta</w:t>
            </w:r>
          </w:p>
        </w:tc>
      </w:tr>
      <w:tr>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ComplyACT AI</w:t>
            </w:r>
          </w:p>
        </w:tc>
        <w:tc>
          <w:tcPr>
            <w:tcW w:type="dxa" w:w="2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30dk uyum değerlendirmesi</w:t>
            </w:r>
          </w:p>
        </w:tc>
        <w:tc>
          <w:tcPr>
            <w:tcW w:type="dxa" w:w="2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Belirtilmemiş</w:t>
            </w:r>
          </w:p>
        </w:tc>
        <w:tc>
          <w:tcPr>
            <w:tcW w:type="dxa" w:w="2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Metodoloji yok</w:t>
            </w:r>
          </w:p>
        </w:tc>
      </w:tr>
      <w:tr>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VenVera</w:t>
            </w:r>
          </w:p>
        </w:tc>
        <w:tc>
          <w:tcPr>
            <w:tcW w:type="dxa" w:w="2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DORA + AI Act entegrasyon</w:t>
            </w:r>
          </w:p>
        </w:tc>
        <w:tc>
          <w:tcPr>
            <w:tcW w:type="dxa" w:w="2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Belirtilmemiş</w:t>
            </w:r>
          </w:p>
        </w:tc>
        <w:tc>
          <w:tcPr>
            <w:tcW w:type="dxa" w:w="2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DORA odaklı</w:t>
            </w:r>
          </w:p>
        </w:tc>
      </w:tr>
      <w:tr>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Etsy şablon satıcıları</w:t>
            </w:r>
          </w:p>
        </w:tc>
        <w:tc>
          <w:tcPr>
            <w:tcW w:type="dxa" w:w="2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Generic template</w:t>
            </w:r>
          </w:p>
        </w:tc>
        <w:tc>
          <w:tcPr>
            <w:tcW w:type="dxa" w:w="2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29–499$</w:t>
            </w:r>
          </w:p>
        </w:tc>
        <w:tc>
          <w:tcPr>
            <w:tcW w:type="dxa" w:w="24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Sertifikasız</w:t>
            </w:r>
          </w:p>
        </w:tc>
      </w:tr>
    </w:tbl>
    <w:p>
      <w:pPr>
        <w:spacing w:after="160" w:line="276"/>
      </w:pPr>
      <w:r>
        <w:rPr>
          <w:rFonts w:ascii="Arial" w:cs="Arial" w:eastAsia="Arial" w:hAnsi="Arial"/>
          <w:color w:val="444240"/>
          <w:sz w:val="21"/>
          <w:szCs w:val="21"/>
        </w:rPr>
        <w:t xml:space="preserve">Kritik tespit: KOBİ segmentinde sertifikalı uzman + özgün metodoloji + self-serve SaaS sunan rakip yok. Bu, Hexis’in fırsatıdır.</w:t>
      </w:r>
    </w:p>
    <w:p>
      <w:pPr>
        <w:pStyle w:val="Heading2"/>
        <w:spacing w:after="160" w:before="300"/>
      </w:pPr>
      <w:r>
        <w:rPr>
          <w:rFonts w:ascii="Georgia" w:cs="Georgia" w:eastAsia="Georgia" w:hAnsi="Georgia"/>
          <w:b/>
          <w:bCs/>
          <w:color w:val="1C1E23"/>
          <w:sz w:val="26"/>
          <w:szCs w:val="26"/>
        </w:rPr>
        <w:t xml:space="preserve">2.3 Hexis Rekabet Matrisi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c>
          <w:tcPr>
            <w:tcW w:type="dxa" w:w="22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Özellik</w:t>
            </w:r>
          </w:p>
        </w:tc>
        <w:tc>
          <w:tcPr>
            <w:tcW w:type="dxa" w:w="22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Enterprise</w:t>
            </w:r>
          </w:p>
        </w:tc>
        <w:tc>
          <w:tcPr>
            <w:tcW w:type="dxa" w:w="22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Generic</w:t>
            </w:r>
          </w:p>
        </w:tc>
        <w:tc>
          <w:tcPr>
            <w:tcW w:type="dxa" w:w="2426"/>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HEXIS</w:t>
            </w:r>
          </w:p>
        </w:tc>
      </w:tr>
      <w:tr>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Özgün metodoloji</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Kısmen</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Yok</w:t>
            </w:r>
          </w:p>
        </w:tc>
        <w:tc>
          <w:tcPr>
            <w:tcW w:type="dxa" w:w="24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ORIENT v0.2.1</w:t>
            </w:r>
          </w:p>
        </w:tc>
      </w:tr>
      <w:tr>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Sertifika</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Takım</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Yok</w:t>
            </w:r>
          </w:p>
        </w:tc>
        <w:tc>
          <w:tcPr>
            <w:tcW w:type="dxa" w:w="24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ISO 42001 + IAPP</w:t>
            </w:r>
          </w:p>
        </w:tc>
      </w:tr>
      <w:tr>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KOBİ fiyatı</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50K$+</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29–499$</w:t>
            </w:r>
          </w:p>
        </w:tc>
        <w:tc>
          <w:tcPr>
            <w:tcW w:type="dxa" w:w="24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€29/ay</w:t>
            </w:r>
          </w:p>
        </w:tc>
      </w:tr>
      <w:tr>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Self-serve SaaS</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Kısmen</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Yok</w:t>
            </w:r>
          </w:p>
        </w:tc>
        <w:tc>
          <w:tcPr>
            <w:tcW w:type="dxa" w:w="24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Plan: app.hexis.center</w:t>
            </w:r>
          </w:p>
        </w:tc>
      </w:tr>
      <w:tr>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AI tavsiye</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Var</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Yok</w:t>
            </w:r>
          </w:p>
        </w:tc>
        <w:tc>
          <w:tcPr>
            <w:tcW w:type="dxa" w:w="24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Plan: Claude API</w:t>
            </w:r>
          </w:p>
        </w:tc>
      </w:tr>
      <w:tr>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KVKK</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Yok</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Yok</w:t>
            </w:r>
          </w:p>
        </w:tc>
        <w:tc>
          <w:tcPr>
            <w:tcW w:type="dxa" w:w="24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Roadmap</w:t>
            </w:r>
          </w:p>
        </w:tc>
      </w:tr>
    </w:tbl>
    <w:p>
      <w:pPr>
        <w:pBdr>
          <w:bottom w:val="single" w:color="B2986C" w:sz="4" w:space="8"/>
        </w:pBdr>
        <w:spacing w:after="200" w:before="200"/>
      </w:pPr>
    </w:p>
    <w:p>
      <w:pPr>
        <w:pStyle w:val="Heading1"/>
        <w:spacing w:after="200" w:before="400"/>
      </w:pPr>
      <w:r>
        <w:rPr>
          <w:rFonts w:ascii="Georgia" w:cs="Georgia" w:eastAsia="Georgia" w:hAnsi="Georgia"/>
          <w:b/>
          <w:bCs/>
          <w:color w:val="1C1E23"/>
          <w:sz w:val="32"/>
          <w:szCs w:val="32"/>
        </w:rPr>
        <w:t xml:space="preserve">3. İç Faktör Analizi</w:t>
      </w:r>
    </w:p>
    <w:p>
      <w:pPr>
        <w:pStyle w:val="Heading2"/>
        <w:spacing w:after="160" w:before="300"/>
      </w:pPr>
      <w:r>
        <w:rPr>
          <w:rFonts w:ascii="Georgia" w:cs="Georgia" w:eastAsia="Georgia" w:hAnsi="Georgia"/>
          <w:b/>
          <w:bCs/>
          <w:color w:val="1C1E23"/>
          <w:sz w:val="26"/>
          <w:szCs w:val="26"/>
        </w:rPr>
        <w:t xml:space="preserve">3.1 Güçlü Yönler</w:t>
      </w:r>
    </w:p>
    <w:p>
      <w:pPr>
        <w:pStyle w:val="ListParagraph"/>
        <w:numPr>
          <w:ilvl w:val="0"/>
          <w:numId w:val="2"/>
        </w:numPr>
        <w:spacing w:after="80" w:line="276"/>
      </w:pPr>
      <w:r>
        <w:rPr>
          <w:rFonts w:ascii="Arial" w:cs="Arial" w:eastAsia="Arial" w:hAnsi="Arial"/>
          <w:b/>
          <w:bCs/>
          <w:color w:val="1C1E23"/>
          <w:sz w:val="21"/>
          <w:szCs w:val="21"/>
        </w:rPr>
        <w:t xml:space="preserve">ORIENT metodolojisi: </w:t>
      </w:r>
      <w:r>
        <w:rPr>
          <w:rFonts w:ascii="Arial" w:cs="Arial" w:eastAsia="Arial" w:hAnsi="Arial"/>
          <w:color w:val="444240"/>
          <w:sz w:val="21"/>
          <w:szCs w:val="21"/>
        </w:rPr>
        <w:t xml:space="preserve">Özgün fikri mülkiyet. 6 aşamalı yapı hem eğitim hem ürün için kullanılabilir.</w:t>
      </w:r>
    </w:p>
    <w:p>
      <w:pPr>
        <w:pStyle w:val="ListParagraph"/>
        <w:numPr>
          <w:ilvl w:val="0"/>
          <w:numId w:val="2"/>
        </w:numPr>
        <w:spacing w:after="80" w:line="276"/>
      </w:pPr>
      <w:r>
        <w:rPr>
          <w:rFonts w:ascii="Arial" w:cs="Arial" w:eastAsia="Arial" w:hAnsi="Arial"/>
          <w:b/>
          <w:bCs/>
          <w:color w:val="1C1E23"/>
          <w:sz w:val="21"/>
          <w:szCs w:val="21"/>
        </w:rPr>
        <w:t xml:space="preserve">Sertifika: </w:t>
      </w:r>
      <w:r>
        <w:rPr>
          <w:rFonts w:ascii="Arial" w:cs="Arial" w:eastAsia="Arial" w:hAnsi="Arial"/>
          <w:color w:val="444240"/>
          <w:sz w:val="21"/>
          <w:szCs w:val="21"/>
        </w:rPr>
        <w:t xml:space="preserve">ISO/IEC 42001 Lead Implementer + IAPP AIGP (aday). KOBİ segmentinde nadir.</w:t>
      </w:r>
    </w:p>
    <w:p>
      <w:pPr>
        <w:pStyle w:val="ListParagraph"/>
        <w:numPr>
          <w:ilvl w:val="0"/>
          <w:numId w:val="2"/>
        </w:numPr>
        <w:spacing w:after="80" w:line="276"/>
      </w:pPr>
      <w:r>
        <w:rPr>
          <w:rFonts w:ascii="Arial" w:cs="Arial" w:eastAsia="Arial" w:hAnsi="Arial"/>
          <w:b/>
          <w:bCs/>
          <w:color w:val="1C1E23"/>
          <w:sz w:val="21"/>
          <w:szCs w:val="21"/>
        </w:rPr>
        <w:t xml:space="preserve">Canlı araçlar: </w:t>
      </w:r>
      <w:r>
        <w:rPr>
          <w:rFonts w:ascii="Arial" w:cs="Arial" w:eastAsia="Arial" w:hAnsi="Arial"/>
          <w:color w:val="444240"/>
          <w:sz w:val="21"/>
          <w:szCs w:val="21"/>
        </w:rPr>
        <w:t xml:space="preserve">Risk Classifier, Governance Matrix, Checklist — rakiplerin çoğunda demo bile yok.</w:t>
      </w:r>
    </w:p>
    <w:p>
      <w:pPr>
        <w:pStyle w:val="ListParagraph"/>
        <w:numPr>
          <w:ilvl w:val="0"/>
          <w:numId w:val="2"/>
        </w:numPr>
        <w:spacing w:after="80" w:line="276"/>
      </w:pPr>
      <w:r>
        <w:rPr>
          <w:rFonts w:ascii="Arial" w:cs="Arial" w:eastAsia="Arial" w:hAnsi="Arial"/>
          <w:b/>
          <w:bCs/>
          <w:color w:val="1C1E23"/>
          <w:sz w:val="21"/>
          <w:szCs w:val="21"/>
        </w:rPr>
        <w:t xml:space="preserve">Düşük maliyet: </w:t>
      </w:r>
      <w:r>
        <w:rPr>
          <w:rFonts w:ascii="Arial" w:cs="Arial" w:eastAsia="Arial" w:hAnsi="Arial"/>
          <w:color w:val="444240"/>
          <w:sz w:val="21"/>
          <w:szCs w:val="21"/>
        </w:rPr>
        <w:t xml:space="preserve">100 kullanıcıya kadar ~0$/ay (Vercel+Supabase ücretsiz katman).</w:t>
      </w:r>
    </w:p>
    <w:p>
      <w:pPr>
        <w:pStyle w:val="ListParagraph"/>
        <w:numPr>
          <w:ilvl w:val="0"/>
          <w:numId w:val="2"/>
        </w:numPr>
        <w:spacing w:after="80" w:line="276"/>
      </w:pPr>
      <w:r>
        <w:rPr>
          <w:rFonts w:ascii="Arial" w:cs="Arial" w:eastAsia="Arial" w:hAnsi="Arial"/>
          <w:b/>
          <w:bCs/>
          <w:color w:val="1C1E23"/>
          <w:sz w:val="21"/>
          <w:szCs w:val="21"/>
        </w:rPr>
        <w:t xml:space="preserve">Belirli gelir modeli: </w:t>
      </w:r>
      <w:r>
        <w:rPr>
          <w:rFonts w:ascii="Arial" w:cs="Arial" w:eastAsia="Arial" w:hAnsi="Arial"/>
          <w:color w:val="444240"/>
          <w:sz w:val="21"/>
          <w:szCs w:val="21"/>
        </w:rPr>
        <w:t xml:space="preserve">Şablon (hazır) + SaaS (plan) + huni.</w:t>
      </w:r>
    </w:p>
    <w:p>
      <w:pPr>
        <w:pStyle w:val="ListParagraph"/>
        <w:numPr>
          <w:ilvl w:val="0"/>
          <w:numId w:val="2"/>
        </w:numPr>
        <w:spacing w:after="80" w:line="276"/>
      </w:pPr>
      <w:r>
        <w:rPr>
          <w:rFonts w:ascii="Arial" w:cs="Arial" w:eastAsia="Arial" w:hAnsi="Arial"/>
          <w:b/>
          <w:bCs/>
          <w:color w:val="1C1E23"/>
          <w:sz w:val="21"/>
          <w:szCs w:val="21"/>
        </w:rPr>
        <w:t xml:space="preserve">Dual-market: </w:t>
      </w:r>
      <w:r>
        <w:rPr>
          <w:rFonts w:ascii="Arial" w:cs="Arial" w:eastAsia="Arial" w:hAnsi="Arial"/>
          <w:color w:val="444240"/>
          <w:sz w:val="21"/>
          <w:szCs w:val="21"/>
        </w:rPr>
        <w:t xml:space="preserve">AB (İngilizce) + Türkiye (Türkçe/KVKK) ikili pazar avantajı.</w:t>
      </w:r>
    </w:p>
    <w:p>
      <w:pPr>
        <w:pStyle w:val="Heading2"/>
        <w:spacing w:after="160" w:before="300"/>
      </w:pPr>
      <w:r>
        <w:rPr>
          <w:rFonts w:ascii="Georgia" w:cs="Georgia" w:eastAsia="Georgia" w:hAnsi="Georgia"/>
          <w:b/>
          <w:bCs/>
          <w:color w:val="1C1E23"/>
          <w:sz w:val="26"/>
          <w:szCs w:val="26"/>
        </w:rPr>
        <w:t xml:space="preserve">3.2 Zayıf Yönler</w:t>
      </w:r>
    </w:p>
    <w:p>
      <w:pPr>
        <w:pStyle w:val="ListParagraph"/>
        <w:numPr>
          <w:ilvl w:val="0"/>
          <w:numId w:val="2"/>
        </w:numPr>
        <w:spacing w:after="80" w:line="276"/>
      </w:pPr>
      <w:r>
        <w:rPr>
          <w:rFonts w:ascii="Arial" w:cs="Arial" w:eastAsia="Arial" w:hAnsi="Arial"/>
          <w:b/>
          <w:bCs/>
          <w:color w:val="1C1E23"/>
          <w:sz w:val="21"/>
          <w:szCs w:val="21"/>
        </w:rPr>
        <w:t xml:space="preserve">Henüz gelir yok: </w:t>
      </w:r>
      <w:r>
        <w:rPr>
          <w:rFonts w:ascii="Arial" w:cs="Arial" w:eastAsia="Arial" w:hAnsi="Arial"/>
          <w:color w:val="444240"/>
          <w:sz w:val="21"/>
          <w:szCs w:val="21"/>
        </w:rPr>
        <w:t xml:space="preserve">Satış kanalları (LemonSqueezy/Etsy) açılmadı.</w:t>
      </w:r>
    </w:p>
    <w:p>
      <w:pPr>
        <w:pStyle w:val="ListParagraph"/>
        <w:numPr>
          <w:ilvl w:val="0"/>
          <w:numId w:val="2"/>
        </w:numPr>
        <w:spacing w:after="80" w:line="276"/>
      </w:pPr>
      <w:r>
        <w:rPr>
          <w:rFonts w:ascii="Arial" w:cs="Arial" w:eastAsia="Arial" w:hAnsi="Arial"/>
          <w:b/>
          <w:bCs/>
          <w:color w:val="1C1E23"/>
          <w:sz w:val="21"/>
          <w:szCs w:val="21"/>
        </w:rPr>
        <w:t xml:space="preserve">Düşük bilinirlik: </w:t>
      </w:r>
      <w:r>
        <w:rPr>
          <w:rFonts w:ascii="Arial" w:cs="Arial" w:eastAsia="Arial" w:hAnsi="Arial"/>
          <w:color w:val="444240"/>
          <w:sz w:val="21"/>
          <w:szCs w:val="21"/>
        </w:rPr>
        <w:t xml:space="preserve">LinkedIn yeni, SEO trafik yok denecek kadar az.</w:t>
      </w:r>
    </w:p>
    <w:p>
      <w:pPr>
        <w:pStyle w:val="ListParagraph"/>
        <w:numPr>
          <w:ilvl w:val="0"/>
          <w:numId w:val="2"/>
        </w:numPr>
        <w:spacing w:after="80" w:line="276"/>
      </w:pPr>
      <w:r>
        <w:rPr>
          <w:rFonts w:ascii="Arial" w:cs="Arial" w:eastAsia="Arial" w:hAnsi="Arial"/>
          <w:b/>
          <w:bCs/>
          <w:color w:val="1C1E23"/>
          <w:sz w:val="21"/>
          <w:szCs w:val="21"/>
        </w:rPr>
        <w:t xml:space="preserve">Tek founder riski: </w:t>
      </w:r>
      <w:r>
        <w:rPr>
          <w:rFonts w:ascii="Arial" w:cs="Arial" w:eastAsia="Arial" w:hAnsi="Arial"/>
          <w:color w:val="444240"/>
          <w:sz w:val="21"/>
          <w:szCs w:val="21"/>
        </w:rPr>
        <w:t xml:space="preserve">Geliştirme + içerik + pazarlama + destek tek elde.</w:t>
      </w:r>
    </w:p>
    <w:p>
      <w:pPr>
        <w:pStyle w:val="ListParagraph"/>
        <w:numPr>
          <w:ilvl w:val="0"/>
          <w:numId w:val="2"/>
        </w:numPr>
        <w:spacing w:after="80" w:line="276"/>
      </w:pPr>
      <w:r>
        <w:rPr>
          <w:rFonts w:ascii="Arial" w:cs="Arial" w:eastAsia="Arial" w:hAnsi="Arial"/>
          <w:b/>
          <w:bCs/>
          <w:color w:val="1C1E23"/>
          <w:sz w:val="21"/>
          <w:szCs w:val="21"/>
        </w:rPr>
        <w:t xml:space="preserve">657 kısıtı: </w:t>
      </w:r>
      <w:r>
        <w:rPr>
          <w:rFonts w:ascii="Arial" w:cs="Arial" w:eastAsia="Arial" w:hAnsi="Arial"/>
          <w:color w:val="444240"/>
          <w:sz w:val="21"/>
          <w:szCs w:val="21"/>
        </w:rPr>
        <w:t xml:space="preserve">Ticari faaliyet kısıtı — avukat onayı bekleniyor.</w:t>
      </w:r>
    </w:p>
    <w:p>
      <w:pPr>
        <w:pStyle w:val="ListParagraph"/>
        <w:numPr>
          <w:ilvl w:val="0"/>
          <w:numId w:val="2"/>
        </w:numPr>
        <w:spacing w:after="80" w:line="276"/>
      </w:pPr>
      <w:r>
        <w:rPr>
          <w:rFonts w:ascii="Arial" w:cs="Arial" w:eastAsia="Arial" w:hAnsi="Arial"/>
          <w:b/>
          <w:bCs/>
          <w:color w:val="1C1E23"/>
          <w:sz w:val="21"/>
          <w:szCs w:val="21"/>
        </w:rPr>
        <w:t xml:space="preserve">SaaS henüz yok: </w:t>
      </w:r>
      <w:r>
        <w:rPr>
          <w:rFonts w:ascii="Arial" w:cs="Arial" w:eastAsia="Arial" w:hAnsi="Arial"/>
          <w:color w:val="444240"/>
          <w:sz w:val="21"/>
          <w:szCs w:val="21"/>
        </w:rPr>
        <w:t xml:space="preserve">app.hexis.center geliştirilmedi. MVP: 2–3 ay.</w:t>
      </w:r>
    </w:p>
    <w:p>
      <w:pPr>
        <w:pStyle w:val="ListParagraph"/>
        <w:numPr>
          <w:ilvl w:val="0"/>
          <w:numId w:val="2"/>
        </w:numPr>
        <w:spacing w:after="80" w:line="276"/>
      </w:pPr>
      <w:r>
        <w:rPr>
          <w:rFonts w:ascii="Arial" w:cs="Arial" w:eastAsia="Arial" w:hAnsi="Arial"/>
          <w:b/>
          <w:bCs/>
          <w:color w:val="1C1E23"/>
          <w:sz w:val="21"/>
          <w:szCs w:val="21"/>
        </w:rPr>
        <w:t xml:space="preserve">Referans yok: </w:t>
      </w:r>
      <w:r>
        <w:rPr>
          <w:rFonts w:ascii="Arial" w:cs="Arial" w:eastAsia="Arial" w:hAnsi="Arial"/>
          <w:color w:val="444240"/>
          <w:sz w:val="21"/>
          <w:szCs w:val="21"/>
        </w:rPr>
        <w:t xml:space="preserve">Ödeme yapan müşteri olmadan güven inşası zor.</w:t>
      </w:r>
    </w:p>
    <w:p>
      <w:pPr>
        <w:pBdr>
          <w:bottom w:val="single" w:color="B2986C" w:sz="4" w:space="8"/>
        </w:pBdr>
        <w:spacing w:after="200" w:before="200"/>
      </w:pPr>
    </w:p>
    <w:p>
      <w:pPr>
        <w:pStyle w:val="Heading1"/>
        <w:spacing w:after="200" w:before="400"/>
      </w:pPr>
      <w:r>
        <w:rPr>
          <w:rFonts w:ascii="Georgia" w:cs="Georgia" w:eastAsia="Georgia" w:hAnsi="Georgia"/>
          <w:b/>
          <w:bCs/>
          <w:color w:val="1C1E23"/>
          <w:sz w:val="32"/>
          <w:szCs w:val="32"/>
        </w:rPr>
        <w:t xml:space="preserve">4. Dış Faktör Analizi</w:t>
      </w:r>
    </w:p>
    <w:p>
      <w:pPr>
        <w:pStyle w:val="Heading2"/>
        <w:spacing w:after="160" w:before="300"/>
      </w:pPr>
      <w:r>
        <w:rPr>
          <w:rFonts w:ascii="Georgia" w:cs="Georgia" w:eastAsia="Georgia" w:hAnsi="Georgia"/>
          <w:b/>
          <w:bCs/>
          <w:color w:val="1C1E23"/>
          <w:sz w:val="26"/>
          <w:szCs w:val="26"/>
        </w:rPr>
        <w:t xml:space="preserve">4.1 Fırsatlar</w:t>
      </w:r>
    </w:p>
    <w:p>
      <w:pPr>
        <w:pStyle w:val="ListParagraph"/>
        <w:numPr>
          <w:ilvl w:val="0"/>
          <w:numId w:val="2"/>
        </w:numPr>
        <w:spacing w:after="80" w:line="276"/>
      </w:pPr>
      <w:r>
        <w:rPr>
          <w:rFonts w:ascii="Arial" w:cs="Arial" w:eastAsia="Arial" w:hAnsi="Arial"/>
          <w:b/>
          <w:bCs/>
          <w:color w:val="1C1E23"/>
          <w:sz w:val="21"/>
          <w:szCs w:val="21"/>
        </w:rPr>
        <w:t xml:space="preserve">Ağustos 2026: </w:t>
      </w:r>
      <w:r>
        <w:rPr>
          <w:rFonts w:ascii="Arial" w:cs="Arial" w:eastAsia="Arial" w:hAnsi="Arial"/>
          <w:color w:val="444240"/>
          <w:sz w:val="21"/>
          <w:szCs w:val="21"/>
        </w:rPr>
        <w:t xml:space="preserve">Annex III deadline. KOBİ’ler çözüm arayacak — 4–5 ay pencere.</w:t>
      </w:r>
    </w:p>
    <w:p>
      <w:pPr>
        <w:pStyle w:val="ListParagraph"/>
        <w:numPr>
          <w:ilvl w:val="0"/>
          <w:numId w:val="2"/>
        </w:numPr>
        <w:spacing w:after="80" w:line="276"/>
      </w:pPr>
      <w:r>
        <w:rPr>
          <w:rFonts w:ascii="Arial" w:cs="Arial" w:eastAsia="Arial" w:hAnsi="Arial"/>
          <w:b/>
          <w:bCs/>
          <w:color w:val="1C1E23"/>
          <w:sz w:val="21"/>
          <w:szCs w:val="21"/>
        </w:rPr>
        <w:t xml:space="preserve">Pazar boşluğu: </w:t>
      </w:r>
      <w:r>
        <w:rPr>
          <w:rFonts w:ascii="Arial" w:cs="Arial" w:eastAsia="Arial" w:hAnsi="Arial"/>
          <w:color w:val="444240"/>
          <w:sz w:val="21"/>
          <w:szCs w:val="21"/>
        </w:rPr>
        <w:t xml:space="preserve">Self-serve, uygun fiyatlı, sertifika destekli AI governance aracı yok.</w:t>
      </w:r>
    </w:p>
    <w:p>
      <w:pPr>
        <w:pStyle w:val="ListParagraph"/>
        <w:numPr>
          <w:ilvl w:val="0"/>
          <w:numId w:val="2"/>
        </w:numPr>
        <w:spacing w:after="80" w:line="276"/>
      </w:pPr>
      <w:r>
        <w:rPr>
          <w:rFonts w:ascii="Arial" w:cs="Arial" w:eastAsia="Arial" w:hAnsi="Arial"/>
          <w:b/>
          <w:bCs/>
          <w:color w:val="1C1E23"/>
          <w:sz w:val="21"/>
          <w:szCs w:val="21"/>
        </w:rPr>
        <w:t xml:space="preserve">AB KOBİ desteği: </w:t>
      </w:r>
      <w:r>
        <w:rPr>
          <w:rFonts w:ascii="Arial" w:cs="Arial" w:eastAsia="Arial" w:hAnsi="Arial"/>
          <w:color w:val="444240"/>
          <w:sz w:val="21"/>
          <w:szCs w:val="21"/>
        </w:rPr>
        <w:t xml:space="preserve">Sandbox erişimi, orantılı ücretler, AI Pact teşviki.</w:t>
      </w:r>
    </w:p>
    <w:p>
      <w:pPr>
        <w:pStyle w:val="ListParagraph"/>
        <w:numPr>
          <w:ilvl w:val="0"/>
          <w:numId w:val="2"/>
        </w:numPr>
        <w:spacing w:after="80" w:line="276"/>
      </w:pPr>
      <w:r>
        <w:rPr>
          <w:rFonts w:ascii="Arial" w:cs="Arial" w:eastAsia="Arial" w:hAnsi="Arial"/>
          <w:b/>
          <w:bCs/>
          <w:color w:val="1C1E23"/>
          <w:sz w:val="21"/>
          <w:szCs w:val="21"/>
        </w:rPr>
        <w:t xml:space="preserve">Solo SaaS: </w:t>
      </w:r>
      <w:r>
        <w:rPr>
          <w:rFonts w:ascii="Arial" w:cs="Arial" w:eastAsia="Arial" w:hAnsi="Arial"/>
          <w:color w:val="444240"/>
          <w:sz w:val="21"/>
          <w:szCs w:val="21"/>
        </w:rPr>
        <w:t xml:space="preserve">Tek kişi milyonluk SaaS çalıştırabiliyor. Maliyet %95 düştü.</w:t>
      </w:r>
    </w:p>
    <w:p>
      <w:pPr>
        <w:pStyle w:val="ListParagraph"/>
        <w:numPr>
          <w:ilvl w:val="0"/>
          <w:numId w:val="2"/>
        </w:numPr>
        <w:spacing w:after="80" w:line="276"/>
      </w:pPr>
      <w:r>
        <w:rPr>
          <w:rFonts w:ascii="Arial" w:cs="Arial" w:eastAsia="Arial" w:hAnsi="Arial"/>
          <w:b/>
          <w:bCs/>
          <w:color w:val="1C1E23"/>
          <w:sz w:val="21"/>
          <w:szCs w:val="21"/>
        </w:rPr>
        <w:t xml:space="preserve">Türkiye: </w:t>
      </w:r>
      <w:r>
        <w:rPr>
          <w:rFonts w:ascii="Arial" w:cs="Arial" w:eastAsia="Arial" w:hAnsi="Arial"/>
          <w:color w:val="444240"/>
          <w:sz w:val="21"/>
          <w:szCs w:val="21"/>
        </w:rPr>
        <w:t xml:space="preserve">AI mevzuatı gelişiyor, KVKK entegrasyonlu araç hiç yok.</w:t>
      </w:r>
    </w:p>
    <w:p>
      <w:pPr>
        <w:pStyle w:val="ListParagraph"/>
        <w:numPr>
          <w:ilvl w:val="0"/>
          <w:numId w:val="2"/>
        </w:numPr>
        <w:spacing w:after="80" w:line="276"/>
      </w:pPr>
      <w:r>
        <w:rPr>
          <w:rFonts w:ascii="Arial" w:cs="Arial" w:eastAsia="Arial" w:hAnsi="Arial"/>
          <w:b/>
          <w:bCs/>
          <w:color w:val="1C1E23"/>
          <w:sz w:val="21"/>
          <w:szCs w:val="21"/>
        </w:rPr>
        <w:t xml:space="preserve">SEO fırsatı: </w:t>
      </w:r>
      <w:r>
        <w:rPr>
          <w:rFonts w:ascii="Arial" w:cs="Arial" w:eastAsia="Arial" w:hAnsi="Arial"/>
          <w:color w:val="444240"/>
          <w:sz w:val="21"/>
          <w:szCs w:val="21"/>
        </w:rPr>
        <w:t xml:space="preserve">EU AI Act SME içerikleri henüz düşük rekabetli.</w:t>
      </w:r>
    </w:p>
    <w:p>
      <w:pPr>
        <w:pStyle w:val="Heading2"/>
        <w:spacing w:after="160" w:before="300"/>
      </w:pPr>
      <w:r>
        <w:rPr>
          <w:rFonts w:ascii="Georgia" w:cs="Georgia" w:eastAsia="Georgia" w:hAnsi="Georgia"/>
          <w:b/>
          <w:bCs/>
          <w:color w:val="1C1E23"/>
          <w:sz w:val="26"/>
          <w:szCs w:val="26"/>
        </w:rPr>
        <w:t xml:space="preserve">4.2 Tehditler</w:t>
      </w:r>
    </w:p>
    <w:p>
      <w:pPr>
        <w:pStyle w:val="ListParagraph"/>
        <w:numPr>
          <w:ilvl w:val="0"/>
          <w:numId w:val="2"/>
        </w:numPr>
        <w:spacing w:after="80" w:line="276"/>
      </w:pPr>
      <w:r>
        <w:rPr>
          <w:rFonts w:ascii="Arial" w:cs="Arial" w:eastAsia="Arial" w:hAnsi="Arial"/>
          <w:b/>
          <w:bCs/>
          <w:color w:val="1C1E23"/>
          <w:sz w:val="21"/>
          <w:szCs w:val="21"/>
        </w:rPr>
        <w:t xml:space="preserve">Enterprise aşağı yayılma: </w:t>
      </w:r>
      <w:r>
        <w:rPr>
          <w:rFonts w:ascii="Arial" w:cs="Arial" w:eastAsia="Arial" w:hAnsi="Arial"/>
          <w:color w:val="444240"/>
          <w:sz w:val="21"/>
          <w:szCs w:val="21"/>
        </w:rPr>
        <w:t xml:space="preserve">Credo AI, OneTrust KOBİ paketi çıkarabilir.</w:t>
      </w:r>
    </w:p>
    <w:p>
      <w:pPr>
        <w:pStyle w:val="ListParagraph"/>
        <w:numPr>
          <w:ilvl w:val="0"/>
          <w:numId w:val="2"/>
        </w:numPr>
        <w:spacing w:after="80" w:line="276"/>
      </w:pPr>
      <w:r>
        <w:rPr>
          <w:rFonts w:ascii="Arial" w:cs="Arial" w:eastAsia="Arial" w:hAnsi="Arial"/>
          <w:b/>
          <w:bCs/>
          <w:color w:val="1C1E23"/>
          <w:sz w:val="21"/>
          <w:szCs w:val="21"/>
        </w:rPr>
        <w:t xml:space="preserve">GRC devleri: </w:t>
      </w:r>
      <w:r>
        <w:rPr>
          <w:rFonts w:ascii="Arial" w:cs="Arial" w:eastAsia="Arial" w:hAnsi="Arial"/>
          <w:color w:val="444240"/>
          <w:sz w:val="21"/>
          <w:szCs w:val="21"/>
        </w:rPr>
        <w:t xml:space="preserve">Mevcut müşteriye AI modülü — ek satış avantajı.</w:t>
      </w:r>
    </w:p>
    <w:p>
      <w:pPr>
        <w:pStyle w:val="ListParagraph"/>
        <w:numPr>
          <w:ilvl w:val="0"/>
          <w:numId w:val="2"/>
        </w:numPr>
        <w:spacing w:after="80" w:line="276"/>
      </w:pPr>
      <w:r>
        <w:rPr>
          <w:rFonts w:ascii="Arial" w:cs="Arial" w:eastAsia="Arial" w:hAnsi="Arial"/>
          <w:b/>
          <w:bCs/>
          <w:color w:val="1C1E23"/>
          <w:sz w:val="21"/>
          <w:szCs w:val="21"/>
        </w:rPr>
        <w:t xml:space="preserve">Digital Omnibus: </w:t>
      </w:r>
      <w:r>
        <w:rPr>
          <w:rFonts w:ascii="Arial" w:cs="Arial" w:eastAsia="Arial" w:hAnsi="Arial"/>
          <w:color w:val="444240"/>
          <w:sz w:val="21"/>
          <w:szCs w:val="21"/>
        </w:rPr>
        <w:t xml:space="preserve">Deadline uzaması aciliyet algısını düşürebilir.</w:t>
      </w:r>
    </w:p>
    <w:p>
      <w:pPr>
        <w:pStyle w:val="ListParagraph"/>
        <w:numPr>
          <w:ilvl w:val="0"/>
          <w:numId w:val="2"/>
        </w:numPr>
        <w:spacing w:after="80" w:line="276"/>
      </w:pPr>
      <w:r>
        <w:rPr>
          <w:rFonts w:ascii="Arial" w:cs="Arial" w:eastAsia="Arial" w:hAnsi="Arial"/>
          <w:b/>
          <w:bCs/>
          <w:color w:val="1C1E23"/>
          <w:sz w:val="21"/>
          <w:szCs w:val="21"/>
        </w:rPr>
        <w:t xml:space="preserve">AI wrapper rekabeti: </w:t>
      </w:r>
      <w:r>
        <w:rPr>
          <w:rFonts w:ascii="Arial" w:cs="Arial" w:eastAsia="Arial" w:hAnsi="Arial"/>
          <w:color w:val="444240"/>
          <w:sz w:val="21"/>
          <w:szCs w:val="21"/>
        </w:rPr>
        <w:t xml:space="preserve">ChatGPT üzerine basit AI Act chatbot.</w:t>
      </w:r>
    </w:p>
    <w:p>
      <w:pPr>
        <w:pStyle w:val="ListParagraph"/>
        <w:numPr>
          <w:ilvl w:val="0"/>
          <w:numId w:val="2"/>
        </w:numPr>
        <w:spacing w:after="80" w:line="276"/>
      </w:pPr>
      <w:r>
        <w:rPr>
          <w:rFonts w:ascii="Arial" w:cs="Arial" w:eastAsia="Arial" w:hAnsi="Arial"/>
          <w:b/>
          <w:bCs/>
          <w:color w:val="1C1E23"/>
          <w:sz w:val="21"/>
          <w:szCs w:val="21"/>
        </w:rPr>
        <w:t xml:space="preserve">Mevzuat güncelleme yükü: </w:t>
      </w:r>
      <w:r>
        <w:rPr>
          <w:rFonts w:ascii="Arial" w:cs="Arial" w:eastAsia="Arial" w:hAnsi="Arial"/>
          <w:color w:val="444240"/>
          <w:sz w:val="21"/>
          <w:szCs w:val="21"/>
        </w:rPr>
        <w:t xml:space="preserve">Tek kişi için ağır içerik bakımı.</w:t>
      </w:r>
    </w:p>
    <w:p>
      <w:pPr>
        <w:pBdr>
          <w:bottom w:val="single" w:color="B2986C" w:sz="4" w:space="8"/>
        </w:pBdr>
        <w:spacing w:after="200" w:before="200"/>
      </w:pPr>
    </w:p>
    <w:p>
      <w:pPr>
        <w:pStyle w:val="Heading1"/>
        <w:spacing w:after="200" w:before="400"/>
      </w:pPr>
      <w:r>
        <w:rPr>
          <w:rFonts w:ascii="Georgia" w:cs="Georgia" w:eastAsia="Georgia" w:hAnsi="Georgia"/>
          <w:b/>
          <w:bCs/>
          <w:color w:val="1C1E23"/>
          <w:sz w:val="32"/>
          <w:szCs w:val="32"/>
        </w:rPr>
        <w:t xml:space="preserve">5. Gelecek 10 Yıl: AI Governance Sektör Projeksiyonu</w:t>
      </w:r>
    </w:p>
    <w:p>
      <w:pPr>
        <w:spacing w:after="160" w:line="276"/>
      </w:pPr>
      <w:r>
        <w:rPr>
          <w:rFonts w:ascii="Arial" w:cs="Arial" w:eastAsia="Arial" w:hAnsi="Arial"/>
          <w:color w:val="444240"/>
          <w:sz w:val="21"/>
          <w:szCs w:val="21"/>
        </w:rPr>
        <w:t xml:space="preserve">AI governance sektörü, önümüzdeki on yılda köklü bir dönüşüm geçirecektir. Aşağıda dört dönem halinde öngörülen evrim sunulmuştur:</w:t>
      </w:r>
    </w:p>
    <w:p>
      <w:pPr>
        <w:pStyle w:val="Heading2"/>
        <w:spacing w:after="160" w:before="300"/>
      </w:pPr>
      <w:r>
        <w:rPr>
          <w:rFonts w:ascii="Georgia" w:cs="Georgia" w:eastAsia="Georgia" w:hAnsi="Georgia"/>
          <w:b/>
          <w:bCs/>
          <w:color w:val="1C1E23"/>
          <w:sz w:val="26"/>
          <w:szCs w:val="26"/>
        </w:rPr>
        <w:t xml:space="preserve">5.1 Dönem 1: Uyum Dalgası (2026–2028)</w:t>
      </w:r>
    </w:p>
    <w:p>
      <w:pPr>
        <w:spacing w:after="120" w:before="200"/>
      </w:pPr>
      <w:r>
        <w:rPr>
          <w:rFonts w:ascii="Arial" w:cs="Arial" w:eastAsia="Arial" w:hAnsi="Arial"/>
          <w:b/>
          <w:bCs/>
          <w:color w:val="1C1E23"/>
          <w:sz w:val="22"/>
          <w:szCs w:val="22"/>
        </w:rPr>
        <w:t xml:space="preserve">Sektör dinamikleri</w:t>
      </w:r>
    </w:p>
    <w:p>
      <w:pPr>
        <w:pStyle w:val="ListParagraph"/>
        <w:numPr>
          <w:ilvl w:val="0"/>
          <w:numId w:val="2"/>
        </w:numPr>
        <w:spacing w:after="80" w:line="276"/>
      </w:pPr>
      <w:r>
        <w:rPr>
          <w:rFonts w:ascii="Arial" w:cs="Arial" w:eastAsia="Arial" w:hAnsi="Arial"/>
          <w:b/>
          <w:bCs/>
          <w:color w:val="1C1E23"/>
          <w:sz w:val="21"/>
          <w:szCs w:val="21"/>
        </w:rPr>
        <w:t xml:space="preserve">EU AI Act tam yürürlük: </w:t>
      </w:r>
      <w:r>
        <w:rPr>
          <w:rFonts w:ascii="Arial" w:cs="Arial" w:eastAsia="Arial" w:hAnsi="Arial"/>
          <w:color w:val="444240"/>
          <w:sz w:val="21"/>
          <w:szCs w:val="21"/>
        </w:rPr>
        <w:t xml:space="preserve">Annex III (Ağustos 2026) ve Annex I (Ağustos 2027) sırasıyla devreye girer. İlk cezalar görülür.</w:t>
      </w:r>
    </w:p>
    <w:p>
      <w:pPr>
        <w:pStyle w:val="ListParagraph"/>
        <w:numPr>
          <w:ilvl w:val="0"/>
          <w:numId w:val="2"/>
        </w:numPr>
        <w:spacing w:after="80" w:line="276"/>
      </w:pPr>
      <w:r>
        <w:rPr>
          <w:rFonts w:ascii="Arial" w:cs="Arial" w:eastAsia="Arial" w:hAnsi="Arial"/>
          <w:b/>
          <w:bCs/>
          <w:color w:val="1C1E23"/>
          <w:sz w:val="21"/>
          <w:szCs w:val="21"/>
        </w:rPr>
        <w:t xml:space="preserve">Panik alım dönemi: </w:t>
      </w:r>
      <w:r>
        <w:rPr>
          <w:rFonts w:ascii="Arial" w:cs="Arial" w:eastAsia="Arial" w:hAnsi="Arial"/>
          <w:color w:val="444240"/>
          <w:sz w:val="21"/>
          <w:szCs w:val="21"/>
        </w:rPr>
        <w:t xml:space="preserve">Tıpkı GDPR’ın ilk yılları gibi, KOBİ’ler acele çözüm arar. Compliance consulting talebi patlak verir.</w:t>
      </w:r>
    </w:p>
    <w:p>
      <w:pPr>
        <w:pStyle w:val="ListParagraph"/>
        <w:numPr>
          <w:ilvl w:val="0"/>
          <w:numId w:val="2"/>
        </w:numPr>
        <w:spacing w:after="80" w:line="276"/>
      </w:pPr>
      <w:r>
        <w:rPr>
          <w:rFonts w:ascii="Arial" w:cs="Arial" w:eastAsia="Arial" w:hAnsi="Arial"/>
          <w:b/>
          <w:bCs/>
          <w:color w:val="1C1E23"/>
          <w:sz w:val="21"/>
          <w:szCs w:val="21"/>
        </w:rPr>
        <w:t xml:space="preserve">Küresel yayılım başlar: </w:t>
      </w:r>
      <w:r>
        <w:rPr>
          <w:rFonts w:ascii="Arial" w:cs="Arial" w:eastAsia="Arial" w:hAnsi="Arial"/>
          <w:color w:val="444240"/>
          <w:sz w:val="21"/>
          <w:szCs w:val="21"/>
        </w:rPr>
        <w:t xml:space="preserve">Güney Kore AI Framework Act, Japonya AI Promotion Act zaten yürürlükle. Brezilya, Kanada ve Hindistan kendi düzenlemelerini hızlandırır.</w:t>
      </w:r>
    </w:p>
    <w:p>
      <w:pPr>
        <w:pStyle w:val="ListParagraph"/>
        <w:numPr>
          <w:ilvl w:val="0"/>
          <w:numId w:val="2"/>
        </w:numPr>
        <w:spacing w:after="80" w:line="276"/>
      </w:pPr>
      <w:r>
        <w:rPr>
          <w:rFonts w:ascii="Arial" w:cs="Arial" w:eastAsia="Arial" w:hAnsi="Arial"/>
          <w:b/>
          <w:bCs/>
          <w:color w:val="1C1E23"/>
          <w:sz w:val="21"/>
          <w:szCs w:val="21"/>
        </w:rPr>
        <w:t xml:space="preserve">Pazar konsolidasyonu: </w:t>
      </w:r>
      <w:r>
        <w:rPr>
          <w:rFonts w:ascii="Arial" w:cs="Arial" w:eastAsia="Arial" w:hAnsi="Arial"/>
          <w:color w:val="444240"/>
          <w:sz w:val="21"/>
          <w:szCs w:val="21"/>
        </w:rPr>
        <w:t xml:space="preserve">İlk M&amp;A dalgaları. Büyük GRC platformları niş AI governance startup’larını satın alır.</w:t>
      </w:r>
    </w:p>
    <w:p>
      <w:pPr>
        <w:spacing w:after="120" w:before="200"/>
      </w:pPr>
      <w:r>
        <w:rPr>
          <w:rFonts w:ascii="Arial" w:cs="Arial" w:eastAsia="Arial" w:hAnsi="Arial"/>
          <w:b/>
          <w:bCs/>
          <w:color w:val="1C1E23"/>
          <w:sz w:val="22"/>
          <w:szCs w:val="22"/>
        </w:rPr>
        <w:t xml:space="preserve">Hexis için anlamı</w:t>
      </w:r>
    </w:p>
    <w:p>
      <w:pPr>
        <w:spacing w:after="160" w:line="276"/>
      </w:pPr>
      <w:r>
        <w:rPr>
          <w:rFonts w:ascii="Arial" w:cs="Arial" w:eastAsia="Arial" w:hAnsi="Arial"/>
          <w:color w:val="444240"/>
          <w:sz w:val="21"/>
          <w:szCs w:val="21"/>
        </w:rPr>
        <w:t xml:space="preserve">Bu dönem Hexis’in en büyük fırsat penceresidir. SaaS’ın canlı ve ödeme alanır olması ZORUNLUDUR. Deadline baskısı müşteri kazanmayı kolaylaştırır. Bu pencere kapandığında yeni müşteri edinmek çok daha pahalılaşır.</w:t>
      </w:r>
    </w:p>
    <w:p>
      <w:pPr>
        <w:pStyle w:val="Heading2"/>
        <w:spacing w:after="160" w:before="300"/>
      </w:pPr>
      <w:r>
        <w:rPr>
          <w:rFonts w:ascii="Georgia" w:cs="Georgia" w:eastAsia="Georgia" w:hAnsi="Georgia"/>
          <w:b/>
          <w:bCs/>
          <w:color w:val="1C1E23"/>
          <w:sz w:val="26"/>
          <w:szCs w:val="26"/>
        </w:rPr>
        <w:t xml:space="preserve">5.2 Dönem 2: Olgunlaşma ve Standartlaşma (2028–2030)</w:t>
      </w:r>
    </w:p>
    <w:p>
      <w:pPr>
        <w:spacing w:after="120" w:before="200"/>
      </w:pPr>
      <w:r>
        <w:rPr>
          <w:rFonts w:ascii="Arial" w:cs="Arial" w:eastAsia="Arial" w:hAnsi="Arial"/>
          <w:b/>
          <w:bCs/>
          <w:color w:val="1C1E23"/>
          <w:sz w:val="22"/>
          <w:szCs w:val="22"/>
        </w:rPr>
        <w:t xml:space="preserve">Sektör dinamikleri</w:t>
      </w:r>
    </w:p>
    <w:p>
      <w:pPr>
        <w:pStyle w:val="ListParagraph"/>
        <w:numPr>
          <w:ilvl w:val="0"/>
          <w:numId w:val="2"/>
        </w:numPr>
        <w:spacing w:after="80" w:line="276"/>
      </w:pPr>
      <w:r>
        <w:rPr>
          <w:rFonts w:ascii="Arial" w:cs="Arial" w:eastAsia="Arial" w:hAnsi="Arial"/>
          <w:b/>
          <w:bCs/>
          <w:color w:val="1C1E23"/>
          <w:sz w:val="21"/>
          <w:szCs w:val="21"/>
        </w:rPr>
        <w:t xml:space="preserve">Uyum normalleşir: </w:t>
      </w:r>
      <w:r>
        <w:rPr>
          <w:rFonts w:ascii="Arial" w:cs="Arial" w:eastAsia="Arial" w:hAnsi="Arial"/>
          <w:color w:val="444240"/>
          <w:sz w:val="21"/>
          <w:szCs w:val="21"/>
        </w:rPr>
        <w:t xml:space="preserve">AI governance, IT güvenlik veya veri koruma gibi sıradan bir iş fonksiyonu haline gelir. Panik biter, sürekli ihtiyaç başlar.</w:t>
      </w:r>
    </w:p>
    <w:p>
      <w:pPr>
        <w:pStyle w:val="ListParagraph"/>
        <w:numPr>
          <w:ilvl w:val="0"/>
          <w:numId w:val="2"/>
        </w:numPr>
        <w:spacing w:after="80" w:line="276"/>
      </w:pPr>
      <w:r>
        <w:rPr>
          <w:rFonts w:ascii="Arial" w:cs="Arial" w:eastAsia="Arial" w:hAnsi="Arial"/>
          <w:b/>
          <w:bCs/>
          <w:color w:val="1C1E23"/>
          <w:sz w:val="21"/>
          <w:szCs w:val="21"/>
        </w:rPr>
        <w:t xml:space="preserve">Standart birleşmeleri: </w:t>
      </w:r>
      <w:r>
        <w:rPr>
          <w:rFonts w:ascii="Arial" w:cs="Arial" w:eastAsia="Arial" w:hAnsi="Arial"/>
          <w:color w:val="444240"/>
          <w:sz w:val="21"/>
          <w:szCs w:val="21"/>
        </w:rPr>
        <w:t xml:space="preserve">ISO 42001 + EU AI Act + NIST AI RMF arasında haritalama standartları yayınlanır. “Bir kez uy, her yerde geçerli” yaklaşımı güçlenir.</w:t>
      </w:r>
    </w:p>
    <w:p>
      <w:pPr>
        <w:pStyle w:val="ListParagraph"/>
        <w:numPr>
          <w:ilvl w:val="0"/>
          <w:numId w:val="2"/>
        </w:numPr>
        <w:spacing w:after="80" w:line="276"/>
      </w:pPr>
      <w:r>
        <w:rPr>
          <w:rFonts w:ascii="Arial" w:cs="Arial" w:eastAsia="Arial" w:hAnsi="Arial"/>
          <w:b/>
          <w:bCs/>
          <w:color w:val="1C1E23"/>
          <w:sz w:val="21"/>
          <w:szCs w:val="21"/>
        </w:rPr>
        <w:t xml:space="preserve">Otomasyon artar: </w:t>
      </w:r>
      <w:r>
        <w:rPr>
          <w:rFonts w:ascii="Arial" w:cs="Arial" w:eastAsia="Arial" w:hAnsi="Arial"/>
          <w:color w:val="444240"/>
          <w:sz w:val="21"/>
          <w:szCs w:val="21"/>
        </w:rPr>
        <w:t xml:space="preserve">Manuel uyum süreçleri yerini otomatik risk tarama, sürekli izleme ve real-time raporlamaya bırakır.</w:t>
      </w:r>
    </w:p>
    <w:p>
      <w:pPr>
        <w:pStyle w:val="ListParagraph"/>
        <w:numPr>
          <w:ilvl w:val="0"/>
          <w:numId w:val="2"/>
        </w:numPr>
        <w:spacing w:after="80" w:line="276"/>
      </w:pPr>
      <w:r>
        <w:rPr>
          <w:rFonts w:ascii="Arial" w:cs="Arial" w:eastAsia="Arial" w:hAnsi="Arial"/>
          <w:b/>
          <w:bCs/>
          <w:color w:val="1C1E23"/>
          <w:sz w:val="21"/>
          <w:szCs w:val="21"/>
        </w:rPr>
        <w:t xml:space="preserve">Sektörel uzmanlaşma: </w:t>
      </w:r>
      <w:r>
        <w:rPr>
          <w:rFonts w:ascii="Arial" w:cs="Arial" w:eastAsia="Arial" w:hAnsi="Arial"/>
          <w:color w:val="444240"/>
          <w:sz w:val="21"/>
          <w:szCs w:val="21"/>
        </w:rPr>
        <w:t xml:space="preserve">Sağlık, finans, otonom araçlar gibi dikeylerde özelleşmiş governance çözümleri ortaya çıkar.</w:t>
      </w:r>
    </w:p>
    <w:p>
      <w:pPr>
        <w:pStyle w:val="ListParagraph"/>
        <w:numPr>
          <w:ilvl w:val="0"/>
          <w:numId w:val="2"/>
        </w:numPr>
        <w:spacing w:after="80" w:line="276"/>
      </w:pPr>
      <w:r>
        <w:rPr>
          <w:rFonts w:ascii="Arial" w:cs="Arial" w:eastAsia="Arial" w:hAnsi="Arial"/>
          <w:b/>
          <w:bCs/>
          <w:color w:val="1C1E23"/>
          <w:sz w:val="21"/>
          <w:szCs w:val="21"/>
        </w:rPr>
        <w:t xml:space="preserve">Pazar büyüklüğü: </w:t>
      </w:r>
      <w:r>
        <w:rPr>
          <w:rFonts w:ascii="Arial" w:cs="Arial" w:eastAsia="Arial" w:hAnsi="Arial"/>
          <w:color w:val="444240"/>
          <w:sz w:val="21"/>
          <w:szCs w:val="21"/>
        </w:rPr>
        <w:t xml:space="preserve">1–5 milyar $ aralığına ulaşır (kapsam tanımına göre).</w:t>
      </w:r>
    </w:p>
    <w:p>
      <w:pPr>
        <w:spacing w:after="120" w:before="200"/>
      </w:pPr>
      <w:r>
        <w:rPr>
          <w:rFonts w:ascii="Arial" w:cs="Arial" w:eastAsia="Arial" w:hAnsi="Arial"/>
          <w:b/>
          <w:bCs/>
          <w:color w:val="1C1E23"/>
          <w:sz w:val="22"/>
          <w:szCs w:val="22"/>
        </w:rPr>
        <w:t xml:space="preserve">Hexis için anlamı</w:t>
      </w:r>
    </w:p>
    <w:p>
      <w:pPr>
        <w:spacing w:after="160" w:line="276"/>
      </w:pPr>
      <w:r>
        <w:rPr>
          <w:rFonts w:ascii="Arial" w:cs="Arial" w:eastAsia="Arial" w:hAnsi="Arial"/>
          <w:color w:val="444240"/>
          <w:sz w:val="21"/>
          <w:szCs w:val="21"/>
        </w:rPr>
        <w:t xml:space="preserve">Müşteri tutundurma (retention) kritik olur. SaaS’ın “sürekli takip” ve “otomatik güncelleme” özellikleri fark yaratır. Bu dönemde Hexis ya niş lider olarak kalmayı başarır ya da konsolide edilir.</w:t>
      </w:r>
    </w:p>
    <w:p>
      <w:pPr>
        <w:pStyle w:val="Heading2"/>
        <w:spacing w:after="160" w:before="300"/>
      </w:pPr>
      <w:r>
        <w:rPr>
          <w:rFonts w:ascii="Georgia" w:cs="Georgia" w:eastAsia="Georgia" w:hAnsi="Georgia"/>
          <w:b/>
          <w:bCs/>
          <w:color w:val="1C1E23"/>
          <w:sz w:val="26"/>
          <w:szCs w:val="26"/>
        </w:rPr>
        <w:t xml:space="preserve">5.3 Dönem 3: AI-Native Governance (2030–2033)</w:t>
      </w:r>
    </w:p>
    <w:p>
      <w:pPr>
        <w:spacing w:after="120" w:before="200"/>
      </w:pPr>
      <w:r>
        <w:rPr>
          <w:rFonts w:ascii="Arial" w:cs="Arial" w:eastAsia="Arial" w:hAnsi="Arial"/>
          <w:b/>
          <w:bCs/>
          <w:color w:val="1C1E23"/>
          <w:sz w:val="22"/>
          <w:szCs w:val="22"/>
        </w:rPr>
        <w:t xml:space="preserve">Sektör dinamikleri</w:t>
      </w:r>
    </w:p>
    <w:p>
      <w:pPr>
        <w:pStyle w:val="ListParagraph"/>
        <w:numPr>
          <w:ilvl w:val="0"/>
          <w:numId w:val="2"/>
        </w:numPr>
        <w:spacing w:after="80" w:line="276"/>
      </w:pPr>
      <w:r>
        <w:rPr>
          <w:rFonts w:ascii="Arial" w:cs="Arial" w:eastAsia="Arial" w:hAnsi="Arial"/>
          <w:b/>
          <w:bCs/>
          <w:color w:val="1C1E23"/>
          <w:sz w:val="21"/>
          <w:szCs w:val="21"/>
        </w:rPr>
        <w:t xml:space="preserve">AI, AI’yı denetler: </w:t>
      </w:r>
      <w:r>
        <w:rPr>
          <w:rFonts w:ascii="Arial" w:cs="Arial" w:eastAsia="Arial" w:hAnsi="Arial"/>
          <w:color w:val="444240"/>
          <w:sz w:val="21"/>
          <w:szCs w:val="21"/>
        </w:rPr>
        <w:t xml:space="preserve">Governance araçlarının kendisi tam AI-native olur. LLM’ler düzenleme değişikliklerini otomatik yorumlar, uyum açıklarını tespit eder.</w:t>
      </w:r>
    </w:p>
    <w:p>
      <w:pPr>
        <w:pStyle w:val="ListParagraph"/>
        <w:numPr>
          <w:ilvl w:val="0"/>
          <w:numId w:val="2"/>
        </w:numPr>
        <w:spacing w:after="80" w:line="276"/>
      </w:pPr>
      <w:r>
        <w:rPr>
          <w:rFonts w:ascii="Arial" w:cs="Arial" w:eastAsia="Arial" w:hAnsi="Arial"/>
          <w:b/>
          <w:bCs/>
          <w:color w:val="1C1E23"/>
          <w:sz w:val="21"/>
          <w:szCs w:val="21"/>
        </w:rPr>
        <w:t xml:space="preserve">Real-time uyum: </w:t>
      </w:r>
      <w:r>
        <w:rPr>
          <w:rFonts w:ascii="Arial" w:cs="Arial" w:eastAsia="Arial" w:hAnsi="Arial"/>
          <w:color w:val="444240"/>
          <w:sz w:val="21"/>
          <w:szCs w:val="21"/>
        </w:rPr>
        <w:t xml:space="preserve">Yıllık denetim modeli yerini sürekli, otonom uyum izlemeye bırakır. Model davranışı deployment’da canlı izlenir.</w:t>
      </w:r>
    </w:p>
    <w:p>
      <w:pPr>
        <w:pStyle w:val="ListParagraph"/>
        <w:numPr>
          <w:ilvl w:val="0"/>
          <w:numId w:val="2"/>
        </w:numPr>
        <w:spacing w:after="80" w:line="276"/>
      </w:pPr>
      <w:r>
        <w:rPr>
          <w:rFonts w:ascii="Arial" w:cs="Arial" w:eastAsia="Arial" w:hAnsi="Arial"/>
          <w:b/>
          <w:bCs/>
          <w:color w:val="1C1E23"/>
          <w:sz w:val="21"/>
          <w:szCs w:val="21"/>
        </w:rPr>
        <w:t xml:space="preserve">Etik boyut derinleşir: </w:t>
      </w:r>
      <w:r>
        <w:rPr>
          <w:rFonts w:ascii="Arial" w:cs="Arial" w:eastAsia="Arial" w:hAnsi="Arial"/>
          <w:color w:val="444240"/>
          <w:sz w:val="21"/>
          <w:szCs w:val="21"/>
        </w:rPr>
        <w:t xml:space="preserve">Bias detection, fairness metrikleri, çevresel etki (AI carbon footprint) zorunlu raporlama konusu olur.</w:t>
      </w:r>
    </w:p>
    <w:p>
      <w:pPr>
        <w:pStyle w:val="ListParagraph"/>
        <w:numPr>
          <w:ilvl w:val="0"/>
          <w:numId w:val="2"/>
        </w:numPr>
        <w:spacing w:after="80" w:line="276"/>
      </w:pPr>
      <w:r>
        <w:rPr>
          <w:rFonts w:ascii="Arial" w:cs="Arial" w:eastAsia="Arial" w:hAnsi="Arial"/>
          <w:b/>
          <w:bCs/>
          <w:color w:val="1C1E23"/>
          <w:sz w:val="21"/>
          <w:szCs w:val="21"/>
        </w:rPr>
        <w:t xml:space="preserve">Küresel interoperabilite: </w:t>
      </w:r>
      <w:r>
        <w:rPr>
          <w:rFonts w:ascii="Arial" w:cs="Arial" w:eastAsia="Arial" w:hAnsi="Arial"/>
          <w:color w:val="444240"/>
          <w:sz w:val="21"/>
          <w:szCs w:val="21"/>
        </w:rPr>
        <w:t xml:space="preserve">AB, ABD, Çin, Hindistan arasında karşılıklı tanıma anlaşmaları yapılır. “AI uyum pasaportu” kavramı gelişir.</w:t>
      </w:r>
    </w:p>
    <w:p>
      <w:pPr>
        <w:pStyle w:val="ListParagraph"/>
        <w:numPr>
          <w:ilvl w:val="0"/>
          <w:numId w:val="2"/>
        </w:numPr>
        <w:spacing w:after="80" w:line="276"/>
      </w:pPr>
      <w:r>
        <w:rPr>
          <w:rFonts w:ascii="Arial" w:cs="Arial" w:eastAsia="Arial" w:hAnsi="Arial"/>
          <w:b/>
          <w:bCs/>
          <w:color w:val="1C1E23"/>
          <w:sz w:val="21"/>
          <w:szCs w:val="21"/>
        </w:rPr>
        <w:t xml:space="preserve">Pazar büyüklüğü: </w:t>
      </w:r>
      <w:r>
        <w:rPr>
          <w:rFonts w:ascii="Arial" w:cs="Arial" w:eastAsia="Arial" w:hAnsi="Arial"/>
          <w:color w:val="444240"/>
          <w:sz w:val="21"/>
          <w:szCs w:val="21"/>
        </w:rPr>
        <w:t xml:space="preserve">5–15 milyar $ (AI-native özelliklerle genişlemiş kapsam).</w:t>
      </w:r>
    </w:p>
    <w:p>
      <w:pPr>
        <w:spacing w:after="120" w:before="200"/>
      </w:pPr>
      <w:r>
        <w:rPr>
          <w:rFonts w:ascii="Arial" w:cs="Arial" w:eastAsia="Arial" w:hAnsi="Arial"/>
          <w:b/>
          <w:bCs/>
          <w:color w:val="1C1E23"/>
          <w:sz w:val="22"/>
          <w:szCs w:val="22"/>
        </w:rPr>
        <w:t xml:space="preserve">Hexis için anlamı</w:t>
      </w:r>
    </w:p>
    <w:p>
      <w:pPr>
        <w:spacing w:after="160" w:line="276"/>
      </w:pPr>
      <w:r>
        <w:rPr>
          <w:rFonts w:ascii="Arial" w:cs="Arial" w:eastAsia="Arial" w:hAnsi="Arial"/>
          <w:color w:val="444240"/>
          <w:sz w:val="21"/>
          <w:szCs w:val="21"/>
        </w:rPr>
        <w:t xml:space="preserve">Claude API entegrasyonu bu dönemde “olsa iyi olur” değil zorunlu olur. Hexis’in AI-native governance özelliklerine geçişi bugünden hazırlanmalıdır. ORIENT çerçevesi bu dönemde de geçerli kalır çünkü süreç odaklıdır, araç odaklı değil.</w:t>
      </w:r>
    </w:p>
    <w:p>
      <w:pPr>
        <w:pStyle w:val="Heading2"/>
        <w:spacing w:after="160" w:before="300"/>
      </w:pPr>
      <w:r>
        <w:rPr>
          <w:rFonts w:ascii="Georgia" w:cs="Georgia" w:eastAsia="Georgia" w:hAnsi="Georgia"/>
          <w:b/>
          <w:bCs/>
          <w:color w:val="1C1E23"/>
          <w:sz w:val="26"/>
          <w:szCs w:val="26"/>
        </w:rPr>
        <w:t xml:space="preserve">5.4 Dönem 4: Evrensel AI Yönetişimi (2033–2036)</w:t>
      </w:r>
    </w:p>
    <w:p>
      <w:pPr>
        <w:spacing w:after="120" w:before="200"/>
      </w:pPr>
      <w:r>
        <w:rPr>
          <w:rFonts w:ascii="Arial" w:cs="Arial" w:eastAsia="Arial" w:hAnsi="Arial"/>
          <w:b/>
          <w:bCs/>
          <w:color w:val="1C1E23"/>
          <w:sz w:val="22"/>
          <w:szCs w:val="22"/>
        </w:rPr>
        <w:t xml:space="preserve">Sektör dinamikleri</w:t>
      </w:r>
    </w:p>
    <w:p>
      <w:pPr>
        <w:pStyle w:val="ListParagraph"/>
        <w:numPr>
          <w:ilvl w:val="0"/>
          <w:numId w:val="2"/>
        </w:numPr>
        <w:spacing w:after="80" w:line="276"/>
      </w:pPr>
      <w:r>
        <w:rPr>
          <w:rFonts w:ascii="Arial" w:cs="Arial" w:eastAsia="Arial" w:hAnsi="Arial"/>
          <w:b/>
          <w:bCs/>
          <w:color w:val="1C1E23"/>
          <w:sz w:val="21"/>
          <w:szCs w:val="21"/>
        </w:rPr>
        <w:t xml:space="preserve">Her şirket AI şirketi: </w:t>
      </w:r>
      <w:r>
        <w:rPr>
          <w:rFonts w:ascii="Arial" w:cs="Arial" w:eastAsia="Arial" w:hAnsi="Arial"/>
          <w:color w:val="444240"/>
          <w:sz w:val="21"/>
          <w:szCs w:val="21"/>
        </w:rPr>
        <w:t xml:space="preserve">AI kullanmayan şirket kalmaz. Dolayısıyla AI governance her şirketin zorunlu fonksiyonu olur.</w:t>
      </w:r>
    </w:p>
    <w:p>
      <w:pPr>
        <w:pStyle w:val="ListParagraph"/>
        <w:numPr>
          <w:ilvl w:val="0"/>
          <w:numId w:val="2"/>
        </w:numPr>
        <w:spacing w:after="80" w:line="276"/>
      </w:pPr>
      <w:r>
        <w:rPr>
          <w:rFonts w:ascii="Arial" w:cs="Arial" w:eastAsia="Arial" w:hAnsi="Arial"/>
          <w:b/>
          <w:bCs/>
          <w:color w:val="1C1E23"/>
          <w:sz w:val="21"/>
          <w:szCs w:val="21"/>
        </w:rPr>
        <w:t xml:space="preserve">AGI/ASI hazırlığı: </w:t>
      </w:r>
      <w:r>
        <w:rPr>
          <w:rFonts w:ascii="Arial" w:cs="Arial" w:eastAsia="Arial" w:hAnsi="Arial"/>
          <w:color w:val="444240"/>
          <w:sz w:val="21"/>
          <w:szCs w:val="21"/>
        </w:rPr>
        <w:t xml:space="preserve">Genel amaçlı AI (AGI) yakınlaştıkça güvenlik ve denetim standartları radikal biçimde sıkılaşır.</w:t>
      </w:r>
    </w:p>
    <w:p>
      <w:pPr>
        <w:pStyle w:val="ListParagraph"/>
        <w:numPr>
          <w:ilvl w:val="0"/>
          <w:numId w:val="2"/>
        </w:numPr>
        <w:spacing w:after="80" w:line="276"/>
      </w:pPr>
      <w:r>
        <w:rPr>
          <w:rFonts w:ascii="Arial" w:cs="Arial" w:eastAsia="Arial" w:hAnsi="Arial"/>
          <w:b/>
          <w:bCs/>
          <w:color w:val="1C1E23"/>
          <w:sz w:val="21"/>
          <w:szCs w:val="21"/>
        </w:rPr>
        <w:t xml:space="preserve">Otonom karar denetimi: </w:t>
      </w:r>
      <w:r>
        <w:rPr>
          <w:rFonts w:ascii="Arial" w:cs="Arial" w:eastAsia="Arial" w:hAnsi="Arial"/>
          <w:color w:val="444240"/>
          <w:sz w:val="21"/>
          <w:szCs w:val="21"/>
        </w:rPr>
        <w:t xml:space="preserve">AI sistemlerinin bağımsız denetimi, tıpkı mali denetim gibi zorunlu ve düzenli hale gelir.</w:t>
      </w:r>
    </w:p>
    <w:p>
      <w:pPr>
        <w:pStyle w:val="ListParagraph"/>
        <w:numPr>
          <w:ilvl w:val="0"/>
          <w:numId w:val="2"/>
        </w:numPr>
        <w:spacing w:after="80" w:line="276"/>
      </w:pPr>
      <w:r>
        <w:rPr>
          <w:rFonts w:ascii="Arial" w:cs="Arial" w:eastAsia="Arial" w:hAnsi="Arial"/>
          <w:b/>
          <w:bCs/>
          <w:color w:val="1C1E23"/>
          <w:sz w:val="21"/>
          <w:szCs w:val="21"/>
        </w:rPr>
        <w:t xml:space="preserve">Yeni meslek dalları: </w:t>
      </w:r>
      <w:r>
        <w:rPr>
          <w:rFonts w:ascii="Arial" w:cs="Arial" w:eastAsia="Arial" w:hAnsi="Arial"/>
          <w:color w:val="444240"/>
          <w:sz w:val="21"/>
          <w:szCs w:val="21"/>
        </w:rPr>
        <w:t xml:space="preserve">AI Governance Officer, AI Ethics Auditor, AI Compliance Analyst gibi roller standartlaşır.</w:t>
      </w:r>
    </w:p>
    <w:p>
      <w:pPr>
        <w:pStyle w:val="ListParagraph"/>
        <w:numPr>
          <w:ilvl w:val="0"/>
          <w:numId w:val="2"/>
        </w:numPr>
        <w:spacing w:after="80" w:line="276"/>
      </w:pPr>
      <w:r>
        <w:rPr>
          <w:rFonts w:ascii="Arial" w:cs="Arial" w:eastAsia="Arial" w:hAnsi="Arial"/>
          <w:b/>
          <w:bCs/>
          <w:color w:val="1C1E23"/>
          <w:sz w:val="21"/>
          <w:szCs w:val="21"/>
        </w:rPr>
        <w:t xml:space="preserve">Pazar büyüklüğü: </w:t>
      </w:r>
      <w:r>
        <w:rPr>
          <w:rFonts w:ascii="Arial" w:cs="Arial" w:eastAsia="Arial" w:hAnsi="Arial"/>
          <w:color w:val="444240"/>
          <w:sz w:val="21"/>
          <w:szCs w:val="21"/>
        </w:rPr>
        <w:t xml:space="preserve">15–50+ milyar $ (tüm organizasyonlar için zorunlu fonksiyon).</w:t>
      </w:r>
    </w:p>
    <w:p>
      <w:pPr>
        <w:spacing w:after="120" w:before="200"/>
      </w:pPr>
      <w:r>
        <w:rPr>
          <w:rFonts w:ascii="Arial" w:cs="Arial" w:eastAsia="Arial" w:hAnsi="Arial"/>
          <w:b/>
          <w:bCs/>
          <w:color w:val="1C1E23"/>
          <w:sz w:val="22"/>
          <w:szCs w:val="22"/>
        </w:rPr>
        <w:t xml:space="preserve">Hexis için anlamı</w:t>
      </w:r>
    </w:p>
    <w:p>
      <w:pPr>
        <w:spacing w:after="160" w:line="276"/>
      </w:pPr>
      <w:r>
        <w:rPr>
          <w:rFonts w:ascii="Arial" w:cs="Arial" w:eastAsia="Arial" w:hAnsi="Arial"/>
          <w:color w:val="444240"/>
          <w:sz w:val="21"/>
          <w:szCs w:val="21"/>
        </w:rPr>
        <w:t xml:space="preserve">Bu dönemde Hexis ya küresel bir KOBİ AI governance platformu, ya bir sektörel uzman, ya da satın alınmış bir marça olarak varlığını sürdürür. ORIENT metodolojisinin marka değeri ve telif hakları bu senaryoların hepsinde değerlidir.</w:t>
      </w:r>
    </w:p>
    <w:p>
      <w:pPr>
        <w:pStyle w:val="Heading2"/>
        <w:spacing w:after="160" w:before="300"/>
      </w:pPr>
      <w:r>
        <w:rPr>
          <w:rFonts w:ascii="Georgia" w:cs="Georgia" w:eastAsia="Georgia" w:hAnsi="Georgia"/>
          <w:b/>
          <w:bCs/>
          <w:color w:val="1C1E23"/>
          <w:sz w:val="26"/>
          <w:szCs w:val="26"/>
        </w:rPr>
        <w:t xml:space="preserve">5.5 10 Yıllık Projeksiyon Tablosu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26"/>
        <w:gridCol w:w="2800"/>
      </w:tblGrid>
      <w:tr>
        <w:tc>
          <w:tcPr>
            <w:tcW w:type="dxa" w:w="16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Dönem</w:t>
            </w:r>
          </w:p>
        </w:tc>
        <w:tc>
          <w:tcPr>
            <w:tcW w:type="dxa" w:w="18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Pazar</w:t>
            </w:r>
          </w:p>
        </w:tc>
        <w:tc>
          <w:tcPr>
            <w:tcW w:type="dxa" w:w="2826"/>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Ana Dinamik</w:t>
            </w:r>
          </w:p>
        </w:tc>
        <w:tc>
          <w:tcPr>
            <w:tcW w:type="dxa" w:w="28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Hexis Stratejisi</w:t>
            </w:r>
          </w:p>
        </w:tc>
      </w:tr>
      <w:tr>
        <w:tc>
          <w:tcPr>
            <w:tcW w:type="dxa" w:w="16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2026–2028</w:t>
            </w:r>
          </w:p>
        </w:tc>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~0.5–1.4B$</w:t>
            </w:r>
          </w:p>
        </w:tc>
        <w:tc>
          <w:tcPr>
            <w:tcW w:type="dxa" w:w="28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Uyum dalgası, panik alım</w:t>
            </w:r>
          </w:p>
        </w:tc>
        <w:tc>
          <w:tcPr>
            <w:tcW w:type="dxa" w:w="2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Müşteri kazan, SaaS kur</w:t>
            </w:r>
          </w:p>
        </w:tc>
      </w:tr>
      <w:tr>
        <w:tc>
          <w:tcPr>
            <w:tcW w:type="dxa" w:w="16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2028–2030</w:t>
            </w:r>
          </w:p>
        </w:tc>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~1–5B$</w:t>
            </w:r>
          </w:p>
        </w:tc>
        <w:tc>
          <w:tcPr>
            <w:tcW w:type="dxa" w:w="28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Olgunlaşma, standartlaşma</w:t>
            </w:r>
          </w:p>
        </w:tc>
        <w:tc>
          <w:tcPr>
            <w:tcW w:type="dxa" w:w="2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Retention, otomasyon</w:t>
            </w:r>
          </w:p>
        </w:tc>
      </w:tr>
      <w:tr>
        <w:tc>
          <w:tcPr>
            <w:tcW w:type="dxa" w:w="16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2030–2033</w:t>
            </w:r>
          </w:p>
        </w:tc>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~5–15B$</w:t>
            </w:r>
          </w:p>
        </w:tc>
        <w:tc>
          <w:tcPr>
            <w:tcW w:type="dxa" w:w="28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AI-native governance</w:t>
            </w:r>
          </w:p>
        </w:tc>
        <w:tc>
          <w:tcPr>
            <w:tcW w:type="dxa" w:w="2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Claude API derinleşir</w:t>
            </w:r>
          </w:p>
        </w:tc>
      </w:tr>
      <w:tr>
        <w:tc>
          <w:tcPr>
            <w:tcW w:type="dxa" w:w="16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2033–2036</w:t>
            </w:r>
          </w:p>
        </w:tc>
        <w:tc>
          <w:tcPr>
            <w:tcW w:type="dxa" w:w="1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~15–50B$+</w:t>
            </w:r>
          </w:p>
        </w:tc>
        <w:tc>
          <w:tcPr>
            <w:tcW w:type="dxa" w:w="28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Evrensel zorunluluk</w:t>
            </w:r>
          </w:p>
        </w:tc>
        <w:tc>
          <w:tcPr>
            <w:tcW w:type="dxa" w:w="28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Küresel KOBİ lideri veya exit</w:t>
            </w:r>
          </w:p>
        </w:tc>
      </w:tr>
    </w:tbl>
    <w:p>
      <w:pPr>
        <w:pBdr>
          <w:bottom w:val="single" w:color="B2986C" w:sz="4" w:space="8"/>
        </w:pBdr>
        <w:spacing w:after="200" w:before="200"/>
      </w:pPr>
    </w:p>
    <w:p>
      <w:pPr>
        <w:pStyle w:val="Heading1"/>
        <w:spacing w:after="200" w:before="400"/>
      </w:pPr>
      <w:r>
        <w:rPr>
          <w:rFonts w:ascii="Georgia" w:cs="Georgia" w:eastAsia="Georgia" w:hAnsi="Georgia"/>
          <w:b/>
          <w:bCs/>
          <w:color w:val="1C1E23"/>
          <w:sz w:val="32"/>
          <w:szCs w:val="32"/>
        </w:rPr>
        <w:t xml:space="preserve">6. Stratejik Yol Haritası: Öncelikler</w:t>
      </w:r>
    </w:p>
    <w:p>
      <w:pPr>
        <w:spacing w:after="100" w:before="200"/>
      </w:pPr>
      <w:r>
        <w:rPr>
          <w:rFonts w:ascii="Arial" w:cs="Arial" w:eastAsia="Arial" w:hAnsi="Arial"/>
          <w:b/>
          <w:bCs/>
          <w:color w:val="B2986C"/>
          <w:sz w:val="22"/>
          <w:szCs w:val="22"/>
        </w:rPr>
        <w:t xml:space="preserve">ÖNCELİK 1 — İLK GELİR: Şablon Kit Satışı (Bu Hafta)</w:t>
      </w:r>
    </w:p>
    <w:p>
      <w:pPr>
        <w:spacing w:after="160" w:line="276"/>
      </w:pPr>
      <w:r>
        <w:rPr>
          <w:rFonts w:ascii="Arial" w:cs="Arial" w:eastAsia="Arial" w:hAnsi="Arial"/>
          <w:color w:val="444240"/>
          <w:sz w:val="21"/>
          <w:szCs w:val="21"/>
        </w:rPr>
        <w:t xml:space="preserve">Starter Kit hazır, görseller hazır, copy hazır. Eksik: mağaza açılışı.</w:t>
      </w:r>
    </w:p>
    <w:p>
      <w:pPr>
        <w:pStyle w:val="ListParagraph"/>
        <w:numPr>
          <w:ilvl w:val="0"/>
          <w:numId w:val="2"/>
        </w:numPr>
        <w:spacing w:after="80" w:line="276"/>
      </w:pPr>
      <w:r>
        <w:rPr>
          <w:rFonts w:ascii="Arial" w:cs="Arial" w:eastAsia="Arial" w:hAnsi="Arial"/>
          <w:color w:val="444240"/>
          <w:sz w:val="21"/>
          <w:szCs w:val="21"/>
        </w:rPr>
        <w:t xml:space="preserve">LemonSqueezy hesabı aç ve ürün yükle (€99)</w:t>
      </w:r>
    </w:p>
    <w:p>
      <w:pPr>
        <w:pStyle w:val="ListParagraph"/>
        <w:numPr>
          <w:ilvl w:val="0"/>
          <w:numId w:val="2"/>
        </w:numPr>
        <w:spacing w:after="80" w:line="276"/>
      </w:pPr>
      <w:r>
        <w:rPr>
          <w:rFonts w:ascii="Arial" w:cs="Arial" w:eastAsia="Arial" w:hAnsi="Arial"/>
          <w:color w:val="444240"/>
          <w:sz w:val="21"/>
          <w:szCs w:val="21"/>
        </w:rPr>
        <w:t xml:space="preserve">Etsy mağazası aç (€109)</w:t>
      </w:r>
    </w:p>
    <w:p>
      <w:pPr>
        <w:pStyle w:val="ListParagraph"/>
        <w:numPr>
          <w:ilvl w:val="0"/>
          <w:numId w:val="2"/>
        </w:numPr>
        <w:spacing w:after="80" w:line="276"/>
      </w:pPr>
      <w:r>
        <w:rPr>
          <w:rFonts w:ascii="Arial" w:cs="Arial" w:eastAsia="Arial" w:hAnsi="Arial"/>
          <w:color w:val="444240"/>
          <w:sz w:val="21"/>
          <w:szCs w:val="21"/>
        </w:rPr>
        <w:t xml:space="preserve">hexis.center’a CTA butonları ekle</w:t>
      </w:r>
    </w:p>
    <w:p>
      <w:pPr>
        <w:pStyle w:val="ListParagraph"/>
        <w:numPr>
          <w:ilvl w:val="0"/>
          <w:numId w:val="2"/>
        </w:numPr>
        <w:spacing w:after="80" w:line="276"/>
      </w:pPr>
      <w:r>
        <w:rPr>
          <w:rFonts w:ascii="Arial" w:cs="Arial" w:eastAsia="Arial" w:hAnsi="Arial"/>
          <w:color w:val="444240"/>
          <w:sz w:val="21"/>
          <w:szCs w:val="21"/>
        </w:rPr>
        <w:t xml:space="preserve">Lead magnet: Ücretsiz EU AI Act Quick Start Checklist</w:t>
      </w:r>
    </w:p>
    <w:p>
      <w:pPr>
        <w:spacing w:after="160" w:line="276"/>
      </w:pPr>
      <w:r>
        <w:rPr>
          <w:rFonts w:ascii="Arial" w:cs="Arial" w:eastAsia="Arial" w:hAnsi="Arial"/>
          <w:b/>
          <w:bCs/>
          <w:color w:val="1C1E23"/>
          <w:sz w:val="21"/>
          <w:szCs w:val="21"/>
        </w:rPr>
        <w:t xml:space="preserve">Hedef: </w:t>
      </w:r>
      <w:r>
        <w:rPr>
          <w:rFonts w:ascii="Arial" w:cs="Arial" w:eastAsia="Arial" w:hAnsi="Arial"/>
          <w:color w:val="444240"/>
          <w:sz w:val="21"/>
          <w:szCs w:val="21"/>
        </w:rPr>
        <w:t xml:space="preserve">İlk 30 günde 5+ satış veya 50+ lead magnet indirme.</w:t>
      </w:r>
    </w:p>
    <w:p>
      <w:pPr>
        <w:spacing w:after="100" w:before="200"/>
      </w:pPr>
      <w:r>
        <w:rPr>
          <w:rFonts w:ascii="Arial" w:cs="Arial" w:eastAsia="Arial" w:hAnsi="Arial"/>
          <w:b/>
          <w:bCs/>
          <w:color w:val="B2986C"/>
          <w:sz w:val="22"/>
          <w:szCs w:val="22"/>
        </w:rPr>
        <w:t xml:space="preserve">ÖNCELİK 2 — BİLİNİRLİK: LinkedIn + SEO (Şimdi)</w:t>
      </w:r>
    </w:p>
    <w:p>
      <w:pPr>
        <w:pStyle w:val="ListParagraph"/>
        <w:numPr>
          <w:ilvl w:val="0"/>
          <w:numId w:val="2"/>
        </w:numPr>
        <w:spacing w:after="80" w:line="276"/>
      </w:pPr>
      <w:r>
        <w:rPr>
          <w:rFonts w:ascii="Arial" w:cs="Arial" w:eastAsia="Arial" w:hAnsi="Arial"/>
          <w:color w:val="444240"/>
          <w:sz w:val="21"/>
          <w:szCs w:val="21"/>
        </w:rPr>
        <w:t xml:space="preserve">LinkedIn haftalık 3 gönderi (Pt/Çr/Cu) — tutarlılık kritik</w:t>
      </w:r>
    </w:p>
    <w:p>
      <w:pPr>
        <w:pStyle w:val="ListParagraph"/>
        <w:numPr>
          <w:ilvl w:val="0"/>
          <w:numId w:val="2"/>
        </w:numPr>
        <w:spacing w:after="80" w:line="276"/>
      </w:pPr>
      <w:r>
        <w:rPr>
          <w:rFonts w:ascii="Arial" w:cs="Arial" w:eastAsia="Arial" w:hAnsi="Arial"/>
          <w:color w:val="444240"/>
          <w:sz w:val="21"/>
          <w:szCs w:val="21"/>
        </w:rPr>
        <w:t xml:space="preserve">Her gönderide ORIENT referansı</w:t>
      </w:r>
    </w:p>
    <w:p>
      <w:pPr>
        <w:pStyle w:val="ListParagraph"/>
        <w:numPr>
          <w:ilvl w:val="0"/>
          <w:numId w:val="2"/>
        </w:numPr>
        <w:spacing w:after="80" w:line="276"/>
      </w:pPr>
      <w:r>
        <w:rPr>
          <w:rFonts w:ascii="Arial" w:cs="Arial" w:eastAsia="Arial" w:hAnsi="Arial"/>
          <w:color w:val="444240"/>
          <w:sz w:val="21"/>
          <w:szCs w:val="21"/>
        </w:rPr>
        <w:t xml:space="preserve">Haftalık 1 İngilizce blog (SEO: EU AI Act compliance for SMEs)</w:t>
      </w:r>
    </w:p>
    <w:p>
      <w:pPr>
        <w:pStyle w:val="ListParagraph"/>
        <w:numPr>
          <w:ilvl w:val="0"/>
          <w:numId w:val="2"/>
        </w:numPr>
        <w:spacing w:after="80" w:line="276"/>
      </w:pPr>
      <w:r>
        <w:rPr>
          <w:rFonts w:ascii="Arial" w:cs="Arial" w:eastAsia="Arial" w:hAnsi="Arial"/>
          <w:color w:val="444240"/>
          <w:sz w:val="21"/>
          <w:szCs w:val="21"/>
        </w:rPr>
        <w:t xml:space="preserve">Guest post: IAPP, EU AI Act community</w:t>
      </w:r>
    </w:p>
    <w:p>
      <w:pPr>
        <w:pStyle w:val="ListParagraph"/>
        <w:numPr>
          <w:ilvl w:val="0"/>
          <w:numId w:val="2"/>
        </w:numPr>
        <w:spacing w:after="80" w:line="276"/>
      </w:pPr>
      <w:r>
        <w:rPr>
          <w:rFonts w:ascii="Arial" w:cs="Arial" w:eastAsia="Arial" w:hAnsi="Arial"/>
          <w:color w:val="444240"/>
          <w:sz w:val="21"/>
          <w:szCs w:val="21"/>
        </w:rPr>
        <w:t xml:space="preserve">Newsletter sign-up (Beehiiv)</w:t>
      </w:r>
    </w:p>
    <w:p>
      <w:pPr>
        <w:spacing w:after="160" w:line="276"/>
      </w:pPr>
      <w:r>
        <w:rPr>
          <w:rFonts w:ascii="Arial" w:cs="Arial" w:eastAsia="Arial" w:hAnsi="Arial"/>
          <w:b/>
          <w:bCs/>
          <w:color w:val="1C1E23"/>
          <w:sz w:val="21"/>
          <w:szCs w:val="21"/>
        </w:rPr>
        <w:t xml:space="preserve">Hedef: </w:t>
      </w:r>
      <w:r>
        <w:rPr>
          <w:rFonts w:ascii="Arial" w:cs="Arial" w:eastAsia="Arial" w:hAnsi="Arial"/>
          <w:color w:val="444240"/>
          <w:sz w:val="21"/>
          <w:szCs w:val="21"/>
        </w:rPr>
        <w:t xml:space="preserve">3 ayda 500+ LinkedIn follower, 1K+ organik ziyaretçi/ay, 200+ e-posta listesi.</w:t>
      </w:r>
    </w:p>
    <w:p>
      <w:pPr>
        <w:spacing w:after="100" w:before="200"/>
      </w:pPr>
      <w:r>
        <w:rPr>
          <w:rFonts w:ascii="Arial" w:cs="Arial" w:eastAsia="Arial" w:hAnsi="Arial"/>
          <w:b/>
          <w:bCs/>
          <w:color w:val="B2986C"/>
          <w:sz w:val="22"/>
          <w:szCs w:val="22"/>
        </w:rPr>
        <w:t xml:space="preserve">ÖNCELİK 3 — UZMANLIK İSPATI: Sertifika + Case Study</w:t>
      </w:r>
    </w:p>
    <w:p>
      <w:pPr>
        <w:pStyle w:val="ListParagraph"/>
        <w:numPr>
          <w:ilvl w:val="0"/>
          <w:numId w:val="2"/>
        </w:numPr>
        <w:spacing w:after="80" w:line="276"/>
      </w:pPr>
      <w:r>
        <w:rPr>
          <w:rFonts w:ascii="Arial" w:cs="Arial" w:eastAsia="Arial" w:hAnsi="Arial"/>
          <w:color w:val="444240"/>
          <w:sz w:val="21"/>
          <w:szCs w:val="21"/>
        </w:rPr>
        <w:t xml:space="preserve">AIGP sınavını geç</w:t>
      </w:r>
    </w:p>
    <w:p>
      <w:pPr>
        <w:pStyle w:val="ListParagraph"/>
        <w:numPr>
          <w:ilvl w:val="0"/>
          <w:numId w:val="2"/>
        </w:numPr>
        <w:spacing w:after="80" w:line="276"/>
      </w:pPr>
      <w:r>
        <w:rPr>
          <w:rFonts w:ascii="Arial" w:cs="Arial" w:eastAsia="Arial" w:hAnsi="Arial"/>
          <w:color w:val="444240"/>
          <w:sz w:val="21"/>
          <w:szCs w:val="21"/>
        </w:rPr>
        <w:t xml:space="preserve">ISO 42001 badge’i tüm kanallarda öne çıkar</w:t>
      </w:r>
    </w:p>
    <w:p>
      <w:pPr>
        <w:pStyle w:val="ListParagraph"/>
        <w:numPr>
          <w:ilvl w:val="0"/>
          <w:numId w:val="2"/>
        </w:numPr>
        <w:spacing w:after="80" w:line="276"/>
      </w:pPr>
      <w:r>
        <w:rPr>
          <w:rFonts w:ascii="Arial" w:cs="Arial" w:eastAsia="Arial" w:hAnsi="Arial"/>
          <w:color w:val="444240"/>
          <w:sz w:val="21"/>
          <w:szCs w:val="21"/>
        </w:rPr>
        <w:t xml:space="preserve">ORIENT whitepaper yayınla (indirilebilir PDF)</w:t>
      </w:r>
    </w:p>
    <w:p>
      <w:pPr>
        <w:pStyle w:val="ListParagraph"/>
        <w:numPr>
          <w:ilvl w:val="0"/>
          <w:numId w:val="2"/>
        </w:numPr>
        <w:spacing w:after="80" w:line="276"/>
      </w:pPr>
      <w:r>
        <w:rPr>
          <w:rFonts w:ascii="Arial" w:cs="Arial" w:eastAsia="Arial" w:hAnsi="Arial"/>
          <w:color w:val="444240"/>
          <w:sz w:val="21"/>
          <w:szCs w:val="21"/>
        </w:rPr>
        <w:t xml:space="preserve">2–3 KOBİ’ye ücretsiz pilot, case study al</w:t>
      </w:r>
    </w:p>
    <w:p>
      <w:pPr>
        <w:spacing w:after="160" w:line="276"/>
      </w:pPr>
      <w:r>
        <w:rPr>
          <w:rFonts w:ascii="Arial" w:cs="Arial" w:eastAsia="Arial" w:hAnsi="Arial"/>
          <w:b/>
          <w:bCs/>
          <w:color w:val="1C1E23"/>
          <w:sz w:val="21"/>
          <w:szCs w:val="21"/>
        </w:rPr>
        <w:t xml:space="preserve">Hedef: </w:t>
      </w:r>
      <w:r>
        <w:rPr>
          <w:rFonts w:ascii="Arial" w:cs="Arial" w:eastAsia="Arial" w:hAnsi="Arial"/>
          <w:color w:val="444240"/>
          <w:sz w:val="21"/>
          <w:szCs w:val="21"/>
        </w:rPr>
        <w:t xml:space="preserve">AIGP sertifikası + 2 case study + ORIENT whitepaper.</w:t>
      </w:r>
    </w:p>
    <w:p>
      <w:pPr>
        <w:spacing w:after="100" w:before="200"/>
      </w:pPr>
      <w:r>
        <w:rPr>
          <w:rFonts w:ascii="Arial" w:cs="Arial" w:eastAsia="Arial" w:hAnsi="Arial"/>
          <w:b/>
          <w:bCs/>
          <w:color w:val="B2986C"/>
          <w:sz w:val="22"/>
          <w:szCs w:val="22"/>
        </w:rPr>
        <w:t xml:space="preserve">ÖNCELİK 4 — SaaS MVP (3 Ay İçinde)</w:t>
      </w:r>
    </w:p>
    <w:p>
      <w:pPr>
        <w:pStyle w:val="ListParagraph"/>
        <w:numPr>
          <w:ilvl w:val="0"/>
          <w:numId w:val="2"/>
        </w:numPr>
        <w:spacing w:after="80" w:line="276"/>
      </w:pPr>
      <w:r>
        <w:rPr>
          <w:rFonts w:ascii="Arial" w:cs="Arial" w:eastAsia="Arial" w:hAnsi="Arial"/>
          <w:color w:val="444240"/>
          <w:sz w:val="21"/>
          <w:szCs w:val="21"/>
        </w:rPr>
        <w:t xml:space="preserve">MVP: Envanter + Sınıflandırıcı + Governance Matrix</w:t>
      </w:r>
    </w:p>
    <w:p>
      <w:pPr>
        <w:pStyle w:val="ListParagraph"/>
        <w:numPr>
          <w:ilvl w:val="0"/>
          <w:numId w:val="2"/>
        </w:numPr>
        <w:spacing w:after="80" w:line="276"/>
      </w:pPr>
      <w:r>
        <w:rPr>
          <w:rFonts w:ascii="Arial" w:cs="Arial" w:eastAsia="Arial" w:hAnsi="Arial"/>
          <w:color w:val="444240"/>
          <w:sz w:val="21"/>
          <w:szCs w:val="21"/>
        </w:rPr>
        <w:t xml:space="preserve">Supabase + Next.js + Vercel</w:t>
      </w:r>
    </w:p>
    <w:p>
      <w:pPr>
        <w:pStyle w:val="ListParagraph"/>
        <w:numPr>
          <w:ilvl w:val="0"/>
          <w:numId w:val="2"/>
        </w:numPr>
        <w:spacing w:after="80" w:line="276"/>
      </w:pPr>
      <w:r>
        <w:rPr>
          <w:rFonts w:ascii="Arial" w:cs="Arial" w:eastAsia="Arial" w:hAnsi="Arial"/>
          <w:color w:val="444240"/>
          <w:sz w:val="21"/>
          <w:szCs w:val="21"/>
        </w:rPr>
        <w:t xml:space="preserve">Claude Haiku 4.5 (2 noktada kişisel tavsiye)</w:t>
      </w:r>
    </w:p>
    <w:p>
      <w:pPr>
        <w:pStyle w:val="ListParagraph"/>
        <w:numPr>
          <w:ilvl w:val="0"/>
          <w:numId w:val="2"/>
        </w:numPr>
        <w:spacing w:after="80" w:line="276"/>
      </w:pPr>
      <w:r>
        <w:rPr>
          <w:rFonts w:ascii="Arial" w:cs="Arial" w:eastAsia="Arial" w:hAnsi="Arial"/>
          <w:color w:val="444240"/>
          <w:sz w:val="21"/>
          <w:szCs w:val="21"/>
        </w:rPr>
        <w:t xml:space="preserve">€9 giriş → €29/ay Pro</w:t>
      </w:r>
    </w:p>
    <w:p>
      <w:pPr>
        <w:spacing w:after="160" w:line="276"/>
      </w:pPr>
      <w:r>
        <w:rPr>
          <w:rFonts w:ascii="Arial" w:cs="Arial" w:eastAsia="Arial" w:hAnsi="Arial"/>
          <w:b/>
          <w:bCs/>
          <w:color w:val="1C1E23"/>
          <w:sz w:val="21"/>
          <w:szCs w:val="21"/>
        </w:rPr>
        <w:t xml:space="preserve">Hedef: </w:t>
      </w:r>
      <w:r>
        <w:rPr>
          <w:rFonts w:ascii="Arial" w:cs="Arial" w:eastAsia="Arial" w:hAnsi="Arial"/>
          <w:color w:val="444240"/>
          <w:sz w:val="21"/>
          <w:szCs w:val="21"/>
        </w:rPr>
        <w:t xml:space="preserve">Haziran 2026 sonuna kadar beta, 20 ödeme yapan kullanıcı, MRR €500+.</w:t>
      </w:r>
    </w:p>
    <w:p>
      <w:pPr>
        <w:spacing w:after="100" w:before="200"/>
      </w:pPr>
      <w:r>
        <w:rPr>
          <w:rFonts w:ascii="Arial" w:cs="Arial" w:eastAsia="Arial" w:hAnsi="Arial"/>
          <w:b/>
          <w:bCs/>
          <w:color w:val="B2986C"/>
          <w:sz w:val="22"/>
          <w:szCs w:val="22"/>
        </w:rPr>
        <w:t xml:space="preserve">ÖNCELİK 5 — YASAL ALTYAPI (Paralel)</w:t>
      </w:r>
    </w:p>
    <w:p>
      <w:pPr>
        <w:pStyle w:val="ListParagraph"/>
        <w:numPr>
          <w:ilvl w:val="0"/>
          <w:numId w:val="2"/>
        </w:numPr>
        <w:spacing w:after="80" w:line="276"/>
      </w:pPr>
      <w:r>
        <w:rPr>
          <w:rFonts w:ascii="Arial" w:cs="Arial" w:eastAsia="Arial" w:hAnsi="Arial"/>
          <w:color w:val="444240"/>
          <w:sz w:val="21"/>
          <w:szCs w:val="21"/>
        </w:rPr>
        <w:t xml:space="preserve">Avukata danış: LemonSqueezy MoR + 657/28</w:t>
      </w:r>
    </w:p>
    <w:p>
      <w:pPr>
        <w:pStyle w:val="ListParagraph"/>
        <w:numPr>
          <w:ilvl w:val="0"/>
          <w:numId w:val="2"/>
        </w:numPr>
        <w:spacing w:after="80" w:line="276"/>
      </w:pPr>
      <w:r>
        <w:rPr>
          <w:rFonts w:ascii="Arial" w:cs="Arial" w:eastAsia="Arial" w:hAnsi="Arial"/>
          <w:color w:val="444240"/>
          <w:sz w:val="21"/>
          <w:szCs w:val="21"/>
        </w:rPr>
        <w:t xml:space="preserve">Estonya e-Residency başvurusunu somutlaştır</w:t>
      </w:r>
    </w:p>
    <w:p>
      <w:pPr>
        <w:pStyle w:val="ListParagraph"/>
        <w:numPr>
          <w:ilvl w:val="0"/>
          <w:numId w:val="2"/>
        </w:numPr>
        <w:spacing w:after="80" w:line="276"/>
      </w:pPr>
      <w:r>
        <w:rPr>
          <w:rFonts w:ascii="Arial" w:cs="Arial" w:eastAsia="Arial" w:hAnsi="Arial"/>
          <w:color w:val="444240"/>
          <w:sz w:val="21"/>
          <w:szCs w:val="21"/>
        </w:rPr>
        <w:t xml:space="preserve">Nominee director + pasif ortaklık yapısı</w:t>
      </w:r>
    </w:p>
    <w:p>
      <w:pPr>
        <w:spacing w:after="160" w:line="276"/>
      </w:pPr>
      <w:r>
        <w:rPr>
          <w:rFonts w:ascii="Arial" w:cs="Arial" w:eastAsia="Arial" w:hAnsi="Arial"/>
          <w:b/>
          <w:bCs/>
          <w:color w:val="1C1E23"/>
          <w:sz w:val="21"/>
          <w:szCs w:val="21"/>
        </w:rPr>
        <w:t xml:space="preserve">Hedef: </w:t>
      </w:r>
      <w:r>
        <w:rPr>
          <w:rFonts w:ascii="Arial" w:cs="Arial" w:eastAsia="Arial" w:hAnsi="Arial"/>
          <w:color w:val="444240"/>
          <w:sz w:val="21"/>
          <w:szCs w:val="21"/>
        </w:rPr>
        <w:t xml:space="preserve">Avukat görüşü + yasal yol haritası belirlenmiş.</w:t>
      </w:r>
    </w:p>
    <w:p>
      <w:pPr>
        <w:pBdr>
          <w:bottom w:val="single" w:color="B2986C" w:sz="4" w:space="8"/>
        </w:pBdr>
        <w:spacing w:after="200" w:before="200"/>
      </w:pPr>
    </w:p>
    <w:p>
      <w:pPr>
        <w:pStyle w:val="Heading1"/>
        <w:spacing w:after="200" w:before="400"/>
      </w:pPr>
      <w:r>
        <w:rPr>
          <w:rFonts w:ascii="Georgia" w:cs="Georgia" w:eastAsia="Georgia" w:hAnsi="Georgia"/>
          <w:b/>
          <w:bCs/>
          <w:color w:val="1C1E23"/>
          <w:sz w:val="32"/>
          <w:szCs w:val="32"/>
        </w:rPr>
        <w:t xml:space="preserve">7. 12 Aylık Zaman Çizelgesi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26"/>
        <w:gridCol w:w="2200"/>
      </w:tblGrid>
      <w:tr>
        <w:tc>
          <w:tcPr>
            <w:tcW w:type="dxa" w:w="16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Dönem</w:t>
            </w:r>
          </w:p>
        </w:tc>
        <w:tc>
          <w:tcPr>
            <w:tcW w:type="dxa" w:w="22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Odak</w:t>
            </w:r>
          </w:p>
        </w:tc>
        <w:tc>
          <w:tcPr>
            <w:tcW w:type="dxa" w:w="3026"/>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Çıktı</w:t>
            </w:r>
          </w:p>
        </w:tc>
        <w:tc>
          <w:tcPr>
            <w:tcW w:type="dxa" w:w="2200"/>
            <w:tcBorders>
              <w:top w:val="single" w:color="D5D3CF" w:sz="1"/>
              <w:left w:val="single" w:color="D5D3CF" w:sz="1"/>
              <w:bottom w:val="single" w:color="D5D3CF" w:sz="1"/>
              <w:right w:val="single" w:color="D5D3CF" w:sz="1"/>
            </w:tcBorders>
            <w:shd w:fill="1C1E23" w:val="clear"/>
            <w:tcMar>
              <w:top w:type="dxa" w:w="80"/>
              <w:left w:type="dxa" w:w="120"/>
              <w:bottom w:type="dxa" w:w="80"/>
              <w:right w:type="dxa" w:w="120"/>
            </w:tcMar>
          </w:tcPr>
          <w:p>
            <w:r>
              <w:rPr>
                <w:rFonts w:ascii="Arial" w:cs="Arial" w:eastAsia="Arial" w:hAnsi="Arial"/>
                <w:b/>
                <w:bCs/>
                <w:color w:val="FFFFFF"/>
                <w:sz w:val="18"/>
                <w:szCs w:val="18"/>
              </w:rPr>
              <w:t xml:space="preserve">Gelir</w:t>
            </w:r>
          </w:p>
        </w:tc>
      </w:tr>
      <w:tr>
        <w:tc>
          <w:tcPr>
            <w:tcW w:type="dxa" w:w="16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Ay 1 (Nisan)</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İlk satış + bilinirlik</w:t>
            </w:r>
          </w:p>
        </w:tc>
        <w:tc>
          <w:tcPr>
            <w:tcW w:type="dxa" w:w="3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Mağazalar canlı, LinkedIn aktif</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€500–1K</w:t>
            </w:r>
          </w:p>
        </w:tc>
      </w:tr>
      <w:tr>
        <w:tc>
          <w:tcPr>
            <w:tcW w:type="dxa" w:w="16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Ay 2–3 (May–Haz)</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SaaS MVP + 2. kit</w:t>
            </w:r>
          </w:p>
        </w:tc>
        <w:tc>
          <w:tcPr>
            <w:tcW w:type="dxa" w:w="3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app.hexis.center beta, FRIA bundle</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€2–4K</w:t>
            </w:r>
          </w:p>
        </w:tc>
      </w:tr>
      <w:tr>
        <w:tc>
          <w:tcPr>
            <w:tcW w:type="dxa" w:w="16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Ay 4–6 (Tem–Eyl)</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Annex III dalgası</w:t>
            </w:r>
          </w:p>
        </w:tc>
        <w:tc>
          <w:tcPr>
            <w:tcW w:type="dxa" w:w="3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Ödeme aktif, Complete Toolkit</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€5–10K/ay</w:t>
            </w:r>
          </w:p>
        </w:tc>
      </w:tr>
      <w:tr>
        <w:tc>
          <w:tcPr>
            <w:tcW w:type="dxa" w:w="16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Ay 7–9 (Eki–Ara)</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Büyüme</w:t>
            </w:r>
          </w:p>
        </w:tc>
        <w:tc>
          <w:tcPr>
            <w:tcW w:type="dxa" w:w="3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Özellik +, SEO 5K+/ay</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MRR €10K+</w:t>
            </w:r>
          </w:p>
        </w:tc>
      </w:tr>
      <w:tr>
        <w:tc>
          <w:tcPr>
            <w:tcW w:type="dxa" w:w="16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Ay 10–12 (Oca–Mar’27)</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Genişleme</w:t>
            </w:r>
          </w:p>
        </w:tc>
        <w:tc>
          <w:tcPr>
            <w:tcW w:type="dxa" w:w="3026"/>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TR pilot, Business plan</w:t>
            </w:r>
          </w:p>
        </w:tc>
        <w:tc>
          <w:tcPr>
            <w:tcW w:type="dxa" w:w="2200"/>
            <w:tcBorders>
              <w:top w:val="single" w:color="D5D3CF" w:sz="1"/>
              <w:left w:val="single" w:color="D5D3CF" w:sz="1"/>
              <w:bottom w:val="single" w:color="D5D3CF" w:sz="1"/>
              <w:right w:val="single" w:color="D5D3CF" w:sz="1"/>
            </w:tcBorders>
            <w:shd w:fill="FFFFFF" w:val="clear"/>
            <w:tcMar>
              <w:top w:type="dxa" w:w="80"/>
              <w:left w:type="dxa" w:w="120"/>
              <w:bottom w:type="dxa" w:w="80"/>
              <w:right w:type="dxa" w:w="120"/>
            </w:tcMar>
          </w:tcPr>
          <w:p>
            <w:r>
              <w:rPr>
                <w:rFonts w:ascii="Arial" w:cs="Arial" w:eastAsia="Arial" w:hAnsi="Arial"/>
                <w:b w:val="false"/>
                <w:bCs w:val="false"/>
                <w:color w:val="444240"/>
                <w:sz w:val="18"/>
                <w:szCs w:val="18"/>
              </w:rPr>
              <w:t xml:space="preserve">MRR €20K+</w:t>
            </w:r>
          </w:p>
        </w:tc>
      </w:tr>
    </w:tbl>
    <w:p>
      <w:pPr>
        <w:pBdr>
          <w:bottom w:val="single" w:color="B2986C" w:sz="4" w:space="8"/>
        </w:pBdr>
        <w:spacing w:after="200" w:before="200"/>
      </w:pPr>
    </w:p>
    <w:p>
      <w:pPr>
        <w:pStyle w:val="Heading1"/>
        <w:spacing w:after="200" w:before="400"/>
      </w:pPr>
      <w:r>
        <w:rPr>
          <w:rFonts w:ascii="Georgia" w:cs="Georgia" w:eastAsia="Georgia" w:hAnsi="Georgia"/>
          <w:b/>
          <w:bCs/>
          <w:color w:val="1C1E23"/>
          <w:sz w:val="32"/>
          <w:szCs w:val="32"/>
        </w:rPr>
        <w:t xml:space="preserve">8. Kritik Başarı Faktörleri</w:t>
      </w:r>
    </w:p>
    <w:p>
      <w:pPr>
        <w:pStyle w:val="Heading2"/>
        <w:spacing w:after="160" w:before="300"/>
      </w:pPr>
      <w:r>
        <w:rPr>
          <w:rFonts w:ascii="Georgia" w:cs="Georgia" w:eastAsia="Georgia" w:hAnsi="Georgia"/>
          <w:b/>
          <w:bCs/>
          <w:color w:val="1C1E23"/>
          <w:sz w:val="26"/>
          <w:szCs w:val="26"/>
        </w:rPr>
        <w:t xml:space="preserve">8.1 Hexis’i Farklılaştıracak 5 Şey</w:t>
      </w:r>
    </w:p>
    <w:p>
      <w:pPr>
        <w:pStyle w:val="ListParagraph"/>
        <w:numPr>
          <w:ilvl w:val="0"/>
          <w:numId w:val="3"/>
        </w:numPr>
        <w:spacing w:after="120" w:line="276"/>
      </w:pPr>
      <w:r>
        <w:rPr>
          <w:rFonts w:ascii="Arial" w:cs="Arial" w:eastAsia="Arial" w:hAnsi="Arial"/>
          <w:b/>
          <w:bCs/>
          <w:color w:val="1C1E23"/>
          <w:sz w:val="21"/>
          <w:szCs w:val="21"/>
        </w:rPr>
        <w:t xml:space="preserve">ORIENT’i sektör standardı yap: </w:t>
      </w:r>
      <w:r>
        <w:rPr>
          <w:rFonts w:ascii="Arial" w:cs="Arial" w:eastAsia="Arial" w:hAnsi="Arial"/>
          <w:color w:val="444240"/>
          <w:sz w:val="21"/>
          <w:szCs w:val="21"/>
        </w:rPr>
        <w:t xml:space="preserve">Whitepaper, webinar, guest post ile AI governance referans çerçevesi olarak konumlandır.</w:t>
      </w:r>
    </w:p>
    <w:p>
      <w:pPr>
        <w:pStyle w:val="ListParagraph"/>
        <w:numPr>
          <w:ilvl w:val="0"/>
          <w:numId w:val="3"/>
        </w:numPr>
        <w:spacing w:after="120" w:line="276"/>
      </w:pPr>
      <w:r>
        <w:rPr>
          <w:rFonts w:ascii="Arial" w:cs="Arial" w:eastAsia="Arial" w:hAnsi="Arial"/>
          <w:b/>
          <w:bCs/>
          <w:color w:val="1C1E23"/>
          <w:sz w:val="21"/>
          <w:szCs w:val="21"/>
        </w:rPr>
        <w:t xml:space="preserve">Güven altyapısı kur: </w:t>
      </w:r>
      <w:r>
        <w:rPr>
          <w:rFonts w:ascii="Arial" w:cs="Arial" w:eastAsia="Arial" w:hAnsi="Arial"/>
          <w:color w:val="444240"/>
          <w:sz w:val="21"/>
          <w:szCs w:val="21"/>
        </w:rPr>
        <w:t xml:space="preserve">ISO 42001 + AIGP + case study + ücretsiz deneyim = “denedim, ücretlisini de alıyorum” döngüsü.</w:t>
      </w:r>
    </w:p>
    <w:p>
      <w:pPr>
        <w:pStyle w:val="ListParagraph"/>
        <w:numPr>
          <w:ilvl w:val="0"/>
          <w:numId w:val="3"/>
        </w:numPr>
        <w:spacing w:after="120" w:line="276"/>
      </w:pPr>
      <w:r>
        <w:rPr>
          <w:rFonts w:ascii="Arial" w:cs="Arial" w:eastAsia="Arial" w:hAnsi="Arial"/>
          <w:b/>
          <w:bCs/>
          <w:color w:val="1C1E23"/>
          <w:sz w:val="21"/>
          <w:szCs w:val="21"/>
        </w:rPr>
        <w:t xml:space="preserve">Deadline aciliyetini sat: </w:t>
      </w:r>
      <w:r>
        <w:rPr>
          <w:rFonts w:ascii="Arial" w:cs="Arial" w:eastAsia="Arial" w:hAnsi="Arial"/>
          <w:color w:val="444240"/>
          <w:sz w:val="21"/>
          <w:szCs w:val="21"/>
        </w:rPr>
        <w:t xml:space="preserve">Tüm mesajlarda “Ağustos 2026’ya X gün”. FOMO değil, FOMO (Fear of Missing Obligation).</w:t>
      </w:r>
    </w:p>
    <w:p>
      <w:pPr>
        <w:pStyle w:val="ListParagraph"/>
        <w:numPr>
          <w:ilvl w:val="0"/>
          <w:numId w:val="3"/>
        </w:numPr>
        <w:spacing w:after="120" w:line="276"/>
      </w:pPr>
      <w:r>
        <w:rPr>
          <w:rFonts w:ascii="Arial" w:cs="Arial" w:eastAsia="Arial" w:hAnsi="Arial"/>
          <w:b/>
          <w:bCs/>
          <w:color w:val="1C1E23"/>
          <w:sz w:val="21"/>
          <w:szCs w:val="21"/>
        </w:rPr>
        <w:t xml:space="preserve">Freemium huni: </w:t>
      </w:r>
      <w:r>
        <w:rPr>
          <w:rFonts w:ascii="Arial" w:cs="Arial" w:eastAsia="Arial" w:hAnsi="Arial"/>
          <w:color w:val="444240"/>
          <w:sz w:val="21"/>
          <w:szCs w:val="21"/>
        </w:rPr>
        <w:t xml:space="preserve">Ücretsiz araç → lead magnet → şablon → SaaS. Her aşama sonrakini tetikler.</w:t>
      </w:r>
    </w:p>
    <w:p>
      <w:pPr>
        <w:pStyle w:val="ListParagraph"/>
        <w:numPr>
          <w:ilvl w:val="0"/>
          <w:numId w:val="3"/>
        </w:numPr>
        <w:spacing w:after="120" w:line="276"/>
      </w:pPr>
      <w:r>
        <w:rPr>
          <w:rFonts w:ascii="Arial" w:cs="Arial" w:eastAsia="Arial" w:hAnsi="Arial"/>
          <w:b/>
          <w:bCs/>
          <w:color w:val="1C1E23"/>
          <w:sz w:val="21"/>
          <w:szCs w:val="21"/>
        </w:rPr>
        <w:t xml:space="preserve">Niş kal, derinleş: </w:t>
      </w:r>
      <w:r>
        <w:rPr>
          <w:rFonts w:ascii="Arial" w:cs="Arial" w:eastAsia="Arial" w:hAnsi="Arial"/>
          <w:color w:val="444240"/>
          <w:sz w:val="21"/>
          <w:szCs w:val="21"/>
        </w:rPr>
        <w:t xml:space="preserve">“AI governance for EU SMEs” sende olsun. Genişleme sonra.</w:t>
      </w:r>
    </w:p>
    <w:p>
      <w:pPr>
        <w:pStyle w:val="Heading2"/>
        <w:spacing w:after="160" w:before="300"/>
      </w:pPr>
      <w:r>
        <w:rPr>
          <w:rFonts w:ascii="Georgia" w:cs="Georgia" w:eastAsia="Georgia" w:hAnsi="Georgia"/>
          <w:b/>
          <w:bCs/>
          <w:color w:val="1C1E23"/>
          <w:sz w:val="26"/>
          <w:szCs w:val="26"/>
        </w:rPr>
        <w:t xml:space="preserve">8.2 Kaçınılması Gereken 5 Hata</w:t>
      </w:r>
    </w:p>
    <w:p>
      <w:pPr>
        <w:pStyle w:val="ListParagraph"/>
        <w:numPr>
          <w:ilvl w:val="0"/>
          <w:numId w:val="2"/>
        </w:numPr>
        <w:spacing w:after="80" w:line="276"/>
      </w:pPr>
      <w:r>
        <w:rPr>
          <w:rFonts w:ascii="Arial" w:cs="Arial" w:eastAsia="Arial" w:hAnsi="Arial"/>
          <w:b/>
          <w:bCs/>
          <w:color w:val="1C1E23"/>
          <w:sz w:val="21"/>
          <w:szCs w:val="21"/>
        </w:rPr>
        <w:t xml:space="preserve">Kapsam şişmesi: </w:t>
      </w:r>
      <w:r>
        <w:rPr>
          <w:rFonts w:ascii="Arial" w:cs="Arial" w:eastAsia="Arial" w:hAnsi="Arial"/>
          <w:color w:val="444240"/>
          <w:sz w:val="21"/>
          <w:szCs w:val="21"/>
        </w:rPr>
        <w:t xml:space="preserve">MVP = Envanter + Sınıflandırıcı + Matrix. Nokta.</w:t>
      </w:r>
    </w:p>
    <w:p>
      <w:pPr>
        <w:pStyle w:val="ListParagraph"/>
        <w:numPr>
          <w:ilvl w:val="0"/>
          <w:numId w:val="2"/>
        </w:numPr>
        <w:spacing w:after="80" w:line="276"/>
      </w:pPr>
      <w:r>
        <w:rPr>
          <w:rFonts w:ascii="Arial" w:cs="Arial" w:eastAsia="Arial" w:hAnsi="Arial"/>
          <w:b/>
          <w:bCs/>
          <w:color w:val="1C1E23"/>
          <w:sz w:val="21"/>
          <w:szCs w:val="21"/>
        </w:rPr>
        <w:t xml:space="preserve">Perfeksiyonizm: </w:t>
      </w:r>
      <w:r>
        <w:rPr>
          <w:rFonts w:ascii="Arial" w:cs="Arial" w:eastAsia="Arial" w:hAnsi="Arial"/>
          <w:color w:val="444240"/>
          <w:sz w:val="21"/>
          <w:szCs w:val="21"/>
        </w:rPr>
        <w:t xml:space="preserve">Starter Kit HAZIR — yarın satışa çıkmalı.</w:t>
      </w:r>
    </w:p>
    <w:p>
      <w:pPr>
        <w:pStyle w:val="ListParagraph"/>
        <w:numPr>
          <w:ilvl w:val="0"/>
          <w:numId w:val="2"/>
        </w:numPr>
        <w:spacing w:after="80" w:line="276"/>
      </w:pPr>
      <w:r>
        <w:rPr>
          <w:rFonts w:ascii="Arial" w:cs="Arial" w:eastAsia="Arial" w:hAnsi="Arial"/>
          <w:b/>
          <w:bCs/>
          <w:color w:val="1C1E23"/>
          <w:sz w:val="21"/>
          <w:szCs w:val="21"/>
        </w:rPr>
        <w:t xml:space="preserve">Türkiye’ye erken geçiş: </w:t>
      </w:r>
      <w:r>
        <w:rPr>
          <w:rFonts w:ascii="Arial" w:cs="Arial" w:eastAsia="Arial" w:hAnsi="Arial"/>
          <w:color w:val="444240"/>
          <w:sz w:val="21"/>
          <w:szCs w:val="21"/>
        </w:rPr>
        <w:t xml:space="preserve">AB’de product-market fit olmadan Türkiye odak dağıtır.</w:t>
      </w:r>
    </w:p>
    <w:p>
      <w:pPr>
        <w:pStyle w:val="ListParagraph"/>
        <w:numPr>
          <w:ilvl w:val="0"/>
          <w:numId w:val="2"/>
        </w:numPr>
        <w:spacing w:after="80" w:line="276"/>
      </w:pPr>
      <w:r>
        <w:rPr>
          <w:rFonts w:ascii="Arial" w:cs="Arial" w:eastAsia="Arial" w:hAnsi="Arial"/>
          <w:b/>
          <w:bCs/>
          <w:color w:val="1C1E23"/>
          <w:sz w:val="21"/>
          <w:szCs w:val="21"/>
        </w:rPr>
        <w:t xml:space="preserve">Tek kanal bağımlılığı: </w:t>
      </w:r>
      <w:r>
        <w:rPr>
          <w:rFonts w:ascii="Arial" w:cs="Arial" w:eastAsia="Arial" w:hAnsi="Arial"/>
          <w:color w:val="444240"/>
          <w:sz w:val="21"/>
          <w:szCs w:val="21"/>
        </w:rPr>
        <w:t xml:space="preserve">LinkedIn + SEO paralel yürümeli.</w:t>
      </w:r>
    </w:p>
    <w:p>
      <w:pPr>
        <w:pStyle w:val="ListParagraph"/>
        <w:numPr>
          <w:ilvl w:val="0"/>
          <w:numId w:val="2"/>
        </w:numPr>
        <w:spacing w:after="80" w:line="276"/>
      </w:pPr>
      <w:r>
        <w:rPr>
          <w:rFonts w:ascii="Arial" w:cs="Arial" w:eastAsia="Arial" w:hAnsi="Arial"/>
          <w:b/>
          <w:bCs/>
          <w:color w:val="1C1E23"/>
          <w:sz w:val="21"/>
          <w:szCs w:val="21"/>
        </w:rPr>
        <w:t xml:space="preserve">Görünmeden satış bekleme: </w:t>
      </w:r>
      <w:r>
        <w:rPr>
          <w:rFonts w:ascii="Arial" w:cs="Arial" w:eastAsia="Arial" w:hAnsi="Arial"/>
          <w:color w:val="444240"/>
          <w:sz w:val="21"/>
          <w:szCs w:val="21"/>
        </w:rPr>
        <w:t xml:space="preserve">İlk 3 ay %60 zaman pazarlamaya.</w:t>
      </w:r>
    </w:p>
    <w:p>
      <w:pPr>
        <w:pBdr>
          <w:bottom w:val="single" w:color="B2986C" w:sz="4" w:space="8"/>
        </w:pBdr>
        <w:spacing w:after="200" w:before="200"/>
      </w:pPr>
    </w:p>
    <w:p>
      <w:pPr>
        <w:pStyle w:val="Heading1"/>
        <w:spacing w:after="200" w:before="400"/>
      </w:pPr>
      <w:r>
        <w:rPr>
          <w:rFonts w:ascii="Georgia" w:cs="Georgia" w:eastAsia="Georgia" w:hAnsi="Georgia"/>
          <w:b/>
          <w:bCs/>
          <w:color w:val="1C1E23"/>
          <w:sz w:val="32"/>
          <w:szCs w:val="32"/>
        </w:rPr>
        <w:t xml:space="preserve">9. Sonuç</w:t>
      </w:r>
    </w:p>
    <w:p>
      <w:pPr>
        <w:spacing w:after="160" w:line="276"/>
      </w:pPr>
      <w:r>
        <w:rPr>
          <w:rFonts w:ascii="Arial" w:cs="Arial" w:eastAsia="Arial" w:hAnsi="Arial"/>
          <w:color w:val="444240"/>
          <w:sz w:val="21"/>
          <w:szCs w:val="21"/>
        </w:rPr>
        <w:t xml:space="preserve">Hexis AI Governance, doğru zamanda, doğru nişte, doğru temeller üzerine kurulmuştur. ORIENT metodolojisi, sertifika altyapısı ve canlı araçlar ciddi bir başlangıç avantajı sağlamaktadır.</w:t>
      </w:r>
    </w:p>
    <w:p>
      <w:pPr>
        <w:spacing w:after="160" w:line="276"/>
      </w:pPr>
      <w:r>
        <w:rPr>
          <w:rFonts w:ascii="Arial" w:cs="Arial" w:eastAsia="Arial" w:hAnsi="Arial"/>
          <w:color w:val="444240"/>
          <w:sz w:val="21"/>
          <w:szCs w:val="21"/>
        </w:rPr>
        <w:t xml:space="preserve">Önümüzdeki 10 yıl, AI governance’ı niş bir uyum gereksiniminden evrensel bir iş fonksiyonuna dönüştürecektir. Bu dalganın erken safhasında konumlanan, güven inşa eden ve KOBİ segmentini sahiplenen oyuncu, sektörü şekillendirecektir.</w:t>
      </w:r>
    </w:p>
    <w:p>
      <w:pPr>
        <w:spacing w:after="160" w:line="276"/>
      </w:pPr>
      <w:r>
        <w:rPr>
          <w:rFonts w:ascii="Arial" w:cs="Arial" w:eastAsia="Arial" w:hAnsi="Arial"/>
          <w:color w:val="444240"/>
          <w:sz w:val="21"/>
          <w:szCs w:val="21"/>
        </w:rPr>
        <w:t xml:space="preserve">Bugün yapılması gereken: Hazır ürünü satmaya başlamak ve görünür olmak. Geri kalan her şey bu iki adımın üzerine inşa edilecektir.</w:t>
      </w:r>
    </w:p>
    <w:p>
      <w:pPr>
        <w:pBdr>
          <w:top w:val="single" w:color="B2986C" w:sz="2" w:space="12"/>
          <w:bottom w:val="single" w:color="B2986C" w:sz="2" w:space="12"/>
        </w:pBdr>
        <w:spacing w:after="200" w:before="300"/>
      </w:pPr>
      <w:r>
        <w:rPr>
          <w:rFonts w:ascii="Georgia" w:cs="Georgia" w:eastAsia="Georgia" w:hAnsi="Georgia"/>
          <w:color w:val="B2986C"/>
          <w:sz w:val="36"/>
          <w:szCs w:val="36"/>
        </w:rPr>
        <w:t xml:space="preserve">“</w:t>
      </w:r>
      <w:r>
        <w:rPr>
          <w:rFonts w:ascii="Georgia" w:cs="Georgia" w:eastAsia="Georgia" w:hAnsi="Georgia"/>
          <w:i/>
          <w:iCs/>
          <w:color w:val="1C1E23"/>
          <w:sz w:val="24"/>
          <w:szCs w:val="24"/>
        </w:rPr>
        <w:t xml:space="preserve">Compliance as orientation, not checklist. Bu vaadi yerine getirmek için önce pazara çıkmak gerekiyor.</w:t>
      </w:r>
      <w:r>
        <w:rPr>
          <w:rFonts w:ascii="Georgia" w:cs="Georgia" w:eastAsia="Georgia" w:hAnsi="Georgia"/>
          <w:color w:val="B2986C"/>
          <w:sz w:val="36"/>
          <w:szCs w:val="36"/>
        </w:rPr>
        <w:t xml:space="preserve">”</w:t>
      </w:r>
    </w:p>
    <w:p>
      <w:pPr>
        <w:spacing w:before="600"/>
      </w:pPr>
    </w:p>
    <w:p>
      <w:pPr>
        <w:jc w:val="center"/>
      </w:pPr>
      <w:r>
        <w:rPr>
          <w:rFonts w:ascii="Arial" w:cs="Arial" w:eastAsia="Arial" w:hAnsi="Arial"/>
          <w:color w:val="686662"/>
          <w:sz w:val="18"/>
          <w:szCs w:val="18"/>
        </w:rPr>
        <w:t xml:space="preserve">— Hexis Strateji Masası, 25 Mart 2026</w:t>
      </w:r>
    </w:p>
    <w:p>
      <w:pPr>
        <w:spacing w:before="300"/>
      </w:pPr>
    </w:p>
    <w:p>
      <w:pPr>
        <w:spacing w:after="80"/>
      </w:pPr>
      <w:r>
        <w:rPr>
          <w:rFonts w:ascii="Arial" w:cs="Arial" w:eastAsia="Arial" w:hAnsi="Arial"/>
          <w:b/>
          <w:bCs/>
          <w:color w:val="686662"/>
          <w:sz w:val="18"/>
          <w:szCs w:val="18"/>
        </w:rPr>
        <w:t xml:space="preserve">Kaynaklar</w:t>
      </w:r>
    </w:p>
    <w:p>
      <w:pPr>
        <w:spacing w:after="40"/>
      </w:pPr>
      <w:r>
        <w:rPr>
          <w:rFonts w:ascii="Arial" w:cs="Arial" w:eastAsia="Arial" w:hAnsi="Arial"/>
          <w:color w:val="686662"/>
          <w:sz w:val="16"/>
          <w:szCs w:val="16"/>
        </w:rPr>
        <w:t xml:space="preserve">MarketsandMarkets AI Governance Market Report | Gartner AI Governance Platforms Forecast | Precedence Research AI Governance Market 2034 | IAPP Global AI Law &amp; Policy Tracker | HBR: How SMEs Can Prepare for EU AI Regulations | Eurostat AI Adoption Index 2025 | European Digital SME Alliance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86662"/>
        <w:sz w:val="16"/>
        <w:szCs w:val="16"/>
      </w:rPr>
      <w:t xml:space="preserve">hexis.center  |  Sayfa </w:t>
    </w:r>
    <w:r>
      <w:rPr>
        <w:rFonts w:ascii="Arial" w:cs="Arial" w:eastAsia="Arial" w:hAnsi="Arial"/>
        <w:color w:val="6866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86662"/>
        <w:sz w:val="16"/>
        <w:szCs w:val="16"/>
      </w:rPr>
      <w:t xml:space="preserve">HEXIS — Stratejik Büyüme Analizi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1C1E23"/>
      <w:sz w:val="32"/>
      <w:szCs w:val="32"/>
    </w:rPr>
  </w:style>
  <w:style w:type="paragraph" w:styleId="Heading2">
    <w:name w:val="Heading 2"/>
    <w:basedOn w:val="Normal"/>
    <w:next w:val="Normal"/>
    <w:qFormat/>
    <w:pPr>
      <w:spacing w:after="160" w:before="300"/>
      <w:outlineLvl w:val="1"/>
    </w:pPr>
    <w:rPr>
      <w:rFonts w:ascii="Georgia" w:cs="Georgia" w:eastAsia="Georgia" w:hAnsi="Georgia"/>
      <w:b/>
      <w:bCs/>
      <w:color w:val="1C1E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2026-03-25T12:26:23.611Z</dcterms:created>
  <dcterms:modified xsi:type="dcterms:W3CDTF">2026-03-25T12:26:23.611Z</dcterms:modified>
</cp:coreProperties>
</file>

<file path=docProps/custom.xml><?xml version="1.0" encoding="utf-8"?>
<Properties xmlns="http://schemas.openxmlformats.org/officeDocument/2006/custom-properties" xmlns:vt="http://schemas.openxmlformats.org/officeDocument/2006/docPropsVTypes"/>
</file>