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line="276"/>
        <w:jc w:val="center"/>
      </w:pPr>
      <w:r>
        <w:rPr>
          <w:rFonts w:ascii="Arial" w:cs="Arial" w:eastAsia="Arial" w:hAnsi="Arial"/>
          <w:b/>
          <w:bCs/>
          <w:color w:val="6B7280"/>
          <w:sz w:val="20"/>
          <w:szCs w:val="20"/>
        </w:rPr>
        <w:t xml:space="preserve">AI SKILLS EDUCATION STARTUP</w:t>
      </w:r>
    </w:p>
    <w:p>
      <w:pPr>
        <w:spacing w:after="100"/>
      </w:pPr>
    </w:p>
    <w:p>
      <w:pPr>
        <w:spacing w:after="120" w:line="276"/>
        <w:jc w:val="center"/>
      </w:pPr>
      <w:r>
        <w:rPr>
          <w:rFonts w:ascii="Arial" w:cs="Arial" w:eastAsia="Arial" w:hAnsi="Arial"/>
          <w:b/>
          <w:bCs/>
          <w:color w:val="0F172A"/>
          <w:sz w:val="52"/>
          <w:szCs w:val="52"/>
        </w:rPr>
        <w:t xml:space="preserve">$1 Billion Valuation</w:t>
      </w:r>
    </w:p>
    <w:p>
      <w:pPr>
        <w:spacing w:after="120" w:line="276"/>
        <w:jc w:val="center"/>
      </w:pPr>
      <w:r>
        <w:rPr>
          <w:rFonts w:ascii="Arial" w:cs="Arial" w:eastAsia="Arial" w:hAnsi="Arial"/>
          <w:b/>
          <w:bCs/>
          <w:color w:val="0F172A"/>
          <w:sz w:val="40"/>
          <w:szCs w:val="40"/>
        </w:rPr>
        <w:t xml:space="preserve">Scorecard &amp; Competitive Analysis</w:t>
      </w:r>
    </w:p>
    <w:p>
      <w:pPr>
        <w:spacing w:after="200"/>
      </w:pPr>
    </w:p>
    <w:p>
      <w:pPr>
        <w:spacing w:after="120" w:line="276"/>
        <w:jc w:val="center"/>
      </w:pPr>
      <w:r>
        <w:rPr>
          <w:rFonts w:ascii="Arial" w:cs="Arial" w:eastAsia="Arial" w:hAnsi="Arial"/>
          <w:color w:val="1E40AF"/>
          <w:sz w:val="22"/>
          <w:szCs w:val="22"/>
        </w:rPr>
        <w:t xml:space="preserve">10 Criteria Evaluation  |  10 Coursiv-Like Competitors  |  Strategic Verdict</w:t>
      </w:r>
    </w:p>
    <w:p>
      <w:pPr>
        <w:spacing w:after="100"/>
      </w:pPr>
    </w:p>
    <w:p>
      <w:pPr>
        <w:spacing w:after="120" w:line="276"/>
        <w:jc w:val="center"/>
      </w:pPr>
      <w:r>
        <w:rPr>
          <w:rFonts w:ascii="Arial" w:cs="Arial" w:eastAsia="Arial" w:hAnsi="Arial"/>
          <w:color w:val="6B7280"/>
          <w:sz w:val="20"/>
          <w:szCs w:val="20"/>
        </w:rPr>
        <w:t xml:space="preserve">Based on analysis of 10,792 conference attendees, market research,</w:t>
      </w:r>
    </w:p>
    <w:p>
      <w:pPr>
        <w:spacing w:after="120" w:line="276"/>
        <w:jc w:val="center"/>
      </w:pPr>
      <w:r>
        <w:rPr>
          <w:rFonts w:ascii="Arial" w:cs="Arial" w:eastAsia="Arial" w:hAnsi="Arial"/>
          <w:color w:val="6B7280"/>
          <w:sz w:val="20"/>
          <w:szCs w:val="20"/>
        </w:rPr>
        <w:t xml:space="preserve">competitive landscape, and edtech valuation benchmarks</w:t>
      </w:r>
    </w:p>
    <w:p>
      <w:pPr>
        <w:spacing w:after="800"/>
      </w:pPr>
    </w:p>
    <w:p>
      <w:pPr>
        <w:spacing w:after="120" w:line="276"/>
        <w:jc w:val="center"/>
      </w:pPr>
      <w:r>
        <w:rPr>
          <w:rFonts w:ascii="Arial" w:cs="Arial" w:eastAsia="Arial" w:hAnsi="Arial"/>
          <w:color w:val="6B7280"/>
          <w:sz w:val="20"/>
          <w:szCs w:val="20"/>
        </w:rPr>
        <w:t xml:space="preserve">February 2026</w:t>
      </w:r>
    </w:p>
    <w:p>
      <w:pPr>
        <w:spacing w:after="120" w:line="276"/>
        <w:jc w:val="center"/>
      </w:pPr>
      <w:r>
        <w:rPr>
          <w:rFonts w:ascii="Arial" w:cs="Arial" w:eastAsia="Arial" w:hAnsi="Arial"/>
          <w:i/>
          <w:iCs/>
          <w:color w:val="6B7280"/>
          <w:sz w:val="18"/>
          <w:szCs w:val="18"/>
        </w:rPr>
        <w:t xml:space="preserve">Confidential</w:t>
      </w:r>
    </w:p>
    <w:p>
      <w:r>
        <w:br w:type="page"/>
      </w:r>
    </w:p>
    <w:p>
      <w:pPr>
        <w:pStyle w:val="Heading1"/>
      </w:pPr>
      <w:r>
        <w:t xml:space="preserve">Executive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08A" w:sz="2"/>
              <w:left w:val="single" w:color="FEF08A" w:sz="2"/>
              <w:bottom w:val="single" w:color="FEF08A" w:sz="2"/>
              <w:right w:val="single" w:color="FEF08A" w:sz="2"/>
            </w:tcBorders>
            <w:shd w:fill="FEFCE8" w:val="clear"/>
            <w:tcMar>
              <w:top w:type="dxa" w:w="140"/>
              <w:left w:type="dxa" w:w="200"/>
              <w:bottom w:type="dxa" w:w="140"/>
              <w:right w:type="dxa" w:w="200"/>
            </w:tcMar>
          </w:tcPr>
          <w:p>
            <w:pPr>
              <w:spacing w:after="120" w:line="276"/>
            </w:pPr>
            <w:r>
              <w:rPr>
                <w:rFonts w:ascii="Arial" w:cs="Arial" w:eastAsia="Arial" w:hAnsi="Arial"/>
                <w:b/>
                <w:bCs/>
                <w:color w:val="854D0E"/>
                <w:sz w:val="28"/>
                <w:szCs w:val="28"/>
              </w:rPr>
              <w:t xml:space="preserve">Overall Score: 61/100 — Promising but High-Risk</w:t>
            </w:r>
          </w:p>
          <w:p>
            <w:pPr>
              <w:spacing w:after="120" w:line="276"/>
            </w:pPr>
            <w:r>
              <w:rPr>
                <w:rFonts w:ascii="Arial" w:cs="Arial" w:eastAsia="Arial" w:hAnsi="Arial"/>
                <w:color w:val="713F12"/>
                <w:sz w:val="20"/>
                <w:szCs w:val="20"/>
              </w:rPr>
              <w:t xml:space="preserve">Strong scores in timing (9/10), market size (8/10), and scalability (8/10), but critical gaps in competitive moat (3/10) and path to $100M ARR (4/10). The market opportunity is real and urgent, but building a $1B company through AI content subscriptions alone is extremely difficult.</w:t>
            </w:r>
          </w:p>
        </w:tc>
      </w:tr>
    </w:tbl>
    <w:p>
      <w:pPr>
        <w:spacing w:after="200"/>
      </w:pPr>
    </w:p>
    <w:p>
      <w:pPr>
        <w:spacing w:after="120" w:line="276"/>
      </w:pPr>
      <w:r>
        <w:rPr>
          <w:rFonts w:ascii="Arial" w:cs="Arial" w:eastAsia="Arial" w:hAnsi="Arial"/>
          <w:color w:val="374151"/>
          <w:sz w:val="20"/>
          <w:szCs w:val="20"/>
        </w:rPr>
        <w:t xml:space="preserve">This report evaluates the viability of building a $1 billion AI skills education company targeting the 10,000+ conference attendees and the broader market of business professionals seeking practical AI training. The analysis combines audience data from 10,792 Calendly registrations and 1,761 LinkedIn registrations with competitive intelligence on 10 comparable AI education products, market sizing data, subscription education benchmarks, and edtech valuation patterns.</w:t>
      </w:r>
    </w:p>
    <w:p>
      <w:pPr>
        <w:spacing w:after="60"/>
      </w:pPr>
    </w:p>
    <w:p>
      <w:pPr>
        <w:spacing w:after="120" w:line="276"/>
      </w:pPr>
      <w:r>
        <w:rPr>
          <w:rFonts w:ascii="Arial" w:cs="Arial" w:eastAsia="Arial" w:hAnsi="Arial"/>
          <w:b/>
          <w:bCs/>
          <w:color w:val="0F172A"/>
          <w:sz w:val="20"/>
          <w:szCs w:val="20"/>
        </w:rPr>
        <w:t xml:space="preserve">Key Finding: </w:t>
      </w:r>
      <w:r>
        <w:rPr>
          <w:rFonts w:ascii="Arial" w:cs="Arial" w:eastAsia="Arial" w:hAnsi="Arial"/>
          <w:color w:val="374151"/>
          <w:sz w:val="20"/>
          <w:szCs w:val="20"/>
        </w:rPr>
        <w:t xml:space="preserve">Sana Labs reached a $1.1B acquisition by Workday in September 2025, but as an enterprise AI learning infrastructure platform, not a consumer content subscription. This distinction is critical: the most viable path to $1B runs through enterprise B2B, not B2C content.</w:t>
      </w:r>
    </w:p>
    <w:p>
      <w:r>
        <w:br w:type="page"/>
      </w:r>
    </w:p>
    <w:p>
      <w:pPr>
        <w:pStyle w:val="Heading1"/>
      </w:pPr>
      <w:r>
        <w:t xml:space="preserve">Section 1: $1 Billion Valuation Scorecard</w:t>
      </w:r>
    </w:p>
    <w:p>
      <w:pPr>
        <w:spacing w:after="60"/>
      </w:pPr>
    </w:p>
    <w:p>
      <w:pPr>
        <w:spacing w:after="120" w:line="276"/>
      </w:pPr>
      <w:r>
        <w:rPr>
          <w:rFonts w:ascii="Arial" w:cs="Arial" w:eastAsia="Arial" w:hAnsi="Arial"/>
          <w:color w:val="374151"/>
          <w:sz w:val="20"/>
          <w:szCs w:val="20"/>
        </w:rPr>
        <w:t xml:space="preserve">Each criterion is scored 0-10 based on the target audience (10K conference attendees), market data, competitive landscape, and edtech industry benchmarks.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760"/>
      </w:tblGrid>
      <w:tr>
        <w:tc>
          <w:tcPr>
            <w:tcW w:type="dxa" w:w="4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12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37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374151"/>
                <w:sz w:val="18"/>
                <w:szCs w:val="18"/>
              </w:rPr>
              <w:t xml:space="preserve">Market Size &amp; TAM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bCs/>
                <w:color w:val="166534"/>
                <w:sz w:val="20"/>
                <w:szCs w:val="20"/>
              </w:rPr>
              <w:t xml:space="preserve">8/10</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166534"/>
                <w:sz w:val="18"/>
                <w:szCs w:val="18"/>
              </w:rPr>
              <w:t xml:space="preserve">Strong</w:t>
            </w:r>
          </w:p>
        </w:tc>
      </w:tr>
      <w:tr>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374151"/>
                <w:sz w:val="18"/>
                <w:szCs w:val="18"/>
              </w:rPr>
              <w:t xml:space="preserve">Timing &amp; Market Readiness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b/>
                <w:bCs/>
                <w:color w:val="166534"/>
                <w:sz w:val="20"/>
                <w:szCs w:val="20"/>
              </w:rPr>
              <w:t xml:space="preserve">9/10</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166534"/>
                <w:sz w:val="18"/>
                <w:szCs w:val="18"/>
              </w:rPr>
              <w:t xml:space="preserve">Strong</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374151"/>
                <w:sz w:val="18"/>
                <w:szCs w:val="18"/>
              </w:rPr>
              <w:t xml:space="preserve">Scalability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bCs/>
                <w:color w:val="166534"/>
                <w:sz w:val="20"/>
                <w:szCs w:val="20"/>
              </w:rPr>
              <w:t xml:space="preserve">8/10</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166534"/>
                <w:sz w:val="18"/>
                <w:szCs w:val="18"/>
              </w:rPr>
              <w:t xml:space="preserve">Strong</w:t>
            </w:r>
          </w:p>
        </w:tc>
      </w:tr>
      <w:tr>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374151"/>
                <w:sz w:val="18"/>
                <w:szCs w:val="18"/>
              </w:rPr>
              <w:t xml:space="preserve">Founding Team &amp; Initial Distribution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b/>
                <w:bCs/>
                <w:color w:val="854D0E"/>
                <w:sz w:val="20"/>
                <w:szCs w:val="20"/>
              </w:rPr>
              <w:t xml:space="preserve">7/10</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854D0E"/>
                <w:sz w:val="18"/>
                <w:szCs w:val="18"/>
              </w:rPr>
              <w:t xml:space="preserve">Moderate</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374151"/>
                <w:sz w:val="18"/>
                <w:szCs w:val="18"/>
              </w:rPr>
              <w:t xml:space="preserve">Revenue Model &amp; Unit Economics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bCs/>
                <w:color w:val="854D0E"/>
                <w:sz w:val="20"/>
                <w:szCs w:val="20"/>
              </w:rPr>
              <w:t xml:space="preserve">6/10</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854D0E"/>
                <w:sz w:val="18"/>
                <w:szCs w:val="18"/>
              </w:rPr>
              <w:t xml:space="preserve">Moderate</w:t>
            </w:r>
          </w:p>
        </w:tc>
      </w:tr>
      <w:tr>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374151"/>
                <w:sz w:val="18"/>
                <w:szCs w:val="18"/>
              </w:rPr>
              <w:t xml:space="preserve">Audience Quality &amp; Willingness to Pay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b/>
                <w:bCs/>
                <w:color w:val="854D0E"/>
                <w:sz w:val="20"/>
                <w:szCs w:val="20"/>
              </w:rPr>
              <w:t xml:space="preserve">6/10</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854D0E"/>
                <w:sz w:val="18"/>
                <w:szCs w:val="18"/>
              </w:rPr>
              <w:t xml:space="preserve">Moderate</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374151"/>
                <w:sz w:val="18"/>
                <w:szCs w:val="18"/>
              </w:rPr>
              <w:t xml:space="preserve">Product Differentiation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5/10</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EA580C"/>
                <w:sz w:val="18"/>
                <w:szCs w:val="18"/>
              </w:rPr>
              <w:t xml:space="preserve">Weak</w:t>
            </w:r>
          </w:p>
        </w:tc>
      </w:tr>
      <w:tr>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374151"/>
                <w:sz w:val="18"/>
                <w:szCs w:val="18"/>
              </w:rPr>
              <w:t xml:space="preserve">Competitive Moat &amp; Defensibility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b/>
                <w:bCs/>
                <w:color w:val="991B1B"/>
                <w:sz w:val="20"/>
                <w:szCs w:val="20"/>
              </w:rPr>
              <w:t xml:space="preserve">3/10</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991B1B"/>
                <w:sz w:val="18"/>
                <w:szCs w:val="18"/>
              </w:rPr>
              <w:t xml:space="preserve">Critical Gap</w:t>
            </w:r>
          </w:p>
        </w:tc>
      </w:tr>
      <w:tr>
        <w:tc>
          <w:tcPr>
            <w:tcW w:type="dxa" w:w="4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374151"/>
                <w:sz w:val="18"/>
                <w:szCs w:val="18"/>
              </w:rPr>
              <w:t xml:space="preserve">Path to $100M ARR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4/10</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EA580C"/>
                <w:sz w:val="18"/>
                <w:szCs w:val="18"/>
              </w:rPr>
              <w:t xml:space="preserve">Weak</w:t>
            </w:r>
          </w:p>
        </w:tc>
      </w:tr>
      <w:tr>
        <w:tc>
          <w:tcPr>
            <w:tcW w:type="dxa" w:w="4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374151"/>
                <w:sz w:val="18"/>
                <w:szCs w:val="18"/>
              </w:rPr>
              <w:t xml:space="preserve">Exit Potential &amp; Investor Attractiveness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5/10</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EA580C"/>
                <w:sz w:val="18"/>
                <w:szCs w:val="18"/>
              </w:rPr>
              <w:t xml:space="preserve">Weak</w:t>
            </w:r>
          </w:p>
        </w:tc>
      </w:tr>
      <w:tr>
        <w:tc>
          <w:tcPr>
            <w:tcW w:type="dxa" w:w="4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1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61/100</w:t>
            </w:r>
          </w:p>
        </w:tc>
        <w:tc>
          <w:tcPr>
            <w:tcW w:type="dxa" w:w="3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EF08A"/>
                <w:sz w:val="20"/>
                <w:szCs w:val="20"/>
              </w:rPr>
              <w:t xml:space="preserve">Promising but significant challenges</w:t>
            </w:r>
          </w:p>
        </w:tc>
      </w:tr>
    </w:tbl>
    <w:p>
      <w:pPr>
        <w:spacing w:after="200"/>
      </w:pPr>
    </w:p>
    <w:p>
      <w:pPr>
        <w:pStyle w:val="Heading2"/>
      </w:pPr>
      <w:r>
        <w:t xml:space="preserve">Detailed Criteria Analysis</w:t>
      </w:r>
    </w:p>
    <w:p>
      <w:pPr>
        <w:spacing w:after="60"/>
      </w:pPr>
    </w:p>
    <w:p>
      <w:pPr>
        <w:spacing w:after="80" w:line="276"/>
      </w:pPr>
      <w:r>
        <w:rPr>
          <w:rFonts w:ascii="Arial" w:cs="Arial" w:eastAsia="Arial" w:hAnsi="Arial"/>
          <w:b/>
          <w:bCs/>
          <w:color w:val="0F172A"/>
          <w:sz w:val="24"/>
          <w:szCs w:val="24"/>
        </w:rPr>
        <w:t xml:space="preserve">1. Market Size &amp; TAM — Score: 8/10</w:t>
      </w:r>
    </w:p>
    <w:p>
      <w:pPr>
        <w:spacing w:after="120" w:line="276"/>
      </w:pPr>
      <w:r>
        <w:rPr>
          <w:rFonts w:ascii="Arial" w:cs="Arial" w:eastAsia="Arial" w:hAnsi="Arial"/>
          <w:color w:val="374151"/>
          <w:sz w:val="20"/>
          <w:szCs w:val="20"/>
        </w:rPr>
        <w:t xml:space="preserve">The AI education market is projected to grow from $5.9B (2024) to $32B+ by 2030 at 31% CAGR. The broader corporate training market exceeds $326B. 94% of leaders report AI-critical skill shortages (WEF). 7M+ US workers now need AI fluency (up 7x from 2023). 57M Americans interested in learning AI skills.</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$32B+ market by 2030 at 31% CAGR. 94% of leaders face AI skill shortages. Coursera-Udemy $2.5B merger validates scale.</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Specific niche is narrower subset. Free alternatives from Google and OpenAI set price anchor at $0.</w:t>
      </w:r>
    </w:p>
    <w:p>
      <w:pPr>
        <w:spacing w:after="140"/>
      </w:pPr>
    </w:p>
    <w:p>
      <w:pPr>
        <w:spacing w:after="80" w:line="276"/>
      </w:pPr>
      <w:r>
        <w:rPr>
          <w:rFonts w:ascii="Arial" w:cs="Arial" w:eastAsia="Arial" w:hAnsi="Arial"/>
          <w:b/>
          <w:bCs/>
          <w:color w:val="0F172A"/>
          <w:sz w:val="24"/>
          <w:szCs w:val="24"/>
        </w:rPr>
        <w:t xml:space="preserve">2. Timing &amp; Market Readiness — Score: 9/10</w:t>
      </w:r>
    </w:p>
    <w:p>
      <w:pPr>
        <w:spacing w:after="120" w:line="276"/>
      </w:pPr>
      <w:r>
        <w:rPr>
          <w:rFonts w:ascii="Arial" w:cs="Arial" w:eastAsia="Arial" w:hAnsi="Arial"/>
          <w:color w:val="374151"/>
          <w:sz w:val="20"/>
          <w:szCs w:val="20"/>
        </w:rPr>
        <w:t xml:space="preserve">Timing is nearly perfect. 75% of knowledge workers already use AI tools, but only 6% of organizations have begun meaningful upskilling. GenAI course enrollment on Coursera accelerated from 1/minute to 14/minute. Microsoft invested $4B in AI workforce training. Window may narrow in 2-3 years as AI literacy becomes expected.</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Peak demand moment. 14x acceleration in GenAI enrollment. Microsoft $4B and Amazon $1.2B+ investing in AI training.</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Window narrowing in 2-3 years. Free options proliferating. AI fatigue risk as hype normalizes.</w:t>
      </w:r>
    </w:p>
    <w:p>
      <w:pPr>
        <w:spacing w:after="140"/>
      </w:pPr>
    </w:p>
    <w:p>
      <w:pPr>
        <w:spacing w:after="80" w:line="276"/>
      </w:pPr>
      <w:r>
        <w:rPr>
          <w:rFonts w:ascii="Arial" w:cs="Arial" w:eastAsia="Arial" w:hAnsi="Arial"/>
          <w:b/>
          <w:bCs/>
          <w:color w:val="0F172A"/>
          <w:sz w:val="24"/>
          <w:szCs w:val="24"/>
        </w:rPr>
        <w:t xml:space="preserve">3. Scalability — Score: 8/10</w:t>
      </w:r>
    </w:p>
    <w:p>
      <w:pPr>
        <w:spacing w:after="120" w:line="276"/>
      </w:pPr>
      <w:r>
        <w:rPr>
          <w:rFonts w:ascii="Arial" w:cs="Arial" w:eastAsia="Arial" w:hAnsi="Arial"/>
          <w:color w:val="374151"/>
          <w:sz w:val="20"/>
          <w:szCs w:val="20"/>
        </w:rPr>
        <w:t xml:space="preserve">Digital education scales beautifully with near-zero marginal costs. Content can serve 10K or 10M users with minimal cost difference. Mobile-first enables global reach. Duolingo proved consumer education can scale to 103M MAU. AI can automate content creation and personalization.</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Near-zero marginal costs. Mobile-first enables borderless distribution. AI can automate content creation and translation.</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Scaling user acquisition requires massive marketing spend. Localization for price-sensitive markets is complex.</w:t>
      </w:r>
    </w:p>
    <w:p>
      <w:pPr>
        <w:spacing w:after="140"/>
      </w:pPr>
    </w:p>
    <w:p>
      <w:pPr>
        <w:spacing w:after="80" w:line="276"/>
      </w:pPr>
      <w:r>
        <w:rPr>
          <w:rFonts w:ascii="Arial" w:cs="Arial" w:eastAsia="Arial" w:hAnsi="Arial"/>
          <w:b/>
          <w:bCs/>
          <w:color w:val="0F172A"/>
          <w:sz w:val="24"/>
          <w:szCs w:val="24"/>
        </w:rPr>
        <w:t xml:space="preserve">4. Founding Team &amp; Initial Distribution — Score: 7/10</w:t>
      </w:r>
    </w:p>
    <w:p>
      <w:pPr>
        <w:spacing w:after="120" w:line="276"/>
      </w:pPr>
      <w:r>
        <w:rPr>
          <w:rFonts w:ascii="Arial" w:cs="Arial" w:eastAsia="Arial" w:hAnsi="Arial"/>
          <w:color w:val="374151"/>
          <w:sz w:val="20"/>
          <w:szCs w:val="20"/>
        </w:rPr>
        <w:t xml:space="preserve">Significant unfair advantage: 10,000+ conference attendees who self-selected as AI-interested professionals. Calendly data shows 2,527 Founders/CEOs, 2,915 Product/Marketing/Tech leads, 1,875 corporate professionals, 1,612 AI Freelancers. 533 investors could become advisors or funders.</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10K warm leads is exceptional for launch. 24% Founders/CEOs + 27% functional leads. 533 investors in audience.</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Conference attendees typically convert at 2-5%. Unknown team technical capabilities. One-time advantage needs repeatable growth.</w:t>
      </w:r>
    </w:p>
    <w:p>
      <w:pPr>
        <w:spacing w:after="140"/>
      </w:pPr>
    </w:p>
    <w:p>
      <w:pPr>
        <w:spacing w:after="80" w:line="276"/>
      </w:pPr>
      <w:r>
        <w:rPr>
          <w:rFonts w:ascii="Arial" w:cs="Arial" w:eastAsia="Arial" w:hAnsi="Arial"/>
          <w:b/>
          <w:bCs/>
          <w:color w:val="0F172A"/>
          <w:sz w:val="24"/>
          <w:szCs w:val="24"/>
        </w:rPr>
        <w:t xml:space="preserve">5. Revenue Model &amp; Unit Economics — Score: 6/10</w:t>
      </w:r>
    </w:p>
    <w:p>
      <w:pPr>
        <w:spacing w:after="120" w:line="276"/>
      </w:pPr>
      <w:r>
        <w:rPr>
          <w:rFonts w:ascii="Arial" w:cs="Arial" w:eastAsia="Arial" w:hAnsi="Arial"/>
          <w:color w:val="374151"/>
          <w:sz w:val="20"/>
          <w:szCs w:val="20"/>
        </w:rPr>
        <w:t xml:space="preserve">Subscription models in education face the completion-equals-churn paradox. B2C education churn runs 7-10% monthly vs 4-5% SaaS average. Freemium conversion in edtech averages 2.6%, the lowest in SaaS. However, opt-out trials convert at 40-52%. Annual plans reduce churn. Gross margins are 75-90%.</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High gross margins (75-90%). Coursiv proves $200K/mo achievable. Annual billing and credit-card-upfront trials improve conversion.</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Highest churn in SaaS (7-10% monthly B2C). 2.6% freemium conversion. Completion = churn paradox.</w:t>
      </w:r>
    </w:p>
    <w:p>
      <w:pPr>
        <w:spacing w:after="140"/>
      </w:pPr>
    </w:p>
    <w:p>
      <w:pPr>
        <w:spacing w:after="80" w:line="276"/>
      </w:pPr>
      <w:r>
        <w:rPr>
          <w:rFonts w:ascii="Arial" w:cs="Arial" w:eastAsia="Arial" w:hAnsi="Arial"/>
          <w:b/>
          <w:bCs/>
          <w:color w:val="0F172A"/>
          <w:sz w:val="24"/>
          <w:szCs w:val="24"/>
        </w:rPr>
        <w:t xml:space="preserve">6. Audience Quality &amp; Willingness to Pay — Score: 6/10</w:t>
      </w:r>
    </w:p>
    <w:p>
      <w:pPr>
        <w:spacing w:after="120" w:line="276"/>
      </w:pPr>
      <w:r>
        <w:rPr>
          <w:rFonts w:ascii="Arial" w:cs="Arial" w:eastAsia="Arial" w:hAnsi="Arial"/>
          <w:color w:val="374151"/>
          <w:sz w:val="20"/>
          <w:szCs w:val="20"/>
        </w:rPr>
        <w:t xml:space="preserve">Mixed audience. 24% Founders/CEOs (high WTP), 27% functional leads (employer budgets), 15% AI Freelancers (direct ROI). However, 60%+ from emerging markets (Nigeria, India, Angola, Pakistan, Kenya) where $40/mo is prohibitive. US represents 24% of LinkedIn registrants.</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24% Founders/CEOs with high WTP. 27% functional leads can expense to employers. US/UK/Canada support premium pricing.</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60%+ from emerging markets with low WTP. $40/mo exceeds budgets in Nigeria, Pakistan, Angola. Conference attendees skew toward free content.</w:t>
      </w:r>
    </w:p>
    <w:p>
      <w:pPr>
        <w:spacing w:after="140"/>
      </w:pPr>
    </w:p>
    <w:p>
      <w:pPr>
        <w:spacing w:after="80" w:line="276"/>
      </w:pPr>
      <w:r>
        <w:rPr>
          <w:rFonts w:ascii="Arial" w:cs="Arial" w:eastAsia="Arial" w:hAnsi="Arial"/>
          <w:b/>
          <w:bCs/>
          <w:color w:val="0F172A"/>
          <w:sz w:val="24"/>
          <w:szCs w:val="24"/>
        </w:rPr>
        <w:t xml:space="preserve">7. Product Differentiation — Score: 5/10</w:t>
      </w:r>
    </w:p>
    <w:p>
      <w:pPr>
        <w:spacing w:after="120" w:line="276"/>
      </w:pPr>
      <w:r>
        <w:rPr>
          <w:rFonts w:ascii="Arial" w:cs="Arial" w:eastAsia="Arial" w:hAnsi="Arial"/>
          <w:color w:val="374151"/>
          <w:sz w:val="20"/>
          <w:szCs w:val="20"/>
        </w:rPr>
        <w:t xml:space="preserve">AI skills for specific business roles (marketing, sales, operations) addresses a real gap. Section is closest competitor at $41/mo. Most competitors are too broad (Coursera) or too technical (DataCamp). Opportunity: Duolingo of AI business skills. Challenge: content commoditizes fast, tools change every 3-6 months.</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Clear niche positioning. Gamification opportunity uncaptured. Role-specific content more valuable than generic.</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Content commoditizes fast. AI tools change every 3-6 months. Section already occupies this positioning.</w:t>
      </w:r>
    </w:p>
    <w:p>
      <w:pPr>
        <w:spacing w:after="140"/>
      </w:pPr>
    </w:p>
    <w:p>
      <w:pPr>
        <w:spacing w:after="80" w:line="276"/>
      </w:pPr>
      <w:r>
        <w:rPr>
          <w:rFonts w:ascii="Arial" w:cs="Arial" w:eastAsia="Arial" w:hAnsi="Arial"/>
          <w:b/>
          <w:bCs/>
          <w:color w:val="0F172A"/>
          <w:sz w:val="24"/>
          <w:szCs w:val="24"/>
        </w:rPr>
        <w:t xml:space="preserve">8. Competitive Moat &amp; Defensibility — Score: 3/10</w:t>
      </w:r>
    </w:p>
    <w:p>
      <w:pPr>
        <w:spacing w:after="120" w:line="276"/>
      </w:pPr>
      <w:r>
        <w:rPr>
          <w:rFonts w:ascii="Arial" w:cs="Arial" w:eastAsia="Arial" w:hAnsi="Arial"/>
          <w:color w:val="374151"/>
          <w:sz w:val="20"/>
          <w:szCs w:val="20"/>
        </w:rPr>
        <w:t xml:space="preserve">Weakest criterion. Content about AI tools has near-zero defensibility. Google and OpenAI offer free education. Coursera+Udemy merged 270M+ learner base. LinkedIn Learning has 1B+ member distribution. No pure-play AI education content company has built a durable moat. Only defensible moats: community/network effects, proprietary AI, enterprise lock-in, or brand authority.</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First-mover brand in niche creates temporary advantage. Community/network effects if built correctly.</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Content completely commoditized. Google/OpenAI offer free education. No switching costs. Coursera+Udemy have 270M+ users.</w:t>
      </w:r>
    </w:p>
    <w:p>
      <w:pPr>
        <w:spacing w:after="140"/>
      </w:pPr>
    </w:p>
    <w:p>
      <w:pPr>
        <w:spacing w:after="80" w:line="276"/>
      </w:pPr>
      <w:r>
        <w:rPr>
          <w:rFonts w:ascii="Arial" w:cs="Arial" w:eastAsia="Arial" w:hAnsi="Arial"/>
          <w:b/>
          <w:bCs/>
          <w:color w:val="0F172A"/>
          <w:sz w:val="24"/>
          <w:szCs w:val="24"/>
        </w:rPr>
        <w:t xml:space="preserve">9. Path to $100M ARR — Score: 4/10</w:t>
      </w:r>
    </w:p>
    <w:p>
      <w:pPr>
        <w:spacing w:after="120" w:line="276"/>
      </w:pPr>
      <w:r>
        <w:rPr>
          <w:rFonts w:ascii="Arial" w:cs="Arial" w:eastAsia="Arial" w:hAnsi="Arial"/>
          <w:color w:val="374151"/>
          <w:sz w:val="20"/>
          <w:szCs w:val="20"/>
        </w:rPr>
        <w:t xml:space="preserve">At $40/mo ($480/year), $100M ARR requires 208,000 paying subscribers. At 2.6% conversion, that means 8M free users. No pure-play AI education startup has achieved this. Enterprise B2B ($5K-$50K/year contracts) dramatically changes the math. DataCamp approaching $100M ARR with $32M raised.</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Enterprise B2B increases ARPC to $5K-$50K. DataCamp reached ~$100M ARR with only $32M raised.</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208K paid subscribers requires 4-8M free users. Paid acquisition to 4M+ users costs $200M+. Enterprise sales requires different team.</w:t>
      </w:r>
    </w:p>
    <w:p>
      <w:pPr>
        <w:spacing w:after="140"/>
      </w:pPr>
    </w:p>
    <w:p>
      <w:pPr>
        <w:spacing w:after="80" w:line="276"/>
      </w:pPr>
      <w:r>
        <w:rPr>
          <w:rFonts w:ascii="Arial" w:cs="Arial" w:eastAsia="Arial" w:hAnsi="Arial"/>
          <w:b/>
          <w:bCs/>
          <w:color w:val="0F172A"/>
          <w:sz w:val="24"/>
          <w:szCs w:val="24"/>
        </w:rPr>
        <w:t xml:space="preserve">10. Exit Potential &amp; Investor Attractiveness — Score: 5/10</w:t>
      </w:r>
    </w:p>
    <w:p>
      <w:pPr>
        <w:spacing w:after="120" w:line="276"/>
      </w:pPr>
      <w:r>
        <w:rPr>
          <w:rFonts w:ascii="Arial" w:cs="Arial" w:eastAsia="Arial" w:hAnsi="Arial"/>
          <w:color w:val="374151"/>
          <w:sz w:val="20"/>
          <w:szCs w:val="20"/>
        </w:rPr>
        <w:t xml:space="preserve">EdTech multiples collapsed from 7.2x (2020) to 1.6x (2024). Only 14 unicorns remain from 35+. However, active M&amp;A: Workday acquired Sana for $1.1B, Accenture acquired Udacity for ~$1B, Coursera merging with Udemy for $2.5B. For $1B: need ~$100M ARR at 10x AI premium or strategic acquisition.</w:t>
      </w:r>
    </w:p>
    <w:p>
      <w:pPr>
        <w:spacing w:after="120" w:line="276"/>
      </w:pPr>
      <w:r>
        <w:rPr>
          <w:rFonts w:ascii="Arial" w:cs="Arial" w:eastAsia="Arial" w:hAnsi="Arial"/>
          <w:b/>
          <w:bCs/>
          <w:color w:val="166534"/>
          <w:sz w:val="20"/>
          <w:szCs w:val="20"/>
        </w:rPr>
        <w:t xml:space="preserve">Strengths: </w:t>
      </w:r>
      <w:r>
        <w:rPr>
          <w:rFonts w:ascii="Arial" w:cs="Arial" w:eastAsia="Arial" w:hAnsi="Arial"/>
          <w:color w:val="166534"/>
          <w:sz w:val="20"/>
          <w:szCs w:val="20"/>
        </w:rPr>
        <w:t xml:space="preserve">Active M&amp;A market ($4.6B in 3 deals, 2024-2025). Sana Labs $1.1B acquisition validates AI learning.</w:t>
      </w:r>
    </w:p>
    <w:p>
      <w:pPr>
        <w:spacing w:after="120" w:line="276"/>
      </w:pPr>
      <w:r>
        <w:rPr>
          <w:rFonts w:ascii="Arial" w:cs="Arial" w:eastAsia="Arial" w:hAnsi="Arial"/>
          <w:b/>
          <w:bCs/>
          <w:color w:val="991B1B"/>
          <w:sz w:val="20"/>
          <w:szCs w:val="20"/>
        </w:rPr>
        <w:t xml:space="preserve">Risks: </w:t>
      </w:r>
      <w:r>
        <w:rPr>
          <w:rFonts w:ascii="Arial" w:cs="Arial" w:eastAsia="Arial" w:hAnsi="Arial"/>
          <w:color w:val="991B1B"/>
          <w:sz w:val="20"/>
          <w:szCs w:val="20"/>
        </w:rPr>
        <w:t xml:space="preserve">EdTech valuations crashed 78% from peak. Investor PTSD from BYJU'S, Pluralsight, 2U failures.</w:t>
      </w:r>
    </w:p>
    <w:p>
      <w:pPr>
        <w:spacing w:after="140"/>
      </w:pPr>
    </w:p>
    <w:p>
      <w:r>
        <w:br w:type="page"/>
      </w:r>
    </w:p>
    <w:p>
      <w:pPr>
        <w:pStyle w:val="Heading1"/>
      </w:pPr>
      <w:r>
        <w:t xml:space="preserve">Section 2: 10 AI Education Products Like Coursiv</w:t>
      </w:r>
    </w:p>
    <w:p>
      <w:pPr>
        <w:spacing w:after="60"/>
      </w:pPr>
    </w:p>
    <w:p>
      <w:pPr>
        <w:spacing w:after="120" w:line="276"/>
      </w:pPr>
      <w:r>
        <w:rPr>
          <w:rFonts w:ascii="Arial" w:cs="Arial" w:eastAsia="Arial" w:hAnsi="Arial"/>
          <w:color w:val="374151"/>
          <w:sz w:val="20"/>
          <w:szCs w:val="20"/>
        </w:rPr>
        <w:t xml:space="preserve">The following 10 platforms teach AI tools and skills to non-technical business professionals, representing the direct competitive landscape for a Coursiv-like offering. They are sorted by similarity to the Coursiv model (subscription-based AI tool education for non-developers).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600"/>
        <w:gridCol w:w="1800"/>
        <w:gridCol w:w="2000"/>
        <w:gridCol w:w="1360"/>
      </w:tblGrid>
      <w:tr>
        <w:tc>
          <w:tcPr>
            <w:tcW w:type="dxa" w:w="4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8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Pricing</w:t>
            </w:r>
          </w:p>
        </w:tc>
        <w:tc>
          <w:tcPr>
            <w:tcW w:type="dxa" w:w="200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Traction</w:t>
            </w:r>
          </w:p>
        </w:tc>
        <w:tc>
          <w:tcPr>
            <w:tcW w:type="dxa" w:w="1360"/>
            <w:tcBorders>
              <w:top w:val="single" w:color="D1D5DB" w:sz="1"/>
              <w:left w:val="single" w:color="D1D5DB" w:sz="1"/>
              <w:bottom w:val="single" w:color="D1D5DB" w:sz="1"/>
              <w:right w:val="single" w:color="D1D5D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Similarity</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374151"/>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11827"/>
                <w:sz w:val="18"/>
                <w:szCs w:val="18"/>
              </w:rPr>
              <w:t xml:space="preserve">Be10x</w:t>
            </w:r>
          </w:p>
          <w:p>
            <w:r>
              <w:rPr>
                <w:rFonts w:ascii="Arial" w:cs="Arial" w:eastAsia="Arial" w:hAnsi="Arial"/>
                <w:color w:val="6B7280"/>
                <w:sz w:val="16"/>
                <w:szCs w:val="16"/>
              </w:rPr>
              <w:t xml:space="preserve">be10x.in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Workshop to upsell</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Rs.9 workshop to premium mastery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450K+ trained, 4.92/5 rating</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66534"/>
                <w:sz w:val="16"/>
                <w:szCs w:val="16"/>
              </w:rPr>
              <w:t xml:space="preserve">Very High</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color w:val="374151"/>
                <w:sz w:val="18"/>
                <w:szCs w:val="18"/>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b/>
                <w:bCs/>
                <w:color w:val="111827"/>
                <w:sz w:val="18"/>
                <w:szCs w:val="18"/>
              </w:rPr>
              <w:t xml:space="preserve">Section (SectionAI)</w:t>
            </w:r>
          </w:p>
          <w:p>
            <w:r>
              <w:rPr>
                <w:rFonts w:ascii="Arial" w:cs="Arial" w:eastAsia="Arial" w:hAnsi="Arial"/>
                <w:color w:val="6B7280"/>
                <w:sz w:val="16"/>
                <w:szCs w:val="16"/>
              </w:rPr>
              <w:t xml:space="preserve">sectionai.com</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Subscription + Enterprise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$41/mo; enterprise custom</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250+ enterprise customers</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66534"/>
                <w:sz w:val="16"/>
                <w:szCs w:val="16"/>
              </w:rPr>
              <w:t xml:space="preserve">Very High</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374151"/>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11827"/>
                <w:sz w:val="18"/>
                <w:szCs w:val="18"/>
              </w:rPr>
              <w:t xml:space="preserve">Skill Leap AI / Futurepedia</w:t>
            </w:r>
          </w:p>
          <w:p>
            <w:r>
              <w:rPr>
                <w:rFonts w:ascii="Arial" w:cs="Arial" w:eastAsia="Arial" w:hAnsi="Arial"/>
                <w:color w:val="6B7280"/>
                <w:sz w:val="16"/>
                <w:szCs w:val="16"/>
              </w:rPr>
              <w:t xml:space="preserve">skillleap.futurepedia.io</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Subscription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Monthly/yearly subscription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30+ courses, 1000+ lessons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66534"/>
                <w:sz w:val="16"/>
                <w:szCs w:val="16"/>
              </w:rPr>
              <w:t xml:space="preserve">Very High</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color w:val="374151"/>
                <w:sz w:val="18"/>
                <w:szCs w:val="18"/>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b/>
                <w:bCs/>
                <w:color w:val="111827"/>
                <w:sz w:val="18"/>
                <w:szCs w:val="18"/>
              </w:rPr>
              <w:t xml:space="preserve">AI Academy by SmarterX</w:t>
            </w:r>
          </w:p>
          <w:p>
            <w:r>
              <w:rPr>
                <w:rFonts w:ascii="Arial" w:cs="Arial" w:eastAsia="Arial" w:hAnsi="Arial"/>
                <w:color w:val="6B7280"/>
                <w:sz w:val="16"/>
                <w:szCs w:val="16"/>
              </w:rPr>
              <w:t xml:space="preserve">academy.smarterx.ai</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Membership</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Annual membership</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Thought-leadership brand</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E40AF"/>
                <w:sz w:val="16"/>
                <w:szCs w:val="16"/>
              </w:rPr>
              <w:t xml:space="preserve">High</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374151"/>
                <w:sz w:val="18"/>
                <w:szCs w:val="18"/>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11827"/>
                <w:sz w:val="18"/>
                <w:szCs w:val="18"/>
              </w:rPr>
              <w:t xml:space="preserve">Mindvalley AI Mastery</w:t>
            </w:r>
          </w:p>
          <w:p>
            <w:r>
              <w:rPr>
                <w:rFonts w:ascii="Arial" w:cs="Arial" w:eastAsia="Arial" w:hAnsi="Arial"/>
                <w:color w:val="6B7280"/>
                <w:sz w:val="16"/>
                <w:szCs w:val="16"/>
              </w:rPr>
              <w:t xml:space="preserve">mindvalley.com/mastery/ai</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Premium cohort</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$499-$2,000+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12M+ Mindvalley student base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40AF"/>
                <w:sz w:val="16"/>
                <w:szCs w:val="16"/>
              </w:rPr>
              <w:t xml:space="preserve">Medium-High</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color w:val="374151"/>
                <w:sz w:val="18"/>
                <w:szCs w:val="18"/>
              </w:rPr>
              <w:t xml:space="preserve">6</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b/>
                <w:bCs/>
                <w:color w:val="111827"/>
                <w:sz w:val="18"/>
                <w:szCs w:val="18"/>
              </w:rPr>
              <w:t xml:space="preserve">Google AI Essentials</w:t>
            </w:r>
          </w:p>
          <w:p>
            <w:r>
              <w:rPr>
                <w:rFonts w:ascii="Arial" w:cs="Arial" w:eastAsia="Arial" w:hAnsi="Arial"/>
                <w:color w:val="6B7280"/>
                <w:sz w:val="16"/>
                <w:szCs w:val="16"/>
              </w:rPr>
              <w:t xml:space="preserve">grow.google/ai</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Free certification</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Free or $49</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Millions of enrollments</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854D0E"/>
                <w:sz w:val="16"/>
                <w:szCs w:val="16"/>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374151"/>
                <w:sz w:val="18"/>
                <w:szCs w:val="18"/>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11827"/>
                <w:sz w:val="18"/>
                <w:szCs w:val="18"/>
              </w:rPr>
              <w:t xml:space="preserve">OpenAI Academy</w:t>
            </w:r>
          </w:p>
          <w:p>
            <w:r>
              <w:rPr>
                <w:rFonts w:ascii="Arial" w:cs="Arial" w:eastAsia="Arial" w:hAnsi="Arial"/>
                <w:color w:val="6B7280"/>
                <w:sz w:val="16"/>
                <w:szCs w:val="16"/>
              </w:rPr>
              <w:t xml:space="preserve">academy.openai.com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Free platform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Free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200M+ weekly ChatGPT users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854D0E"/>
                <w:sz w:val="16"/>
                <w:szCs w:val="16"/>
              </w:rPr>
              <w:t xml:space="preserve">Medium</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color w:val="374151"/>
                <w:sz w:val="18"/>
                <w:szCs w:val="18"/>
              </w:rPr>
              <w:t xml:space="preserve">8</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b/>
                <w:bCs/>
                <w:color w:val="111827"/>
                <w:sz w:val="18"/>
                <w:szCs w:val="18"/>
              </w:rPr>
              <w:t xml:space="preserve">Learn Prompting</w:t>
            </w:r>
          </w:p>
          <w:p>
            <w:r>
              <w:rPr>
                <w:rFonts w:ascii="Arial" w:cs="Arial" w:eastAsia="Arial" w:hAnsi="Arial"/>
                <w:color w:val="6B7280"/>
                <w:sz w:val="16"/>
                <w:szCs w:val="16"/>
              </w:rPr>
              <w:t xml:space="preserve">learnprompting.org</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Free + premium</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Free core; premium certs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600K+ community, 60+ modules</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854D0E"/>
                <w:sz w:val="16"/>
                <w:szCs w:val="16"/>
              </w:rPr>
              <w:t xml:space="preserve">Medium</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374151"/>
                <w:sz w:val="18"/>
                <w:szCs w:val="18"/>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11827"/>
                <w:sz w:val="18"/>
                <w:szCs w:val="18"/>
              </w:rPr>
              <w:t xml:space="preserve">Maven (AI Courses)</w:t>
            </w:r>
          </w:p>
          <w:p>
            <w:r>
              <w:rPr>
                <w:rFonts w:ascii="Arial" w:cs="Arial" w:eastAsia="Arial" w:hAnsi="Arial"/>
                <w:color w:val="6B7280"/>
                <w:sz w:val="16"/>
                <w:szCs w:val="16"/>
              </w:rPr>
              <w:t xml:space="preserve">maven.com</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Cohort marketplace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$300-$2,000+ per course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color w:val="374151"/>
                <w:sz w:val="16"/>
                <w:szCs w:val="16"/>
              </w:rPr>
              <w:t xml:space="preserve">$25M raised, 15K+ students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854D0E"/>
                <w:sz w:val="16"/>
                <w:szCs w:val="16"/>
              </w:rPr>
              <w:t xml:space="preserve">Medium</w:t>
            </w:r>
          </w:p>
        </w:tc>
      </w:tr>
      <w:tr>
        <w:tc>
          <w:tcPr>
            <w:tcW w:type="dxa" w:w="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center"/>
            </w:pPr>
            <w:r>
              <w:rPr>
                <w:rFonts w:ascii="Arial" w:cs="Arial" w:eastAsia="Arial" w:hAnsi="Arial"/>
                <w:color w:val="374151"/>
                <w:sz w:val="18"/>
                <w:szCs w:val="18"/>
              </w:rPr>
              <w:t xml:space="preserve">10</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b/>
                <w:bCs/>
                <w:color w:val="111827"/>
                <w:sz w:val="18"/>
                <w:szCs w:val="18"/>
              </w:rPr>
              <w:t xml:space="preserve">Sana Labs</w:t>
            </w:r>
          </w:p>
          <w:p>
            <w:r>
              <w:rPr>
                <w:rFonts w:ascii="Arial" w:cs="Arial" w:eastAsia="Arial" w:hAnsi="Arial"/>
                <w:color w:val="6B7280"/>
                <w:sz w:val="16"/>
                <w:szCs w:val="16"/>
              </w:rPr>
              <w:t xml:space="preserve">sanalabs.com</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Enterprise B2B SaaS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$13/user/mo (min 300)</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color w:val="374151"/>
                <w:sz w:val="16"/>
                <w:szCs w:val="16"/>
              </w:rPr>
              <w:t xml:space="preserve">$1.1B Workday acquisition</w:t>
            </w:r>
          </w:p>
        </w:tc>
        <w:tc>
          <w:tcPr>
            <w:tcW w:type="dxa" w:w="13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854D0E"/>
                <w:sz w:val="16"/>
                <w:szCs w:val="16"/>
              </w:rPr>
              <w:t xml:space="preserve">Low-Medium</w:t>
            </w:r>
          </w:p>
        </w:tc>
      </w:tr>
    </w:tbl>
    <w:p>
      <w:pPr>
        <w:spacing w:after="200"/>
      </w:pPr>
    </w:p>
    <w:p>
      <w:pPr>
        <w:pStyle w:val="Heading2"/>
      </w:pPr>
      <w:r>
        <w:t xml:space="preserve">Competitor Deep Dives</w:t>
      </w:r>
    </w:p>
    <w:p>
      <w:pPr>
        <w:spacing w:after="60"/>
      </w:pPr>
    </w:p>
    <w:p>
      <w:pPr>
        <w:spacing w:after="60" w:line="276"/>
      </w:pPr>
      <w:r>
        <w:rPr>
          <w:rFonts w:ascii="Arial" w:cs="Arial" w:eastAsia="Arial" w:hAnsi="Arial"/>
          <w:b/>
          <w:bCs/>
          <w:color w:val="0F172A"/>
          <w:sz w:val="22"/>
          <w:szCs w:val="22"/>
        </w:rPr>
        <w:t xml:space="preserve">1. Be10x (be10x.in)</w:t>
      </w:r>
    </w:p>
    <w:p>
      <w:pPr>
        <w:spacing w:after="120" w:line="276"/>
      </w:pPr>
      <w:r>
        <w:rPr>
          <w:rFonts w:ascii="Arial" w:cs="Arial" w:eastAsia="Arial" w:hAnsi="Arial"/>
          <w:color w:val="374151"/>
          <w:sz w:val="20"/>
          <w:szCs w:val="20"/>
        </w:rPr>
        <w:t xml:space="preserve">India-focused platform founded by IIT Kharagpur alumni. Uses ultra-low Rs.9 (~$0.11) entry workshop to build massive top-of-funnel, then upsells to premium mastery program. 450K+ professionals trained with 4.92/5 rating across 24,563 reviews. Covers ChatGPT, DALL-E, Excel with AI, PowerPoint with AI. 3-hour live workshops. Very similar to Coursiv but India-focused with live workshop model rather than self-paced subscription.</w:t>
      </w:r>
    </w:p>
    <w:p>
      <w:pPr>
        <w:spacing w:after="80"/>
      </w:pPr>
    </w:p>
    <w:p>
      <w:pPr>
        <w:spacing w:after="60" w:line="276"/>
      </w:pPr>
      <w:r>
        <w:rPr>
          <w:rFonts w:ascii="Arial" w:cs="Arial" w:eastAsia="Arial" w:hAnsi="Arial"/>
          <w:b/>
          <w:bCs/>
          <w:color w:val="0F172A"/>
          <w:sz w:val="22"/>
          <w:szCs w:val="22"/>
        </w:rPr>
        <w:t xml:space="preserve">2. Section / SectionAI (sectionai.com)</w:t>
      </w:r>
    </w:p>
    <w:p>
      <w:pPr>
        <w:spacing w:after="120" w:line="276"/>
      </w:pPr>
      <w:r>
        <w:rPr>
          <w:rFonts w:ascii="Arial" w:cs="Arial" w:eastAsia="Arial" w:hAnsi="Arial"/>
          <w:color w:val="374151"/>
          <w:sz w:val="20"/>
          <w:szCs w:val="20"/>
        </w:rPr>
        <w:t xml:space="preserve">Closest Western competitor. $41/mo subscription with enterprise custom pricing. Role-specific AI courses (AI for Marketing, AI for Sales, AI for HR, AI for Leadership). Combines live coaching with on-demand content. 250+ enterprise customers. Backed by a16z and Morning Brew partnership. LinkedIn credential badges. Strongest B2B positioning in the AI-for-business-professionals space.</w:t>
      </w:r>
    </w:p>
    <w:p>
      <w:pPr>
        <w:spacing w:after="80"/>
      </w:pPr>
    </w:p>
    <w:p>
      <w:pPr>
        <w:spacing w:after="60" w:line="276"/>
      </w:pPr>
      <w:r>
        <w:rPr>
          <w:rFonts w:ascii="Arial" w:cs="Arial" w:eastAsia="Arial" w:hAnsi="Arial"/>
          <w:b/>
          <w:bCs/>
          <w:color w:val="0F172A"/>
          <w:sz w:val="22"/>
          <w:szCs w:val="22"/>
        </w:rPr>
        <w:t xml:space="preserve">3. Skill Leap AI / Futurepedia (skillleap.futurepedia.io)</w:t>
      </w:r>
    </w:p>
    <w:p>
      <w:pPr>
        <w:spacing w:after="120" w:line="276"/>
      </w:pPr>
      <w:r>
        <w:rPr>
          <w:rFonts w:ascii="Arial" w:cs="Arial" w:eastAsia="Arial" w:hAnsi="Arial"/>
          <w:color w:val="374151"/>
          <w:sz w:val="20"/>
          <w:szCs w:val="20"/>
        </w:rPr>
        <w:t xml:space="preserve">Positions as Netflix for AI learning. Acquired by Futurepedia (largest AI tools directory), giving massive distribution leverage. 30+ courses, 1,000+ lessons covering 50+ AI tools. Monthly/yearly subscription with free trial. Bi-weekly new downloadable assets. Learning paths with certificates. Almost identical model to Coursiv but content-led acquisition vs paid-ads-led.</w:t>
      </w:r>
    </w:p>
    <w:p>
      <w:pPr>
        <w:spacing w:after="80"/>
      </w:pPr>
    </w:p>
    <w:p>
      <w:pPr>
        <w:spacing w:after="60" w:line="276"/>
      </w:pPr>
      <w:r>
        <w:rPr>
          <w:rFonts w:ascii="Arial" w:cs="Arial" w:eastAsia="Arial" w:hAnsi="Arial"/>
          <w:b/>
          <w:bCs/>
          <w:color w:val="0F172A"/>
          <w:sz w:val="22"/>
          <w:szCs w:val="22"/>
        </w:rPr>
        <w:t xml:space="preserve">4. AI Academy by SmarterX (academy.smarterx.ai)</w:t>
      </w:r>
    </w:p>
    <w:p>
      <w:pPr>
        <w:spacing w:after="120" w:line="276"/>
      </w:pPr>
      <w:r>
        <w:rPr>
          <w:rFonts w:ascii="Arial" w:cs="Arial" w:eastAsia="Arial" w:hAnsi="Arial"/>
          <w:color w:val="374151"/>
          <w:sz w:val="20"/>
          <w:szCs w:val="20"/>
        </w:rPr>
        <w:t xml:space="preserve">Founded by Paul Roetzer of the Marketing AI Institute. Industry-vertical AI courses for Healthcare, Professional Services, Marketing, Sales, Customer Success. Rebuilt entire course library in August 2025. Annual membership model. Thought-leadership-driven acquisition via podcast, books, conferences. Niche authority positioning.</w:t>
      </w:r>
    </w:p>
    <w:p>
      <w:pPr>
        <w:spacing w:after="80"/>
      </w:pPr>
    </w:p>
    <w:p>
      <w:pPr>
        <w:spacing w:after="60" w:line="276"/>
      </w:pPr>
      <w:r>
        <w:rPr>
          <w:rFonts w:ascii="Arial" w:cs="Arial" w:eastAsia="Arial" w:hAnsi="Arial"/>
          <w:b/>
          <w:bCs/>
          <w:color w:val="0F172A"/>
          <w:sz w:val="22"/>
          <w:szCs w:val="22"/>
        </w:rPr>
        <w:t xml:space="preserve">5. Mindvalley AI Mastery (mindvalley.com/mastery/ai)</w:t>
      </w:r>
    </w:p>
    <w:p>
      <w:pPr>
        <w:spacing w:after="120" w:line="276"/>
      </w:pPr>
      <w:r>
        <w:rPr>
          <w:rFonts w:ascii="Arial" w:cs="Arial" w:eastAsia="Arial" w:hAnsi="Arial"/>
          <w:color w:val="374151"/>
          <w:sz w:val="20"/>
          <w:szCs w:val="20"/>
        </w:rPr>
        <w:t xml:space="preserve">Premium cohort program at $499-$2,000+. Leverages Mindvalley's 12M+ student base and Vishen Lakhiani brand. 6-week structured program with live calls. Focuses on AI for income generation, building AI assistants, custom AI workflows. Celebrity founder effect drives acquisition. Different business model (high-ticket cohort vs subscription) but same audience.</w:t>
      </w:r>
    </w:p>
    <w:p>
      <w:pPr>
        <w:spacing w:after="80"/>
      </w:pPr>
    </w:p>
    <w:p>
      <w:pPr>
        <w:spacing w:after="60" w:line="276"/>
      </w:pPr>
      <w:r>
        <w:rPr>
          <w:rFonts w:ascii="Arial" w:cs="Arial" w:eastAsia="Arial" w:hAnsi="Arial"/>
          <w:b/>
          <w:bCs/>
          <w:color w:val="0F172A"/>
          <w:sz w:val="22"/>
          <w:szCs w:val="22"/>
        </w:rPr>
        <w:t xml:space="preserve">6. Google AI Essentials (grow.google/ai)</w:t>
      </w:r>
    </w:p>
    <w:p>
      <w:pPr>
        <w:spacing w:after="120" w:line="276"/>
      </w:pPr>
      <w:r>
        <w:rPr>
          <w:rFonts w:ascii="Arial" w:cs="Arial" w:eastAsia="Arial" w:hAnsi="Arial"/>
          <w:color w:val="374151"/>
          <w:sz w:val="20"/>
          <w:szCs w:val="20"/>
        </w:rPr>
        <w:t xml:space="preserve">Free or $49 on Coursera. Google brand credential, the strongest resume signal of any AI certification. Under 10 hours to complete. Practical hands-on with Gemini and Google tools. Includes prompting essentials and AI for job search courses. Millions of enrollments. Sets the price anchor at $0 for basic AI skills education. Major competitive threat to all paid alternatives.</w:t>
      </w:r>
    </w:p>
    <w:p>
      <w:pPr>
        <w:spacing w:after="80"/>
      </w:pPr>
    </w:p>
    <w:p>
      <w:pPr>
        <w:spacing w:after="60" w:line="276"/>
      </w:pPr>
      <w:r>
        <w:rPr>
          <w:rFonts w:ascii="Arial" w:cs="Arial" w:eastAsia="Arial" w:hAnsi="Arial"/>
          <w:b/>
          <w:bCs/>
          <w:color w:val="0F172A"/>
          <w:sz w:val="22"/>
          <w:szCs w:val="22"/>
        </w:rPr>
        <w:t xml:space="preserve">7. OpenAI Academy (academy.openai.com)</w:t>
      </w:r>
    </w:p>
    <w:p>
      <w:pPr>
        <w:spacing w:after="120" w:line="276"/>
      </w:pPr>
      <w:r>
        <w:rPr>
          <w:rFonts w:ascii="Arial" w:cs="Arial" w:eastAsia="Arial" w:hAnsi="Arial"/>
          <w:color w:val="374151"/>
          <w:sz w:val="20"/>
          <w:szCs w:val="20"/>
        </w:rPr>
        <w:t xml:space="preserve">Launched 2025 by the maker of ChatGPT. Free. Teaches official best practices directly from the source. Massive built-in distribution to 200M+ weekly ChatGPT users. Will likely become the default destination for learning ChatGPT. Existential competitive threat for any paid platform teaching ChatGPT-specific skills.</w:t>
      </w:r>
    </w:p>
    <w:p>
      <w:pPr>
        <w:spacing w:after="80"/>
      </w:pPr>
    </w:p>
    <w:p>
      <w:pPr>
        <w:spacing w:after="60" w:line="276"/>
      </w:pPr>
      <w:r>
        <w:rPr>
          <w:rFonts w:ascii="Arial" w:cs="Arial" w:eastAsia="Arial" w:hAnsi="Arial"/>
          <w:b/>
          <w:bCs/>
          <w:color w:val="0F172A"/>
          <w:sz w:val="22"/>
          <w:szCs w:val="22"/>
        </w:rPr>
        <w:t xml:space="preserve">8. Learn Prompting (learnprompting.org)</w:t>
      </w:r>
    </w:p>
    <w:p>
      <w:pPr>
        <w:spacing w:after="120" w:line="276"/>
      </w:pPr>
      <w:r>
        <w:rPr>
          <w:rFonts w:ascii="Arial" w:cs="Arial" w:eastAsia="Arial" w:hAnsi="Arial"/>
          <w:color w:val="374151"/>
          <w:sz w:val="20"/>
          <w:szCs w:val="20"/>
        </w:rPr>
        <w:t xml:space="preserve">Largest prompt engineering course online. YC-backed. 60+ modules in 9 languages with 600K+ community members. Open-source community model with strong organic/SEO presence. Free core content with premium certification. Narrower focus (prompt engineering only) but demonstrates power of community-driven education model.</w:t>
      </w:r>
    </w:p>
    <w:p>
      <w:pPr>
        <w:spacing w:after="80"/>
      </w:pPr>
    </w:p>
    <w:p>
      <w:pPr>
        <w:spacing w:after="60" w:line="276"/>
      </w:pPr>
      <w:r>
        <w:rPr>
          <w:rFonts w:ascii="Arial" w:cs="Arial" w:eastAsia="Arial" w:hAnsi="Arial"/>
          <w:b/>
          <w:bCs/>
          <w:color w:val="0F172A"/>
          <w:sz w:val="22"/>
          <w:szCs w:val="22"/>
        </w:rPr>
        <w:t xml:space="preserve">9. Maven AI Courses (maven.com)</w:t>
      </w:r>
    </w:p>
    <w:p>
      <w:pPr>
        <w:spacing w:after="120" w:line="276"/>
      </w:pPr>
      <w:r>
        <w:rPr>
          <w:rFonts w:ascii="Arial" w:cs="Arial" w:eastAsia="Arial" w:hAnsi="Arial"/>
          <w:color w:val="374151"/>
          <w:sz w:val="20"/>
          <w:szCs w:val="20"/>
        </w:rPr>
        <w:t xml:space="preserve">Cohort-based course marketplace. $25M raised from a16z and First Round Capital. $300-$2,000+ per course. Instructors from Google, Meta, etc. 15K+ students. High completion rates (60-85%). Multiple AI-specific courses from industry practitioners. Different model (premium cohort vs subscription) but competes for same professional audience.</w:t>
      </w:r>
    </w:p>
    <w:p>
      <w:pPr>
        <w:spacing w:after="80"/>
      </w:pPr>
    </w:p>
    <w:p>
      <w:pPr>
        <w:spacing w:after="60" w:line="276"/>
      </w:pPr>
      <w:r>
        <w:rPr>
          <w:rFonts w:ascii="Arial" w:cs="Arial" w:eastAsia="Arial" w:hAnsi="Arial"/>
          <w:b/>
          <w:bCs/>
          <w:color w:val="0F172A"/>
          <w:sz w:val="22"/>
          <w:szCs w:val="22"/>
        </w:rPr>
        <w:t xml:space="preserve">10. Sana Labs (sanalabs.com)</w:t>
      </w:r>
    </w:p>
    <w:p>
      <w:pPr>
        <w:spacing w:after="120" w:line="276"/>
      </w:pPr>
      <w:r>
        <w:rPr>
          <w:rFonts w:ascii="Arial" w:cs="Arial" w:eastAsia="Arial" w:hAnsi="Arial"/>
          <w:color w:val="374151"/>
          <w:sz w:val="20"/>
          <w:szCs w:val="20"/>
        </w:rPr>
        <w:t xml:space="preserve">Enterprise AI learning platform. $137M total raised, $500M valuation in Oct 2024, then acquired by Workday for $1.1B in September 2025. Clients include Electrolux, Merck, Polestar. Not a content company but AI-powered learning infrastructure. Integrates with company knowledge bases. The $1.1B exit validates that AI workplace learning can reach unicorn status, but through enterprise infrastructure, not consumer content.</w:t>
      </w:r>
    </w:p>
    <w:p>
      <w:pPr>
        <w:spacing w:after="80"/>
      </w:pPr>
    </w:p>
    <w:p>
      <w:r>
        <w:br w:type="page"/>
      </w:r>
    </w:p>
    <w:p>
      <w:pPr>
        <w:pStyle w:val="Heading1"/>
      </w:pPr>
      <w:r>
        <w:t xml:space="preserve">Section 3: Strategic Verdict</w:t>
      </w:r>
    </w:p>
    <w:p>
      <w:pPr>
        <w:spacing w:after="80"/>
      </w:pPr>
    </w:p>
    <w:p>
      <w:pPr>
        <w:pStyle w:val="Heading2"/>
      </w:pPr>
      <w:r>
        <w:t xml:space="preserve">Can This Reach $1 Billion?</w:t>
      </w:r>
    </w:p>
    <w:p>
      <w:pPr>
        <w:spacing w:after="60"/>
      </w:pPr>
    </w:p>
    <w:p>
      <w:pPr>
        <w:spacing w:after="120" w:line="276"/>
      </w:pPr>
      <w:r>
        <w:rPr>
          <w:rFonts w:ascii="Arial" w:cs="Arial" w:eastAsia="Arial" w:hAnsi="Arial"/>
          <w:color w:val="374151"/>
          <w:sz w:val="20"/>
          <w:szCs w:val="20"/>
        </w:rPr>
        <w:t xml:space="preserve">The overall score of 61/100 indicates a promising market opportunity with significant execution challenges. The idea scores well on timing, market size, and scalability but struggles on competitive moat, path to $100M ARR, and exit potential. The critical insight: no pure-play AI education content company has achieved $1B valuation independently. Sana Labs reached $1.1B as enterprise infrastructure, not content.</w:t>
      </w:r>
    </w:p>
    <w:p>
      <w:pPr>
        <w:spacing w:after="100"/>
      </w:pPr>
    </w:p>
    <w:p>
      <w:pPr>
        <w:pStyle w:val="Heading2"/>
      </w:pPr>
      <w:r>
        <w:t xml:space="preserve">Three Paths to $1 Billion</w:t>
      </w:r>
    </w:p>
    <w:p>
      <w:pPr>
        <w:spacing w:after="60"/>
      </w:pPr>
    </w:p>
    <w:p>
      <w:pPr>
        <w:spacing w:after="60" w:line="276"/>
      </w:pPr>
      <w:r>
        <w:rPr>
          <w:rFonts w:ascii="Arial" w:cs="Arial" w:eastAsia="Arial" w:hAnsi="Arial"/>
          <w:b/>
          <w:bCs/>
          <w:color w:val="0F172A"/>
          <w:sz w:val="22"/>
          <w:szCs w:val="22"/>
        </w:rPr>
        <w:t xml:space="preserve">Path 1: The Duolingo Clone (Consumer App) — ~5% Probability</w:t>
      </w:r>
    </w:p>
    <w:p>
      <w:pPr>
        <w:spacing w:after="120" w:line="276"/>
      </w:pPr>
      <w:r>
        <w:rPr>
          <w:rFonts w:ascii="Arial" w:cs="Arial" w:eastAsia="Arial" w:hAnsi="Arial"/>
          <w:color w:val="374151"/>
          <w:sz w:val="20"/>
          <w:szCs w:val="20"/>
        </w:rPr>
        <w:t xml:space="preserve">Build a gamified, mobile-first AI skills app with Duolingo-level product quality and viral loops. Requires 50M+ downloads, 4%+ paid conversion, and $500M+ marketing spend over 5+ years. No AI education company has achieved this. Duolingo took 10 years and multiple pivots to reach $1B valuation.</w:t>
      </w:r>
    </w:p>
    <w:p>
      <w:pPr>
        <w:spacing w:after="100"/>
      </w:pPr>
    </w:p>
    <w:p>
      <w:pPr>
        <w:spacing w:after="60" w:line="276"/>
      </w:pPr>
      <w:r>
        <w:rPr>
          <w:rFonts w:ascii="Arial" w:cs="Arial" w:eastAsia="Arial" w:hAnsi="Arial"/>
          <w:b/>
          <w:bCs/>
          <w:color w:val="0F172A"/>
          <w:sz w:val="22"/>
          <w:szCs w:val="22"/>
        </w:rPr>
        <w:t xml:space="preserve">Path 2: The Enterprise Pivot (B2B SaaS) — ~15% Probability</w:t>
      </w:r>
    </w:p>
    <w:p>
      <w:pPr>
        <w:spacing w:after="120" w:line="276"/>
      </w:pPr>
      <w:r>
        <w:rPr>
          <w:rFonts w:ascii="Arial" w:cs="Arial" w:eastAsia="Arial" w:hAnsi="Arial"/>
          <w:color w:val="374151"/>
          <w:sz w:val="20"/>
          <w:szCs w:val="20"/>
        </w:rPr>
        <w:t xml:space="preserve">Start B2C for validation, then pivot to enterprise. Sell AI training packages at $5K-$50K/year per seat contract. The 10K attendees become case studies and warm intros. This is the DataCamp / Udemy Business playbook. Requires building a sales team and enterprise-grade LMS. Most realistic path to $100M ARR. Sana Labs proved this path can reach $1.1B acquisition.</w:t>
      </w:r>
    </w:p>
    <w:p>
      <w:pPr>
        <w:spacing w:after="100"/>
      </w:pPr>
    </w:p>
    <w:p>
      <w:pPr>
        <w:spacing w:after="60" w:line="276"/>
      </w:pPr>
      <w:r>
        <w:rPr>
          <w:rFonts w:ascii="Arial" w:cs="Arial" w:eastAsia="Arial" w:hAnsi="Arial"/>
          <w:b/>
          <w:bCs/>
          <w:color w:val="0F172A"/>
          <w:sz w:val="22"/>
          <w:szCs w:val="22"/>
        </w:rPr>
        <w:t xml:space="preserve">Path 3: The Strategic Acquisition (M&amp;A) — ~25% Probability</w:t>
      </w:r>
    </w:p>
    <w:p>
      <w:pPr>
        <w:spacing w:after="120" w:line="276"/>
      </w:pPr>
      <w:r>
        <w:rPr>
          <w:rFonts w:ascii="Arial" w:cs="Arial" w:eastAsia="Arial" w:hAnsi="Arial"/>
          <w:color w:val="374151"/>
          <w:sz w:val="20"/>
          <w:szCs w:val="20"/>
        </w:rPr>
        <w:t xml:space="preserve">Build a focused, profitable AI education brand with $5-20M ARR and get acquired by Microsoft, Salesforce, HubSpot, or LinkedIn. The Coursera-Udemy merger ($2.5B), Workday/Sana ($1.1B), and Accenture/Udacity (~$1B) show active buyers. May not reach $1B independently, but a $100M-$500M acquisition is a highly successful outcome for founders.</w:t>
      </w:r>
    </w:p>
    <w:p>
      <w:pPr>
        <w:spacing w:after="100"/>
      </w:pPr>
    </w:p>
    <w:p>
      <w:pPr>
        <w:pStyle w:val="Heading2"/>
      </w:pPr>
      <w:r>
        <w:t xml:space="preserve">Recommended Next Steps</w:t>
      </w:r>
    </w:p>
    <w:p>
      <w:pPr>
        <w:spacing w:after="60"/>
      </w:pPr>
    </w:p>
    <w:p>
      <w:pPr>
        <w:spacing w:after="100" w:line="276"/>
      </w:pPr>
      <w:r>
        <w:rPr>
          <w:rFonts w:ascii="Arial" w:cs="Arial" w:eastAsia="Arial" w:hAnsi="Arial"/>
          <w:b/>
          <w:bCs/>
          <w:color w:val="0F172A"/>
          <w:sz w:val="20"/>
          <w:szCs w:val="20"/>
        </w:rPr>
        <w:t xml:space="preserve">1. </w:t>
      </w:r>
      <w:r>
        <w:rPr>
          <w:rFonts w:ascii="Arial" w:cs="Arial" w:eastAsia="Arial" w:hAnsi="Arial"/>
          <w:color w:val="374151"/>
          <w:sz w:val="20"/>
          <w:szCs w:val="20"/>
        </w:rPr>
        <w:t xml:space="preserve">Validate before building: Survey 500+ of the 10K audience on willingness-to-pay, preferred topics, and format preferences (video vs. interactive vs. live).</w:t>
      </w:r>
    </w:p>
    <w:p>
      <w:pPr>
        <w:spacing w:after="100" w:line="276"/>
      </w:pPr>
      <w:r>
        <w:rPr>
          <w:rFonts w:ascii="Arial" w:cs="Arial" w:eastAsia="Arial" w:hAnsi="Arial"/>
          <w:b/>
          <w:bCs/>
          <w:color w:val="0F172A"/>
          <w:sz w:val="20"/>
          <w:szCs w:val="20"/>
        </w:rPr>
        <w:t xml:space="preserve">2. </w:t>
      </w:r>
      <w:r>
        <w:rPr>
          <w:rFonts w:ascii="Arial" w:cs="Arial" w:eastAsia="Arial" w:hAnsi="Arial"/>
          <w:color w:val="374151"/>
          <w:sz w:val="20"/>
          <w:szCs w:val="20"/>
        </w:rPr>
        <w:t xml:space="preserve">Start with ONE role: Pick the highest-WTP segment (e.g., AI for Marketers or AI for Founders) rather than 5 roles simultaneously.</w:t>
      </w:r>
    </w:p>
    <w:p>
      <w:pPr>
        <w:spacing w:after="100" w:line="276"/>
      </w:pPr>
      <w:r>
        <w:rPr>
          <w:rFonts w:ascii="Arial" w:cs="Arial" w:eastAsia="Arial" w:hAnsi="Arial"/>
          <w:b/>
          <w:bCs/>
          <w:color w:val="0F172A"/>
          <w:sz w:val="20"/>
          <w:szCs w:val="20"/>
        </w:rPr>
        <w:t xml:space="preserve">3. </w:t>
      </w:r>
      <w:r>
        <w:rPr>
          <w:rFonts w:ascii="Arial" w:cs="Arial" w:eastAsia="Arial" w:hAnsi="Arial"/>
          <w:color w:val="374151"/>
          <w:sz w:val="20"/>
          <w:szCs w:val="20"/>
        </w:rPr>
        <w:t xml:space="preserve">Build community first, product second: A Slack/Discord community of 1,000 paying members at $49/mo = $588K ARR and invaluable product feedback.</w:t>
      </w:r>
    </w:p>
    <w:p>
      <w:pPr>
        <w:spacing w:after="100" w:line="276"/>
      </w:pPr>
      <w:r>
        <w:rPr>
          <w:rFonts w:ascii="Arial" w:cs="Arial" w:eastAsia="Arial" w:hAnsi="Arial"/>
          <w:b/>
          <w:bCs/>
          <w:color w:val="0F172A"/>
          <w:sz w:val="20"/>
          <w:szCs w:val="20"/>
        </w:rPr>
        <w:t xml:space="preserve">4. </w:t>
      </w:r>
      <w:r>
        <w:rPr>
          <w:rFonts w:ascii="Arial" w:cs="Arial" w:eastAsia="Arial" w:hAnsi="Arial"/>
          <w:color w:val="374151"/>
          <w:sz w:val="20"/>
          <w:szCs w:val="20"/>
        </w:rPr>
        <w:t xml:space="preserve">Design for enterprise from Day 1: Admin dashboards, team licenses, progress tracking, SOC2 compliance. This unlocks 10x ARPC and the most viable $1B path.</w:t>
      </w:r>
    </w:p>
    <w:p>
      <w:pPr>
        <w:spacing w:after="100" w:line="276"/>
      </w:pPr>
      <w:r>
        <w:rPr>
          <w:rFonts w:ascii="Arial" w:cs="Arial" w:eastAsia="Arial" w:hAnsi="Arial"/>
          <w:b/>
          <w:bCs/>
          <w:color w:val="0F172A"/>
          <w:sz w:val="20"/>
          <w:szCs w:val="20"/>
        </w:rPr>
        <w:t xml:space="preserve">5. </w:t>
      </w:r>
      <w:r>
        <w:rPr>
          <w:rFonts w:ascii="Arial" w:cs="Arial" w:eastAsia="Arial" w:hAnsi="Arial"/>
          <w:color w:val="374151"/>
          <w:sz w:val="20"/>
          <w:szCs w:val="20"/>
        </w:rPr>
        <w:t xml:space="preserve">Differentiate through outcomes, not content: Certifications recognized by employers, AI portfolio building, job placement support. Content alone is indefensible.</w:t>
      </w:r>
    </w:p>
    <w:p>
      <w:pPr>
        <w:spacing w:after="200"/>
      </w:pPr>
    </w:p>
    <w:p>
      <w:pPr>
        <w:spacing w:after="120" w:line="276"/>
      </w:pPr>
      <w:r>
        <w:rPr>
          <w:rFonts w:ascii="Arial" w:cs="Arial" w:eastAsia="Arial" w:hAnsi="Arial"/>
          <w:i/>
          <w:iCs/>
          <w:color w:val="6B7280"/>
          <w:sz w:val="16"/>
          <w:szCs w:val="16"/>
        </w:rPr>
        <w:t xml:space="preserve">Sources: Grand View Research, Mordor Intelligence, WEF Future of Jobs 2025, Coursera/Udemy investor reports, StockAnalysis, Similarweb, Tracxn, CB Insights, company websites. Audience analysis based on 10,792 Calendly and 1,761 LinkedIn registrant data.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Arial" w:cs="Arial" w:eastAsia="Arial" w:hAnsi="Arial"/>
        <w:color w:val="6B7280"/>
        <w:sz w:val="14"/>
        <w:szCs w:val="14"/>
      </w:rPr>
      <w:t xml:space="preserve">AI Skills Education  |  $1B Valuation Scorecard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0F172A"/>
      <w:sz w:val="36"/>
      <w:szCs w:val="36"/>
    </w:rPr>
  </w:style>
  <w:style w:type="paragraph" w:styleId="Heading2">
    <w:name w:val="Heading 2"/>
    <w:basedOn w:val="Normal"/>
    <w:next w:val="Normal"/>
    <w:qFormat/>
    <w:pPr>
      <w:spacing w:before="160" w:after="10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2026-02-06T11:35:02.503Z</dcterms:created>
  <dcterms:modified xsi:type="dcterms:W3CDTF">2026-02-06T11:35:02.504Z</dcterms:modified>
</cp:coreProperties>
</file>

<file path=docProps/custom.xml><?xml version="1.0" encoding="utf-8"?>
<Properties xmlns="http://schemas.openxmlformats.org/officeDocument/2006/custom-properties" xmlns:vt="http://schemas.openxmlformats.org/officeDocument/2006/docPropsVTypes"/>
</file>