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1A1A1A"/>
          <w:spacing w:val="60"/>
          <w:sz w:val="44"/>
          <w:szCs w:val="44"/>
        </w:rPr>
        <w:t xml:space="preserve">NICK RODRIGUEZ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color w:val="D08700"/>
          <w:sz w:val="22"/>
          <w:szCs w:val="22"/>
        </w:rPr>
        <w:t xml:space="preserve">Founding Engineer</w:t>
      </w:r>
      <w:r>
        <w:rPr>
          <w:rFonts w:ascii="Calibri" w:cs="Calibri" w:eastAsia="Calibri" w:hAnsi="Calibri"/>
          <w:color w:val="B89968"/>
          <w:sz w:val="22"/>
          <w:szCs w:val="22"/>
        </w:rPr>
        <w:t xml:space="preserve">   |  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Full-Stack TypeScript &amp; Python</w:t>
      </w:r>
      <w:r>
        <w:rPr>
          <w:rFonts w:ascii="Calibri" w:cs="Calibri" w:eastAsia="Calibri" w:hAnsi="Calibri"/>
          <w:color w:val="B89968"/>
          <w:sz w:val="22"/>
          <w:szCs w:val="22"/>
        </w:rPr>
        <w:t xml:space="preserve">   |  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AI Integration</w:t>
      </w:r>
    </w:p>
    <w:p>
      <w:pPr>
        <w:pBdr>
          <w:bottom w:val="single" w:color="D08700" w:sz="8" w:space="6"/>
        </w:pBdr>
        <w:spacing w:after="80"/>
        <w:jc w:val="left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San Francisco, CA</w:t>
      </w:r>
      <w:r>
        <w:rPr>
          <w:rFonts w:ascii="Calibri" w:cs="Calibri" w:eastAsia="Calibri" w:hAnsi="Calibri"/>
          <w:color w:val="B89968"/>
          <w:sz w:val="20"/>
          <w:szCs w:val="20"/>
        </w:rPr>
        <w:t xml:space="preserve">   •   </w:t>
      </w:r>
      <w:hyperlink w:history="1" r:id="rIdtdbllafo1-g5ltuxuzj1r">
        <w:r>
          <w:rPr>
            <w:rFonts w:ascii="Calibri" w:cs="Calibri" w:eastAsia="Calibri" w:hAnsi="Calibri"/>
            <w:color w:val="D08700"/>
            <w:sz w:val="20"/>
            <w:szCs w:val="20"/>
            <w:u w:val="single"/>
          </w:rPr>
          <w:t xml:space="preserve">nrodrig1@gmail.com</w:t>
        </w:r>
      </w:hyperlink>
      <w:r>
        <w:rPr>
          <w:rFonts w:ascii="Calibri" w:cs="Calibri" w:eastAsia="Calibri" w:hAnsi="Calibri"/>
          <w:color w:val="B89968"/>
          <w:sz w:val="20"/>
          <w:szCs w:val="20"/>
        </w:rPr>
        <w:t xml:space="preserve">   •   </w:t>
      </w:r>
      <w:hyperlink w:history="1" r:id="rIdg8ixzbxrofbsywxkd5xv1">
        <w:r>
          <w:rPr>
            <w:rFonts w:ascii="Calibri" w:cs="Calibri" w:eastAsia="Calibri" w:hAnsi="Calibri"/>
            <w:color w:val="D08700"/>
            <w:sz w:val="20"/>
            <w:szCs w:val="20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B89968"/>
          <w:sz w:val="20"/>
          <w:szCs w:val="20"/>
        </w:rPr>
        <w:t xml:space="preserve">   •   </w:t>
      </w:r>
      <w:hyperlink w:history="1" r:id="rId9jbcyceyw-qbwf3ycsxac">
        <w:r>
          <w:rPr>
            <w:rFonts w:ascii="Calibri" w:cs="Calibri" w:eastAsia="Calibri" w:hAnsi="Calibri"/>
            <w:color w:val="D08700"/>
            <w:sz w:val="20"/>
            <w:szCs w:val="20"/>
            <w:u w:val="single"/>
          </w:rPr>
          <w:t xml:space="preserve">nick-rodriguez.info</w:t>
        </w:r>
      </w:hyperlink>
    </w:p>
    <w:p>
      <w:pPr>
        <w:spacing w:after="40" w:before="40" w:line="280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Problem solver who builds software end-to-end. For </w:t>
      </w:r>
      <w:r>
        <w:rPr>
          <w:rFonts w:ascii="Calibri" w:cs="Calibri" w:eastAsia="Calibri" w:hAnsi="Calibri"/>
          <w:b/>
          <w:bCs/>
          <w:color w:val="8A5A00"/>
          <w:sz w:val="21"/>
          <w:szCs w:val="21"/>
        </w:rPr>
        <w:t xml:space="preserve">5+ years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has shipped production systems independently, including </w:t>
      </w: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News Nexus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(a 5-service platform delivering weekly news-clip reports under a US federal contract) and </w:t>
      </w: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Kyber Vision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(volleyball-analytics mobile app for a European sports-tech product). Prior 15 years as a federal economist (US Government, ICF, HLB Decision Economics, EIA). Open to founding-engineer and early-stage roles where breadth, ownership, and shipping matter more than specialization.</w:t>
      </w:r>
    </w:p>
    <w:p>
      <w:pPr>
        <w:pBdr>
          <w:bottom w:val="single" w:color="D08700" w:sz="8" w:space="3"/>
        </w:pBdr>
        <w:spacing w:after="80" w:before="200"/>
      </w:pPr>
      <w:r>
        <w:rPr>
          <w:rFonts w:ascii="Calibri" w:cs="Calibri" w:eastAsia="Calibri" w:hAnsi="Calibri"/>
          <w:b/>
          <w:bCs/>
          <w:color w:val="8A5A00"/>
          <w:spacing w:val="40"/>
          <w:sz w:val="24"/>
          <w:szCs w:val="24"/>
        </w:rPr>
        <w:t xml:space="preserve">TECHNICAL SKILLS</w:t>
      </w:r>
    </w:p>
    <w:p>
      <w:pPr>
        <w:spacing w:after="30" w:before="30" w:line="240"/>
        <w:ind w:left="0"/>
      </w:pPr>
      <w:r>
        <w:rPr>
          <w:rFonts w:ascii="Calibri" w:cs="Calibri" w:eastAsia="Calibri" w:hAnsi="Calibri"/>
          <w:b/>
          <w:bCs/>
          <w:color w:val="8A5A00"/>
          <w:sz w:val="21"/>
          <w:szCs w:val="21"/>
        </w:rPr>
        <w:t xml:space="preserve">Frontend</w:t>
      </w: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React, React Native (Expo), Next.js, Redux Toolkit, Tailwind</w:t>
      </w:r>
    </w:p>
    <w:p>
      <w:pPr>
        <w:spacing w:after="30" w:before="30" w:line="240"/>
        <w:ind w:left="0"/>
      </w:pPr>
      <w:r>
        <w:rPr>
          <w:rFonts w:ascii="Calibri" w:cs="Calibri" w:eastAsia="Calibri" w:hAnsi="Calibri"/>
          <w:b/>
          <w:bCs/>
          <w:color w:val="8A5A00"/>
          <w:sz w:val="21"/>
          <w:szCs w:val="21"/>
        </w:rPr>
        <w:t xml:space="preserve">Backend</w:t>
      </w: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Node.js (ExpressJS), Python (Flask, FastAPI), REST API design, JWT auth</w:t>
      </w:r>
    </w:p>
    <w:p>
      <w:pPr>
        <w:spacing w:after="30" w:before="30" w:line="240"/>
        <w:ind w:left="0"/>
      </w:pPr>
      <w:r>
        <w:rPr>
          <w:rFonts w:ascii="Calibri" w:cs="Calibri" w:eastAsia="Calibri" w:hAnsi="Calibri"/>
          <w:b/>
          <w:bCs/>
          <w:color w:val="8A5A00"/>
          <w:sz w:val="21"/>
          <w:szCs w:val="21"/>
        </w:rPr>
        <w:t xml:space="preserve">Data</w:t>
      </w: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Postgres + Sequelize at production scale, schema migration (SQLite → Postgres)</w:t>
      </w:r>
    </w:p>
    <w:p>
      <w:pPr>
        <w:spacing w:after="30" w:before="30" w:line="240"/>
        <w:ind w:left="0"/>
      </w:pPr>
      <w:r>
        <w:rPr>
          <w:rFonts w:ascii="Calibri" w:cs="Calibri" w:eastAsia="Calibri" w:hAnsi="Calibri"/>
          <w:b/>
          <w:bCs/>
          <w:color w:val="8A5A00"/>
          <w:sz w:val="21"/>
          <w:szCs w:val="21"/>
        </w:rPr>
        <w:t xml:space="preserve">Queues &amp; Infra</w:t>
      </w: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BullMQ + Redis, custom FIFO with cooperative cancellation</w:t>
      </w:r>
    </w:p>
    <w:p>
      <w:pPr>
        <w:spacing w:after="30" w:before="30" w:line="240"/>
        <w:ind w:left="0"/>
      </w:pPr>
      <w:r>
        <w:rPr>
          <w:rFonts w:ascii="Calibri" w:cs="Calibri" w:eastAsia="Calibri" w:hAnsi="Calibri"/>
          <w:b/>
          <w:bCs/>
          <w:color w:val="8A5A00"/>
          <w:sz w:val="21"/>
          <w:szCs w:val="21"/>
        </w:rPr>
        <w:t xml:space="preserve">AI Integration</w:t>
      </w: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OpenAI, HuggingFace, sentence-transformers (semantic + dedupe scoring)</w:t>
      </w:r>
    </w:p>
    <w:p>
      <w:pPr>
        <w:spacing w:after="30" w:before="30" w:line="240"/>
        <w:ind w:left="0"/>
      </w:pPr>
      <w:r>
        <w:rPr>
          <w:rFonts w:ascii="Calibri" w:cs="Calibri" w:eastAsia="Calibri" w:hAnsi="Calibri"/>
          <w:b/>
          <w:bCs/>
          <w:color w:val="8A5A00"/>
          <w:sz w:val="21"/>
          <w:szCs w:val="21"/>
        </w:rPr>
        <w:t xml:space="preserve">Media Pipelines</w:t>
      </w: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ffmpeg, YouTube API, Playwright scraping</w:t>
      </w:r>
    </w:p>
    <w:p>
      <w:pPr>
        <w:spacing w:after="30" w:before="30" w:line="240"/>
        <w:ind w:left="0"/>
      </w:pPr>
      <w:r>
        <w:rPr>
          <w:rFonts w:ascii="Calibri" w:cs="Calibri" w:eastAsia="Calibri" w:hAnsi="Calibri"/>
          <w:b/>
          <w:bCs/>
          <w:color w:val="8A5A00"/>
          <w:sz w:val="21"/>
          <w:szCs w:val="21"/>
        </w:rPr>
        <w:t xml:space="preserve">DevOps</w:t>
      </w: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Ubuntu, reverse proxy, GitHub</w:t>
      </w:r>
    </w:p>
    <w:p>
      <w:pPr>
        <w:spacing w:after="30" w:before="30" w:line="240"/>
        <w:ind w:left="0"/>
      </w:pPr>
      <w:r>
        <w:rPr>
          <w:rFonts w:ascii="Calibri" w:cs="Calibri" w:eastAsia="Calibri" w:hAnsi="Calibri"/>
          <w:b/>
          <w:bCs/>
          <w:color w:val="8A5A00"/>
          <w:sz w:val="21"/>
          <w:szCs w:val="21"/>
        </w:rPr>
        <w:t xml:space="preserve">Solo Ownership</w:t>
      </w: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architecture → build → ops → stakeholders</w:t>
      </w:r>
    </w:p>
    <w:p>
      <w:pPr>
        <w:pBdr>
          <w:bottom w:val="single" w:color="D08700" w:sz="8" w:space="3"/>
        </w:pBdr>
        <w:spacing w:after="80" w:before="200"/>
      </w:pPr>
      <w:r>
        <w:rPr>
          <w:rFonts w:ascii="Calibri" w:cs="Calibri" w:eastAsia="Calibri" w:hAnsi="Calibri"/>
          <w:b/>
          <w:bCs/>
          <w:color w:val="8A5A00"/>
          <w:spacing w:val="40"/>
          <w:sz w:val="24"/>
          <w:szCs w:val="24"/>
        </w:rPr>
        <w:t xml:space="preserve">EXPERIENCE</w:t>
      </w:r>
    </w:p>
    <w:p>
      <w:pPr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Software Engineer</w:t>
      </w:r>
      <w:r>
        <w:rPr>
          <w:rFonts w:ascii="Calibri" w:cs="Calibri" w:eastAsia="Calibri" w:hAnsi="Calibri"/>
          <w:color w:val="B89968"/>
          <w:sz w:val="22"/>
          <w:szCs w:val="22"/>
        </w:rPr>
        <w:t xml:space="preserve">  ·  </w:t>
      </w:r>
      <w:r>
        <w:rPr>
          <w:rFonts w:ascii="Calibri" w:cs="Calibri" w:eastAsia="Calibri" w:hAnsi="Calibri"/>
          <w:color w:val="D08700"/>
          <w:sz w:val="22"/>
          <w:szCs w:val="22"/>
        </w:rPr>
        <w:t xml:space="preserve">Freelance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Nov 2020 – Present</w:t>
      </w:r>
    </w:p>
    <w:p>
      <w:pPr>
        <w:spacing w:after="60" w:before="20" w:line="26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Building production software end-to-end, independently, for paying clients, equity-stake partners, and personal products. Stack spans full-stack web, mobile, AI integration, and DevOps.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Calibri" w:cs="Calibri" w:eastAsia="Calibri" w:hAnsi="Calibri"/>
          <w:b/>
          <w:bCs/>
          <w:color w:val="8A5A00"/>
          <w:sz w:val="21"/>
          <w:szCs w:val="21"/>
        </w:rPr>
        <w:t xml:space="preserve">News Nexus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 (paid client work) Sole builder and operator of a 5-service production platform supporting a US federal contract with the Consumer Product Safety Commission via Kinetic Metrics. Ingests news from multiple sources into Postgres 16 via a shared Sequelize model package; runs deduplication, semantic and location scoring, OpenAI state classification, and content scraping through Node and Python workers; serves a Next.js review portal for human-in-the-loop clip approval and weekly PDF/Excel contract delivery. Completed SQLite → Postgres migration.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Calibri" w:cs="Calibri" w:eastAsia="Calibri" w:hAnsi="Calibri"/>
          <w:b/>
          <w:bCs/>
          <w:color w:val="8A5A00"/>
          <w:sz w:val="21"/>
          <w:szCs w:val="21"/>
        </w:rPr>
        <w:t xml:space="preserve">Tastermonial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 (pro bono trial engagement) Partnered with the founder to add Oura sleep tracking across their stack: Elixir (Phoenix) and Python (FastAPI) backends, new PostgreSQL schemas, Junction webhook ingestion, and Flutter mobile UI. Stood up an isolated parallel ecosystem (DB, both APIs, mobile) outside Tastermonial's prod/dev environments and shipped an auth-enabled Flutter web build so test users could trial it safely.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Calibri" w:cs="Calibri" w:eastAsia="Calibri" w:hAnsi="Calibri"/>
          <w:b/>
          <w:bCs/>
          <w:color w:val="8A5A00"/>
          <w:sz w:val="21"/>
          <w:szCs w:val="21"/>
        </w:rPr>
        <w:t xml:space="preserve">Kyber Vision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 (equity engagement) Built the React Native mobile app for a European volleyball analytics product (kybervision.eu). Handles auth, team and player admin, live match scripting via a custom court-zone tap and swipe-wheel gesture system, video upload and review, action-to-video timeline sync, and highlight montage requests. Integrates with an Express API, shared Sequelize models, and a BullMQ + Redis + ffmpeg worker that uploads to YouTube and generates montages.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Calibri" w:cs="Calibri" w:eastAsia="Calibri" w:hAnsi="Calibri"/>
          <w:b/>
          <w:bCs/>
          <w:color w:val="8A5A00"/>
          <w:sz w:val="21"/>
          <w:szCs w:val="21"/>
        </w:rPr>
        <w:t xml:space="preserve">What Sticks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 (what-sticks.com) Sleep and weather tracking web app. Daily API calls pull Oura Ring sleep scores and weather conditions; computes per-user temperature-to-sleep correlations over time.</w:t>
      </w:r>
    </w:p>
    <w:p>
      <w:pPr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Economist</w:t>
      </w:r>
      <w:r>
        <w:rPr>
          <w:rFonts w:ascii="Calibri" w:cs="Calibri" w:eastAsia="Calibri" w:hAnsi="Calibri"/>
          <w:color w:val="B89968"/>
          <w:sz w:val="22"/>
          <w:szCs w:val="22"/>
        </w:rPr>
        <w:t xml:space="preserve">  ·  </w:t>
      </w:r>
      <w:r>
        <w:rPr>
          <w:rFonts w:ascii="Calibri" w:cs="Calibri" w:eastAsia="Calibri" w:hAnsi="Calibri"/>
          <w:color w:val="D08700"/>
          <w:sz w:val="22"/>
          <w:szCs w:val="22"/>
        </w:rPr>
        <w:t xml:space="preserve">US Federal Government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2012 – 2020</w:t>
      </w:r>
    </w:p>
    <w:p>
      <w:pPr>
        <w:spacing w:after="60" w:before="20" w:line="26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Eight years as a federal economist focused on supply-chain analytics, price-growth analysis, and vendor proposal evaluation. Team lead on multiple engagements. Tools: regression, uncertainty analysis, forecasting, BLS price-index methodology, VBA, SAS JMP.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Calibri" w:cs="Calibri" w:eastAsia="Calibri" w:hAnsi="Calibri"/>
          <w:b/>
          <w:bCs/>
          <w:color w:val="8A5A00"/>
          <w:sz w:val="21"/>
          <w:szCs w:val="21"/>
        </w:rPr>
        <w:t xml:space="preserve">Ship Construction Price-Growth Negotiation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 (lead analyst) Built the Government's analytical position for a major proposal negotiation. For each part, ran regressions against historical purchases, mapped to a BLS price index via qualitative-similarity and growth-range checks, combined third-party BLS forecasts into a Government-position forecast, and produced uncertainty bounds. Implemented in VBA and SAS JMP.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Calibri" w:cs="Calibri" w:eastAsia="Calibri" w:hAnsi="Calibri"/>
          <w:b/>
          <w:bCs/>
          <w:color w:val="8A5A00"/>
          <w:sz w:val="21"/>
          <w:szCs w:val="21"/>
        </w:rPr>
        <w:t xml:space="preserve">NATO Inflation History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 Authored a 40-year history of US inflation covering drivers and policy context; presented at a NATO conference.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Calibri" w:cs="Calibri" w:eastAsia="Calibri" w:hAnsi="Calibri"/>
          <w:b/>
          <w:bCs/>
          <w:color w:val="8A5A00"/>
          <w:sz w:val="21"/>
          <w:szCs w:val="21"/>
        </w:rPr>
        <w:t xml:space="preserve">VBA Tooling for External Data Ingest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 Built Excel/VBA tools that automated extraction from external sources to feed recurring team analyses, replacing manual workflows.</w:t>
      </w:r>
    </w:p>
    <w:p>
      <w:pPr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Associate</w:t>
      </w:r>
      <w:r>
        <w:rPr>
          <w:rFonts w:ascii="Calibri" w:cs="Calibri" w:eastAsia="Calibri" w:hAnsi="Calibri"/>
          <w:color w:val="B89968"/>
          <w:sz w:val="22"/>
          <w:szCs w:val="22"/>
        </w:rPr>
        <w:t xml:space="preserve">  ·  </w:t>
      </w:r>
      <w:r>
        <w:rPr>
          <w:rFonts w:ascii="Calibri" w:cs="Calibri" w:eastAsia="Calibri" w:hAnsi="Calibri"/>
          <w:color w:val="D08700"/>
          <w:sz w:val="22"/>
          <w:szCs w:val="22"/>
        </w:rPr>
        <w:t xml:space="preserve">ICF International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Jan 2009 – Jan 2012</w:t>
      </w:r>
    </w:p>
    <w:p>
      <w:pPr>
        <w:spacing w:after="60" w:before="20" w:line="26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Three years in ICF's energy practice delivering forecasting and analytics for US electricity market clients including utilities, RTOs, and federal agencies. Tools: linear programming, econometric/regression modeling, large database management.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Calibri" w:cs="Calibri" w:eastAsia="Calibri" w:hAnsi="Calibri"/>
          <w:b/>
          <w:bCs/>
          <w:color w:val="8A5A00"/>
          <w:sz w:val="21"/>
          <w:szCs w:val="21"/>
        </w:rPr>
        <w:t xml:space="preserve">US Electricity Market Forecasting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 Used ICF's proprietary LP model of US electricity markets to deliver power-plant valuations, energy-price forecasts, and market-share forecasts for utility and RTO clients.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Calibri" w:cs="Calibri" w:eastAsia="Calibri" w:hAnsi="Calibri"/>
          <w:b/>
          <w:bCs/>
          <w:color w:val="8A5A00"/>
          <w:sz w:val="21"/>
          <w:szCs w:val="21"/>
        </w:rPr>
        <w:t xml:space="preserve">NREL Cross-Model Comparison Study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 Lead on database development and major contributor to the published report comparing technology costs and performance across seven energy market models (MARKAL, NEMS, GPRA, ReEDS, MERGE, MiniCAM, EPA IPM).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Calibri" w:cs="Calibri" w:eastAsia="Calibri" w:hAnsi="Calibri"/>
          <w:b/>
          <w:bCs/>
          <w:color w:val="8A5A00"/>
          <w:sz w:val="21"/>
          <w:szCs w:val="21"/>
        </w:rPr>
        <w:t xml:space="preserve">ARRA Federal Grants Advisory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 Advised regional governments on applying for ARRA funding for energy-efficiency infrastructure including public transit and building upgrades.</w:t>
      </w:r>
    </w:p>
    <w:p>
      <w:pPr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Economist</w:t>
      </w:r>
      <w:r>
        <w:rPr>
          <w:rFonts w:ascii="Calibri" w:cs="Calibri" w:eastAsia="Calibri" w:hAnsi="Calibri"/>
          <w:color w:val="B89968"/>
          <w:sz w:val="22"/>
          <w:szCs w:val="22"/>
        </w:rPr>
        <w:t xml:space="preserve">  ·  </w:t>
      </w:r>
      <w:r>
        <w:rPr>
          <w:rFonts w:ascii="Calibri" w:cs="Calibri" w:eastAsia="Calibri" w:hAnsi="Calibri"/>
          <w:color w:val="D08700"/>
          <w:sz w:val="22"/>
          <w:szCs w:val="22"/>
        </w:rPr>
        <w:t xml:space="preserve">HDR | HLB Decision Economics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Nov 2007 – Dec 2008</w:t>
      </w:r>
    </w:p>
    <w:p>
      <w:pPr>
        <w:spacing w:after="60" w:before="20" w:line="26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Economic and risk modeling for infrastructure clients across the US, spanning public-sector evaluation and private-sector market assessment. Tools: cost-benefit analysis, Monte Carlo cost-risk methods, regression for market sizing.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Calibri" w:cs="Calibri" w:eastAsia="Calibri" w:hAnsi="Calibri"/>
          <w:b/>
          <w:bCs/>
          <w:color w:val="8A5A00"/>
          <w:sz w:val="21"/>
          <w:szCs w:val="21"/>
        </w:rPr>
        <w:t xml:space="preserve">Southeastern US Construction Market Assessment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 For a large US contractor, assessed market potential across water/wastewater, power, seaports, rail, and airports. Led areas involving risk and statistical modeling. Output shaped the client's resource-allocation strategy.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Calibri" w:cs="Calibri" w:eastAsia="Calibri" w:hAnsi="Calibri"/>
          <w:b/>
          <w:bCs/>
          <w:color w:val="8A5A00"/>
          <w:sz w:val="21"/>
          <w:szCs w:val="21"/>
        </w:rPr>
        <w:t xml:space="preserve">Transportation Infrastructure Project Evaluations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 Cost-benefit modeling for public-entity clients; reports informed how clients prioritized public funding awards.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Calibri" w:cs="Calibri" w:eastAsia="Calibri" w:hAnsi="Calibri"/>
          <w:b/>
          <w:bCs/>
          <w:color w:val="8A5A00"/>
          <w:sz w:val="21"/>
          <w:szCs w:val="21"/>
        </w:rPr>
        <w:t xml:space="preserve">Cost and Schedule Risk Modeling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 Built Monte Carlo cost-risk analyses estimating total cost and approximate schedule under uncertainty, used to size contingency and set baselines.</w:t>
      </w:r>
    </w:p>
    <w:p>
      <w:pPr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Industry Economist</w:t>
      </w:r>
      <w:r>
        <w:rPr>
          <w:rFonts w:ascii="Calibri" w:cs="Calibri" w:eastAsia="Calibri" w:hAnsi="Calibri"/>
          <w:color w:val="B89968"/>
          <w:sz w:val="22"/>
          <w:szCs w:val="22"/>
        </w:rPr>
        <w:t xml:space="preserve">  ·  </w:t>
      </w:r>
      <w:r>
        <w:rPr>
          <w:rFonts w:ascii="Calibri" w:cs="Calibri" w:eastAsia="Calibri" w:hAnsi="Calibri"/>
          <w:color w:val="D08700"/>
          <w:sz w:val="22"/>
          <w:szCs w:val="22"/>
        </w:rPr>
        <w:t xml:space="preserve">US Department of Energy / EIA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Jun 2005 – Nov 2007</w:t>
      </w:r>
    </w:p>
    <w:p>
      <w:pPr>
        <w:spacing w:after="60" w:before="20" w:line="26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Industry economist at the US Energy Information Administration focused on retail electricity. Tools: survey-data methodology and edit-check design, energy-model interpretation, web data-product development, analytical writing.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Calibri" w:cs="Calibri" w:eastAsia="Calibri" w:hAnsi="Calibri"/>
          <w:b/>
          <w:bCs/>
          <w:color w:val="8A5A00"/>
          <w:sz w:val="21"/>
          <w:szCs w:val="21"/>
        </w:rPr>
        <w:t xml:space="preserve">Electricity Sales and Revenue Survey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 Developed and analyzed edit checks, improving data-collection efficiency and surfacing trends for EIA reports.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Calibri" w:cs="Calibri" w:eastAsia="Calibri" w:hAnsi="Calibri"/>
          <w:b/>
          <w:bCs/>
          <w:color w:val="8A5A00"/>
          <w:sz w:val="21"/>
          <w:szCs w:val="21"/>
        </w:rPr>
        <w:t xml:space="preserve">OAIF Detail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 Summarized energy-model results during a detail focused on economic effects of a potential new policy.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Calibri" w:cs="Calibri" w:eastAsia="Calibri" w:hAnsi="Calibri"/>
          <w:b/>
          <w:bCs/>
          <w:color w:val="8A5A00"/>
          <w:sz w:val="21"/>
          <w:szCs w:val="21"/>
        </w:rPr>
        <w:t xml:space="preserve">EIA Web Data Products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 Developed, improved, and maintained EIA's retail electricity web data products, working with IT to take products to production. Led projects.</w:t>
      </w:r>
    </w:p>
    <w:p>
      <w:pPr>
        <w:pBdr>
          <w:bottom w:val="single" w:color="D08700" w:sz="8" w:space="3"/>
        </w:pBdr>
        <w:spacing w:after="80" w:before="200"/>
      </w:pPr>
      <w:r>
        <w:rPr>
          <w:rFonts w:ascii="Calibri" w:cs="Calibri" w:eastAsia="Calibri" w:hAnsi="Calibri"/>
          <w:b/>
          <w:bCs/>
          <w:color w:val="8A5A00"/>
          <w:spacing w:val="40"/>
          <w:sz w:val="24"/>
          <w:szCs w:val="24"/>
        </w:rPr>
        <w:t xml:space="preserve">EDUCATION</w:t>
      </w:r>
    </w:p>
    <w:p>
      <w:pPr>
        <w:tabs>
          <w:tab w:val="right" w:pos="9026"/>
        </w:tabs>
        <w:spacing w:after="20" w:before="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La Capsule</w:t>
      </w:r>
      <w:r>
        <w:rPr>
          <w:rFonts w:ascii="Calibri" w:cs="Calibri" w:eastAsia="Calibri" w:hAnsi="Calibri"/>
          <w:color w:val="B89968"/>
          <w:sz w:val="22"/>
          <w:szCs w:val="22"/>
        </w:rPr>
        <w:t xml:space="preserve">  ·  </w:t>
      </w:r>
      <w:r>
        <w:rPr>
          <w:rFonts w:ascii="Calibri" w:cs="Calibri" w:eastAsia="Calibri" w:hAnsi="Calibri"/>
          <w:color w:val="D08700"/>
          <w:sz w:val="22"/>
          <w:szCs w:val="22"/>
        </w:rPr>
        <w:t xml:space="preserve">Certified Full-Stack Web &amp; Mobile Developer (JavaScript)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Sep 2024 – Dec 2024</w:t>
      </w:r>
    </w:p>
    <w:p>
      <w:pPr>
        <w:tabs>
          <w:tab w:val="right" w:pos="9026"/>
        </w:tabs>
        <w:spacing w:after="20" w:before="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George Mason University</w:t>
      </w:r>
      <w:r>
        <w:rPr>
          <w:rFonts w:ascii="Calibri" w:cs="Calibri" w:eastAsia="Calibri" w:hAnsi="Calibri"/>
          <w:color w:val="B89968"/>
          <w:sz w:val="22"/>
          <w:szCs w:val="22"/>
        </w:rPr>
        <w:t xml:space="preserve">  ·  </w:t>
      </w:r>
      <w:r>
        <w:rPr>
          <w:rFonts w:ascii="Calibri" w:cs="Calibri" w:eastAsia="Calibri" w:hAnsi="Calibri"/>
          <w:color w:val="D08700"/>
          <w:sz w:val="22"/>
          <w:szCs w:val="22"/>
        </w:rPr>
        <w:t xml:space="preserve">M.A., Economics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2005 – 2007</w:t>
      </w:r>
    </w:p>
    <w:p>
      <w:pPr>
        <w:tabs>
          <w:tab w:val="right" w:pos="9026"/>
        </w:tabs>
        <w:spacing w:after="20" w:before="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George Mason University</w:t>
      </w:r>
      <w:r>
        <w:rPr>
          <w:rFonts w:ascii="Calibri" w:cs="Calibri" w:eastAsia="Calibri" w:hAnsi="Calibri"/>
          <w:color w:val="B89968"/>
          <w:sz w:val="22"/>
          <w:szCs w:val="22"/>
        </w:rPr>
        <w:t xml:space="preserve">  ·  </w:t>
      </w:r>
      <w:r>
        <w:rPr>
          <w:rFonts w:ascii="Calibri" w:cs="Calibri" w:eastAsia="Calibri" w:hAnsi="Calibri"/>
          <w:color w:val="D08700"/>
          <w:sz w:val="22"/>
          <w:szCs w:val="22"/>
        </w:rPr>
        <w:t xml:space="preserve">B.A., Economics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1999 – 2004</w:t>
      </w:r>
    </w:p>
    <w:p>
      <w:pPr>
        <w:pBdr>
          <w:bottom w:val="single" w:color="D08700" w:sz="8" w:space="3"/>
        </w:pBdr>
        <w:spacing w:after="80" w:before="200"/>
      </w:pPr>
      <w:r>
        <w:rPr>
          <w:rFonts w:ascii="Calibri" w:cs="Calibri" w:eastAsia="Calibri" w:hAnsi="Calibri"/>
          <w:b/>
          <w:bCs/>
          <w:color w:val="8A5A00"/>
          <w:spacing w:val="40"/>
          <w:sz w:val="24"/>
          <w:szCs w:val="24"/>
        </w:rPr>
        <w:t xml:space="preserve">INTERESTS</w:t>
      </w:r>
    </w:p>
    <w:p>
      <w:pPr>
        <w:spacing w:after="40" w:before="4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Guitar  ·  Reading  ·  French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360" w:hanging="240"/>
      </w:pPr>
      <w:rPr>
        <w:color w:val="D0870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dbllafo1-g5ltuxuzj1r" Type="http://schemas.openxmlformats.org/officeDocument/2006/relationships/hyperlink" Target="mailto:nrodrig1@gmail.com" TargetMode="External"/><Relationship Id="rIdg8ixzbxrofbsywxkd5xv1" Type="http://schemas.openxmlformats.org/officeDocument/2006/relationships/hyperlink" Target="https://www.linkedin.com/in/nick-rodriguez-0a31a133/" TargetMode="External"/><Relationship Id="rId9jbcyceyw-qbwf3ycsxac" Type="http://schemas.openxmlformats.org/officeDocument/2006/relationships/hyperlink" Target="https://nick-rodriguez.info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Nick Rodriguez Resume</dc:title>
  <dc:creator>Nick Rodriguez</dc:creator>
  <cp:lastModifiedBy>Un-named</cp:lastModifiedBy>
  <cp:revision>1</cp:revision>
  <dcterms:created xsi:type="dcterms:W3CDTF">2026-05-26T20:21:31.494Z</dcterms:created>
  <dcterms:modified xsi:type="dcterms:W3CDTF">2026-05-26T20:21:31.507Z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