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49E3" w14:textId="62AACE65" w:rsidR="00201181" w:rsidRDefault="00201181" w:rsidP="00201181">
      <w:r>
        <w:t>Autor(es):</w:t>
      </w:r>
      <w:r w:rsidRPr="0094070A">
        <w:rPr>
          <w:rFonts w:cstheme="minorHAnsi"/>
        </w:rPr>
        <w:t xml:space="preserve"> </w:t>
      </w:r>
      <w:r w:rsidRPr="003B6367">
        <w:rPr>
          <w:rFonts w:cstheme="minorHAnsi"/>
        </w:rPr>
        <w:t xml:space="preserve">RAM, </w:t>
      </w:r>
      <w:proofErr w:type="spellStart"/>
      <w:r w:rsidRPr="003B6367">
        <w:rPr>
          <w:rFonts w:cstheme="minorHAnsi"/>
        </w:rPr>
        <w:t>Asheer</w:t>
      </w:r>
      <w:proofErr w:type="spellEnd"/>
      <w:r w:rsidRPr="003B6367">
        <w:rPr>
          <w:rFonts w:cstheme="minorHAnsi"/>
        </w:rPr>
        <w:t>.</w:t>
      </w:r>
    </w:p>
    <w:p w14:paraId="291A2C9C" w14:textId="241C137B" w:rsidR="00201181" w:rsidRDefault="00201181" w:rsidP="00201181">
      <w:r>
        <w:t xml:space="preserve">Citação: </w:t>
      </w:r>
      <w:r w:rsidRPr="003B6367">
        <w:rPr>
          <w:rFonts w:cstheme="minorHAnsi"/>
        </w:rPr>
        <w:t>RAM, Asheer.</w:t>
      </w:r>
      <w:r>
        <w:rPr>
          <w:rFonts w:cstheme="minorHAnsi"/>
        </w:rPr>
        <w:t>20</w:t>
      </w:r>
      <w:r>
        <w:rPr>
          <w:rFonts w:cstheme="minorHAnsi"/>
        </w:rPr>
        <w:t>19</w:t>
      </w:r>
    </w:p>
    <w:p w14:paraId="6C2E176A" w14:textId="1249365E" w:rsidR="00201181" w:rsidRDefault="00201181" w:rsidP="00201181">
      <w:r>
        <w:t>Tema</w:t>
      </w:r>
      <w:r>
        <w:t>:</w:t>
      </w:r>
      <w:r w:rsidRPr="00201181">
        <w:t xml:space="preserve"> </w:t>
      </w:r>
      <w:r w:rsidRPr="001B0A64">
        <w:t xml:space="preserve">Bitcoin as a new </w:t>
      </w:r>
      <w:proofErr w:type="spellStart"/>
      <w:r w:rsidRPr="001B0A64">
        <w:t>asset</w:t>
      </w:r>
      <w:proofErr w:type="spellEnd"/>
      <w:r w:rsidRPr="001B0A64">
        <w:t xml:space="preserve"> </w:t>
      </w:r>
      <w:proofErr w:type="spellStart"/>
      <w:r w:rsidRPr="001B0A64">
        <w:t>class</w:t>
      </w:r>
      <w:proofErr w:type="spellEnd"/>
    </w:p>
    <w:p w14:paraId="4B341500" w14:textId="77777777" w:rsidR="00201181" w:rsidRPr="003B6367" w:rsidRDefault="00201181" w:rsidP="00201181">
      <w:pPr>
        <w:rPr>
          <w:rFonts w:cstheme="minorHAnsi"/>
        </w:rPr>
      </w:pPr>
      <w:r>
        <w:t>Referência bibliográfica:</w:t>
      </w:r>
      <w:r w:rsidRPr="0094070A">
        <w:rPr>
          <w:rFonts w:cstheme="minorHAnsi"/>
        </w:rPr>
        <w:t xml:space="preserve"> </w:t>
      </w:r>
      <w:r w:rsidRPr="003B6367">
        <w:rPr>
          <w:rFonts w:cstheme="minorHAnsi"/>
        </w:rPr>
        <w:t xml:space="preserve">RAM, </w:t>
      </w:r>
      <w:proofErr w:type="spellStart"/>
      <w:r w:rsidRPr="003B6367">
        <w:rPr>
          <w:rFonts w:cstheme="minorHAnsi"/>
        </w:rPr>
        <w:t>Asheer</w:t>
      </w:r>
      <w:proofErr w:type="spellEnd"/>
      <w:r w:rsidRPr="003B6367">
        <w:rPr>
          <w:rFonts w:cstheme="minorHAnsi"/>
        </w:rPr>
        <w:t xml:space="preserve">. </w:t>
      </w:r>
      <w:r w:rsidRPr="0008564F">
        <w:rPr>
          <w:rFonts w:cstheme="minorHAnsi"/>
          <w:b/>
          <w:bCs/>
        </w:rPr>
        <w:t xml:space="preserve">Bitcoin as a new </w:t>
      </w:r>
      <w:proofErr w:type="spellStart"/>
      <w:r w:rsidRPr="0008564F">
        <w:rPr>
          <w:rFonts w:cstheme="minorHAnsi"/>
          <w:b/>
          <w:bCs/>
        </w:rPr>
        <w:t>asset</w:t>
      </w:r>
      <w:proofErr w:type="spellEnd"/>
      <w:r w:rsidRPr="0008564F">
        <w:rPr>
          <w:rFonts w:cstheme="minorHAnsi"/>
          <w:b/>
          <w:bCs/>
        </w:rPr>
        <w:t xml:space="preserve"> </w:t>
      </w:r>
      <w:proofErr w:type="spellStart"/>
      <w:r w:rsidRPr="0008564F">
        <w:rPr>
          <w:rFonts w:cstheme="minorHAnsi"/>
          <w:b/>
          <w:bCs/>
        </w:rPr>
        <w:t>class</w:t>
      </w:r>
      <w:proofErr w:type="spellEnd"/>
      <w:r w:rsidRPr="003B6367">
        <w:rPr>
          <w:rFonts w:cstheme="minorHAnsi"/>
        </w:rPr>
        <w:t>, 2019</w:t>
      </w:r>
    </w:p>
    <w:p w14:paraId="3F4526EF" w14:textId="28167752" w:rsidR="00201181" w:rsidRPr="003B6367" w:rsidRDefault="00201181" w:rsidP="00201181">
      <w:pPr>
        <w:rPr>
          <w:rFonts w:cstheme="minorHAnsi"/>
        </w:rPr>
      </w:pPr>
    </w:p>
    <w:p w14:paraId="655B6006" w14:textId="77777777" w:rsidR="00201181" w:rsidRDefault="00201181" w:rsidP="001B0A64"/>
    <w:p w14:paraId="66D2797D" w14:textId="7C9645AF" w:rsidR="001C4539" w:rsidRDefault="00201181" w:rsidP="00201181">
      <w:pPr>
        <w:jc w:val="center"/>
      </w:pPr>
      <w:r>
        <w:t>Fichamento</w:t>
      </w:r>
    </w:p>
    <w:p w14:paraId="0CCA7956" w14:textId="4E9D9A41" w:rsidR="001C4539" w:rsidRDefault="001C4539" w:rsidP="001B0A64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1C4539" w14:paraId="516B32BB" w14:textId="77777777" w:rsidTr="00125313">
        <w:trPr>
          <w:trHeight w:val="297"/>
        </w:trPr>
        <w:tc>
          <w:tcPr>
            <w:tcW w:w="811" w:type="dxa"/>
          </w:tcPr>
          <w:p w14:paraId="4FD8E74A" w14:textId="0E719820" w:rsidR="001C4539" w:rsidRDefault="001C4539" w:rsidP="001B0A64">
            <w:r>
              <w:t>Pagina</w:t>
            </w:r>
          </w:p>
        </w:tc>
        <w:tc>
          <w:tcPr>
            <w:tcW w:w="7979" w:type="dxa"/>
          </w:tcPr>
          <w:p w14:paraId="4F2DEF21" w14:textId="40697996" w:rsidR="001C4539" w:rsidRDefault="001C4539" w:rsidP="001B0A64">
            <w:r>
              <w:t>Texto</w:t>
            </w:r>
          </w:p>
        </w:tc>
        <w:tc>
          <w:tcPr>
            <w:tcW w:w="1984" w:type="dxa"/>
          </w:tcPr>
          <w:p w14:paraId="303B9862" w14:textId="170B57E7" w:rsidR="001C4539" w:rsidRDefault="008F6FF9" w:rsidP="001B0A64">
            <w:r>
              <w:t>Comentário</w:t>
            </w:r>
          </w:p>
        </w:tc>
      </w:tr>
      <w:tr w:rsidR="001C4539" w14:paraId="5F12CE9E" w14:textId="77777777" w:rsidTr="00125313">
        <w:trPr>
          <w:trHeight w:val="297"/>
        </w:trPr>
        <w:tc>
          <w:tcPr>
            <w:tcW w:w="811" w:type="dxa"/>
          </w:tcPr>
          <w:p w14:paraId="654B7319" w14:textId="6BB3C5FA" w:rsidR="001C4539" w:rsidRDefault="00A8626B" w:rsidP="001B0A64">
            <w:r>
              <w:t>3</w:t>
            </w:r>
          </w:p>
        </w:tc>
        <w:tc>
          <w:tcPr>
            <w:tcW w:w="7979" w:type="dxa"/>
          </w:tcPr>
          <w:p w14:paraId="35F8049B" w14:textId="77777777" w:rsidR="00A8626B" w:rsidRDefault="00A8626B" w:rsidP="00A8626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investable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shares</w:t>
            </w:r>
            <w:proofErr w:type="spellEnd"/>
            <w:r>
              <w:t xml:space="preserve">, </w:t>
            </w:r>
            <w:proofErr w:type="spellStart"/>
            <w:r>
              <w:t>bonds</w:t>
            </w:r>
            <w:proofErr w:type="spellEnd"/>
            <w:r>
              <w:t xml:space="preserve">, real </w:t>
            </w:r>
            <w:proofErr w:type="spellStart"/>
            <w:r>
              <w:t>estate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commodities 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) </w:t>
            </w:r>
            <w:proofErr w:type="spellStart"/>
            <w:r>
              <w:t>bear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(Markowitz, 1959; </w:t>
            </w:r>
            <w:proofErr w:type="spellStart"/>
            <w:r>
              <w:t>Shipway</w:t>
            </w:r>
            <w:proofErr w:type="spellEnd"/>
            <w:r>
              <w:t xml:space="preserve">, 2009; </w:t>
            </w:r>
            <w:proofErr w:type="spellStart"/>
            <w:r>
              <w:t>Bodie</w:t>
            </w:r>
            <w:proofErr w:type="spellEnd"/>
            <w:r>
              <w:t xml:space="preserve"> et al., 2014). The </w:t>
            </w: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</w:t>
            </w:r>
            <w:proofErr w:type="spellStart"/>
            <w:r>
              <w:t>allows</w:t>
            </w:r>
            <w:proofErr w:type="spellEnd"/>
            <w:r>
              <w:t xml:space="preserve"> for </w:t>
            </w:r>
            <w:proofErr w:type="spellStart"/>
            <w:r>
              <w:t>grouping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investable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similar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(Markowitz, 1959; </w:t>
            </w:r>
            <w:proofErr w:type="spellStart"/>
            <w:r>
              <w:t>Shipway</w:t>
            </w:r>
            <w:proofErr w:type="spellEnd"/>
            <w:r>
              <w:t xml:space="preserve">, 2009; </w:t>
            </w:r>
            <w:proofErr w:type="spellStart"/>
            <w:r>
              <w:t>Bodie</w:t>
            </w:r>
            <w:proofErr w:type="spellEnd"/>
            <w:r>
              <w:t xml:space="preserve"> et al., 2014). </w:t>
            </w:r>
            <w:proofErr w:type="spellStart"/>
            <w:r>
              <w:t>Investing</w:t>
            </w:r>
            <w:proofErr w:type="spellEnd"/>
            <w:r>
              <w:t xml:space="preserve"> in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referred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as </w:t>
            </w:r>
            <w:proofErr w:type="spellStart"/>
            <w:r>
              <w:t>diversification</w:t>
            </w:r>
            <w:proofErr w:type="spellEnd"/>
            <w:r>
              <w:t xml:space="preserve">, </w:t>
            </w:r>
            <w:proofErr w:type="spellStart"/>
            <w:r>
              <w:t>assists</w:t>
            </w:r>
            <w:proofErr w:type="spellEnd"/>
            <w:r>
              <w:t xml:space="preserve"> in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in portfolio management, </w:t>
            </w:r>
            <w:proofErr w:type="spellStart"/>
            <w:r>
              <w:t>wealth</w:t>
            </w:r>
            <w:proofErr w:type="spellEnd"/>
            <w:r>
              <w:t xml:space="preserve"> </w:t>
            </w:r>
            <w:proofErr w:type="spellStart"/>
            <w:r>
              <w:t>preservation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, making it </w:t>
            </w:r>
            <w:proofErr w:type="spellStart"/>
            <w:r>
              <w:t>of</w:t>
            </w:r>
            <w:proofErr w:type="spellEnd"/>
            <w:r>
              <w:t xml:space="preserve"> integral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</w:p>
          <w:p w14:paraId="1A8B779A" w14:textId="77777777" w:rsidR="001C4539" w:rsidRDefault="001C4539" w:rsidP="001B0A64"/>
        </w:tc>
        <w:tc>
          <w:tcPr>
            <w:tcW w:w="1984" w:type="dxa"/>
          </w:tcPr>
          <w:p w14:paraId="73780989" w14:textId="77777777" w:rsidR="001C4539" w:rsidRDefault="001C4539" w:rsidP="001B0A64"/>
        </w:tc>
      </w:tr>
      <w:tr w:rsidR="00A8626B" w14:paraId="4DD0DFEE" w14:textId="77777777" w:rsidTr="00125313">
        <w:trPr>
          <w:trHeight w:val="297"/>
        </w:trPr>
        <w:tc>
          <w:tcPr>
            <w:tcW w:w="811" w:type="dxa"/>
          </w:tcPr>
          <w:p w14:paraId="75DF5036" w14:textId="7C794F9C" w:rsidR="00A8626B" w:rsidRDefault="00A8626B" w:rsidP="001B0A64">
            <w:r>
              <w:t>5</w:t>
            </w:r>
          </w:p>
        </w:tc>
        <w:tc>
          <w:tcPr>
            <w:tcW w:w="7979" w:type="dxa"/>
          </w:tcPr>
          <w:p w14:paraId="4AFA3E30" w14:textId="77777777" w:rsidR="00A8626B" w:rsidRDefault="00A8626B" w:rsidP="00A8626B">
            <w:r>
              <w:t xml:space="preserve">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amalgamated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evaluate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:</w:t>
            </w:r>
          </w:p>
          <w:p w14:paraId="7D308403" w14:textId="77777777" w:rsidR="00A8626B" w:rsidRDefault="00A8626B" w:rsidP="00A8626B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Investability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for passive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composition</w:t>
            </w:r>
            <w:proofErr w:type="spellEnd"/>
            <w:r>
              <w:t xml:space="preserve"> data.</w:t>
            </w:r>
          </w:p>
          <w:p w14:paraId="4945595B" w14:textId="77777777" w:rsidR="00A8626B" w:rsidRDefault="00A8626B" w:rsidP="00A8626B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Politico-economic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replicate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Other </w:t>
            </w:r>
            <w:proofErr w:type="spellStart"/>
            <w:r>
              <w:t>assets</w:t>
            </w:r>
            <w:proofErr w:type="spellEnd"/>
            <w:r>
              <w:t>.</w:t>
            </w:r>
          </w:p>
          <w:p w14:paraId="0481D20D" w14:textId="77777777" w:rsidR="00A8626B" w:rsidRDefault="00A8626B" w:rsidP="00A8626B">
            <w:pPr>
              <w:pStyle w:val="PargrafodaLista"/>
              <w:numPr>
                <w:ilvl w:val="0"/>
                <w:numId w:val="2"/>
              </w:numPr>
            </w:pPr>
            <w:r>
              <w:t xml:space="preserve">Close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  <w:p w14:paraId="0363F5F9" w14:textId="77777777" w:rsidR="00A8626B" w:rsidRDefault="00A8626B" w:rsidP="00A8626B">
            <w:pPr>
              <w:pStyle w:val="PargrafodaLista"/>
            </w:pP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class.</w:t>
            </w:r>
          </w:p>
          <w:p w14:paraId="2CDFFC3E" w14:textId="77777777" w:rsidR="00A8626B" w:rsidRPr="001B0A64" w:rsidRDefault="00A8626B" w:rsidP="00A8626B">
            <w:pPr>
              <w:pStyle w:val="PargrafodaLista"/>
              <w:numPr>
                <w:ilvl w:val="0"/>
                <w:numId w:val="2"/>
              </w:numPr>
            </w:pPr>
            <w:r>
              <w:t>Risk-</w:t>
            </w:r>
            <w:proofErr w:type="spellStart"/>
            <w:r>
              <w:t>reward</w:t>
            </w:r>
            <w:proofErr w:type="spellEnd"/>
            <w:r>
              <w:t xml:space="preserve"> profile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in </w:t>
            </w:r>
            <w:proofErr w:type="spellStart"/>
            <w:r>
              <w:t>excess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risk-free</w:t>
            </w:r>
            <w:proofErr w:type="spellEnd"/>
            <w:r>
              <w:t xml:space="preserve"> rate</w:t>
            </w:r>
          </w:p>
          <w:p w14:paraId="131513BE" w14:textId="77777777" w:rsidR="00A8626B" w:rsidRDefault="00A8626B" w:rsidP="00A8626B"/>
        </w:tc>
        <w:tc>
          <w:tcPr>
            <w:tcW w:w="1984" w:type="dxa"/>
          </w:tcPr>
          <w:p w14:paraId="2AA317B2" w14:textId="72DE5BBE" w:rsidR="00A8626B" w:rsidRDefault="00A8626B" w:rsidP="001B0A64">
            <w:r>
              <w:t>Classificando o que seria uma classe de ativo</w:t>
            </w:r>
          </w:p>
        </w:tc>
      </w:tr>
      <w:tr w:rsidR="00A8626B" w14:paraId="28C4924F" w14:textId="77777777" w:rsidTr="00125313">
        <w:trPr>
          <w:trHeight w:val="297"/>
        </w:trPr>
        <w:tc>
          <w:tcPr>
            <w:tcW w:w="811" w:type="dxa"/>
          </w:tcPr>
          <w:p w14:paraId="45EEDF2B" w14:textId="7279282B" w:rsidR="00A8626B" w:rsidRDefault="00F8080F" w:rsidP="001B0A64">
            <w:r>
              <w:t>5-6</w:t>
            </w:r>
          </w:p>
        </w:tc>
        <w:tc>
          <w:tcPr>
            <w:tcW w:w="7979" w:type="dxa"/>
          </w:tcPr>
          <w:p w14:paraId="04B8E3F6" w14:textId="698C186C" w:rsidR="00A8626B" w:rsidRDefault="005133E9" w:rsidP="00A8626B">
            <w:proofErr w:type="spellStart"/>
            <w:r w:rsidRPr="00314BC6">
              <w:rPr>
                <w:b/>
                <w:bCs/>
              </w:rPr>
              <w:t>Investability</w:t>
            </w:r>
            <w:proofErr w:type="spellEnd"/>
            <w:r>
              <w:t xml:space="preserve"> </w:t>
            </w:r>
            <w:proofErr w:type="spellStart"/>
            <w:r>
              <w:t>encompasses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provision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provision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 </w:t>
            </w:r>
            <w:proofErr w:type="spellStart"/>
            <w:r>
              <w:t>There</w:t>
            </w:r>
            <w:proofErr w:type="spellEnd"/>
            <w:r>
              <w:t xml:space="preserve"> must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for passive </w:t>
            </w:r>
            <w:proofErr w:type="spellStart"/>
            <w:r>
              <w:t>investment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(</w:t>
            </w:r>
            <w:proofErr w:type="spellStart"/>
            <w:r>
              <w:t>Oberhofer</w:t>
            </w:r>
            <w:proofErr w:type="spellEnd"/>
            <w:r>
              <w:t xml:space="preserve">, 2001). Passive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entails</w:t>
            </w:r>
            <w:proofErr w:type="spellEnd"/>
            <w:r>
              <w:t xml:space="preserve"> </w:t>
            </w:r>
            <w:proofErr w:type="spellStart"/>
            <w:r>
              <w:t>investing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as </w:t>
            </w:r>
            <w:proofErr w:type="spellStart"/>
            <w:r>
              <w:t>to</w:t>
            </w:r>
            <w:proofErr w:type="spellEnd"/>
            <w:r>
              <w:t xml:space="preserve"> track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investing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underlying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(</w:t>
            </w:r>
            <w:proofErr w:type="spellStart"/>
            <w:r>
              <w:t>Malkiel</w:t>
            </w:r>
            <w:proofErr w:type="spellEnd"/>
            <w:r>
              <w:t xml:space="preserve">, 2003).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indexing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 w:rsidR="008F6FF9">
              <w:t xml:space="preserve">. Passive </w:t>
            </w:r>
            <w:proofErr w:type="spellStart"/>
            <w:r w:rsidR="008F6FF9">
              <w:t>investment</w:t>
            </w:r>
            <w:proofErr w:type="spellEnd"/>
            <w:r w:rsidR="008F6FF9">
              <w:t xml:space="preserve"> </w:t>
            </w:r>
            <w:proofErr w:type="spellStart"/>
            <w:r w:rsidR="008F6FF9">
              <w:t>entails</w:t>
            </w:r>
            <w:proofErr w:type="spellEnd"/>
            <w:r w:rsidR="008F6FF9">
              <w:t xml:space="preserve"> </w:t>
            </w:r>
            <w:proofErr w:type="spellStart"/>
            <w:r w:rsidR="008F6FF9">
              <w:t>investing</w:t>
            </w:r>
            <w:proofErr w:type="spellEnd"/>
            <w:r w:rsidR="008F6FF9">
              <w:t xml:space="preserve"> </w:t>
            </w:r>
            <w:proofErr w:type="spellStart"/>
            <w:r w:rsidR="008F6FF9">
              <w:t>so</w:t>
            </w:r>
            <w:proofErr w:type="spellEnd"/>
            <w:r w:rsidR="008F6FF9">
              <w:t xml:space="preserve"> as </w:t>
            </w:r>
            <w:proofErr w:type="spellStart"/>
            <w:r w:rsidR="008F6FF9">
              <w:t>to</w:t>
            </w:r>
            <w:proofErr w:type="spellEnd"/>
            <w:r w:rsidR="008F6FF9">
              <w:t xml:space="preserve"> track </w:t>
            </w:r>
            <w:proofErr w:type="spellStart"/>
            <w:r w:rsidR="008F6FF9">
              <w:t>market</w:t>
            </w:r>
            <w:proofErr w:type="spellEnd"/>
            <w:r w:rsidR="008F6FF9">
              <w:t xml:space="preserve"> </w:t>
            </w:r>
            <w:proofErr w:type="spellStart"/>
            <w:r w:rsidR="008F6FF9">
              <w:t>movements</w:t>
            </w:r>
            <w:proofErr w:type="spellEnd"/>
            <w:r w:rsidR="008F6FF9">
              <w:t xml:space="preserve"> </w:t>
            </w:r>
            <w:proofErr w:type="spellStart"/>
            <w:r w:rsidR="008F6FF9">
              <w:t>of</w:t>
            </w:r>
            <w:proofErr w:type="spellEnd"/>
            <w:r w:rsidR="008F6FF9">
              <w:t xml:space="preserve"> </w:t>
            </w:r>
            <w:proofErr w:type="spellStart"/>
            <w:r w:rsidR="008F6FF9">
              <w:t>the</w:t>
            </w:r>
            <w:proofErr w:type="spellEnd"/>
            <w:r w:rsidR="008F6FF9">
              <w:t xml:space="preserve"> </w:t>
            </w:r>
            <w:proofErr w:type="spellStart"/>
            <w:r w:rsidR="008F6FF9">
              <w:t>asset</w:t>
            </w:r>
            <w:proofErr w:type="spellEnd"/>
            <w:r w:rsidR="008F6FF9">
              <w:t xml:space="preserve">, </w:t>
            </w:r>
            <w:proofErr w:type="spellStart"/>
            <w:r w:rsidR="008F6FF9">
              <w:t>without</w:t>
            </w:r>
            <w:proofErr w:type="spellEnd"/>
            <w:r w:rsidR="008F6FF9">
              <w:t xml:space="preserve"> </w:t>
            </w:r>
            <w:proofErr w:type="spellStart"/>
            <w:r w:rsidR="008F6FF9">
              <w:t>directly</w:t>
            </w:r>
            <w:proofErr w:type="spellEnd"/>
            <w:r w:rsidR="008F6FF9">
              <w:t xml:space="preserve"> </w:t>
            </w:r>
            <w:proofErr w:type="spellStart"/>
            <w:r w:rsidR="008F6FF9">
              <w:t>investing</w:t>
            </w:r>
            <w:proofErr w:type="spellEnd"/>
            <w:r w:rsidR="008F6FF9">
              <w:t xml:space="preserve"> in </w:t>
            </w:r>
            <w:proofErr w:type="spellStart"/>
            <w:r w:rsidR="008F6FF9">
              <w:t>the</w:t>
            </w:r>
            <w:proofErr w:type="spellEnd"/>
            <w:r w:rsidR="008F6FF9">
              <w:t xml:space="preserve"> </w:t>
            </w:r>
            <w:proofErr w:type="spellStart"/>
            <w:r w:rsidR="008F6FF9">
              <w:t>underlying</w:t>
            </w:r>
            <w:proofErr w:type="spellEnd"/>
            <w:r w:rsidR="008F6FF9">
              <w:t xml:space="preserve"> </w:t>
            </w:r>
            <w:proofErr w:type="spellStart"/>
            <w:r w:rsidR="008F6FF9">
              <w:t>asset</w:t>
            </w:r>
            <w:proofErr w:type="spellEnd"/>
            <w:r w:rsidR="008F6FF9">
              <w:t xml:space="preserve"> </w:t>
            </w:r>
            <w:proofErr w:type="spellStart"/>
            <w:r w:rsidR="008F6FF9">
              <w:t>itself</w:t>
            </w:r>
            <w:proofErr w:type="spellEnd"/>
            <w:r w:rsidR="008F6FF9">
              <w:t xml:space="preserve"> (</w:t>
            </w:r>
            <w:proofErr w:type="spellStart"/>
            <w:r w:rsidR="008F6FF9">
              <w:t>Malkiel</w:t>
            </w:r>
            <w:proofErr w:type="spellEnd"/>
            <w:r w:rsidR="008F6FF9">
              <w:t xml:space="preserve">, 2003). </w:t>
            </w:r>
            <w:proofErr w:type="spellStart"/>
            <w:r w:rsidR="008F6FF9">
              <w:t>This</w:t>
            </w:r>
            <w:proofErr w:type="spellEnd"/>
            <w:r w:rsidR="008F6FF9">
              <w:t xml:space="preserve"> </w:t>
            </w:r>
            <w:proofErr w:type="spellStart"/>
            <w:r w:rsidR="008F6FF9">
              <w:t>is</w:t>
            </w:r>
            <w:proofErr w:type="spellEnd"/>
            <w:r w:rsidR="008F6FF9">
              <w:t xml:space="preserve"> </w:t>
            </w:r>
            <w:proofErr w:type="spellStart"/>
            <w:r w:rsidR="008F6FF9">
              <w:t>also</w:t>
            </w:r>
            <w:proofErr w:type="spellEnd"/>
            <w:r w:rsidR="008F6FF9">
              <w:t xml:space="preserve"> </w:t>
            </w:r>
            <w:proofErr w:type="spellStart"/>
            <w:r w:rsidR="008F6FF9">
              <w:t>known</w:t>
            </w:r>
            <w:proofErr w:type="spellEnd"/>
            <w:r w:rsidR="008F6FF9">
              <w:t xml:space="preserve"> as </w:t>
            </w:r>
            <w:proofErr w:type="spellStart"/>
            <w:r w:rsidR="008F6FF9">
              <w:t>an</w:t>
            </w:r>
            <w:proofErr w:type="spellEnd"/>
            <w:r w:rsidR="008F6FF9">
              <w:t xml:space="preserve"> </w:t>
            </w:r>
            <w:proofErr w:type="spellStart"/>
            <w:r w:rsidR="008F6FF9">
              <w:t>indexing</w:t>
            </w:r>
            <w:proofErr w:type="spellEnd"/>
            <w:r w:rsidR="008F6FF9">
              <w:t xml:space="preserve"> </w:t>
            </w:r>
            <w:proofErr w:type="spellStart"/>
            <w:r w:rsidR="008F6FF9">
              <w:t>strategy</w:t>
            </w:r>
            <w:proofErr w:type="spellEnd"/>
            <w:r w:rsidR="008F6FF9">
              <w:t xml:space="preserve"> (</w:t>
            </w:r>
            <w:proofErr w:type="spellStart"/>
            <w:r w:rsidR="008F6FF9">
              <w:t>Malkiel</w:t>
            </w:r>
            <w:proofErr w:type="spellEnd"/>
            <w:r w:rsidR="008F6FF9">
              <w:t>, 2003).</w:t>
            </w:r>
          </w:p>
          <w:p w14:paraId="3E91DD2C" w14:textId="77777777" w:rsidR="008F6FF9" w:rsidRDefault="008F6FF9" w:rsidP="00A8626B"/>
          <w:p w14:paraId="20FB8398" w14:textId="77777777" w:rsidR="008F6FF9" w:rsidRDefault="008F6FF9" w:rsidP="00A8626B">
            <w:proofErr w:type="spellStart"/>
            <w:r w:rsidRPr="00314BC6">
              <w:rPr>
                <w:b/>
                <w:bCs/>
              </w:rPr>
              <w:t>Politico-economic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features</w:t>
            </w:r>
            <w:proofErr w:type="spellEnd"/>
            <w:r w:rsidRPr="00314BC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for </w:t>
            </w:r>
            <w:proofErr w:type="spellStart"/>
            <w:r>
              <w:t>opportunities</w:t>
            </w:r>
            <w:proofErr w:type="spellEnd"/>
            <w:r>
              <w:t xml:space="preserve"> for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highlighted</w:t>
            </w:r>
            <w:proofErr w:type="spellEnd"/>
            <w:r>
              <w:t xml:space="preserve"> (Smith, 2017).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homogenous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it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more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stratify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 xml:space="preserve">, as </w:t>
            </w:r>
            <w:proofErr w:type="spellStart"/>
            <w:r>
              <w:t>opposed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interactions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(Smith, 2017). The </w:t>
            </w:r>
            <w:proofErr w:type="spellStart"/>
            <w:r>
              <w:t>politico-economic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: </w:t>
            </w:r>
          </w:p>
          <w:p w14:paraId="0D3DCC81" w14:textId="4BEC214D" w:rsidR="008F6FF9" w:rsidRDefault="008F6FF9" w:rsidP="008F6FF9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basis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; </w:t>
            </w:r>
            <w:proofErr w:type="spellStart"/>
            <w:r>
              <w:t>Basis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derives its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tangible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>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underlying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</w:p>
          <w:p w14:paraId="6FCEB21F" w14:textId="23CC89B5" w:rsidR="008F6FF9" w:rsidRDefault="008F6FF9" w:rsidP="008F6FF9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governance</w:t>
            </w:r>
            <w:proofErr w:type="spellEnd"/>
            <w:r>
              <w:t xml:space="preserve">; The </w:t>
            </w:r>
            <w:proofErr w:type="spellStart"/>
            <w:r>
              <w:t>governance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 looks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maintained</w:t>
            </w:r>
            <w:proofErr w:type="spellEnd"/>
          </w:p>
          <w:p w14:paraId="1977118D" w14:textId="4491C616" w:rsidR="008F6FF9" w:rsidRDefault="008F6FF9" w:rsidP="008F6FF9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use cases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 xml:space="preserve">, 2017;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</w:t>
            </w:r>
            <w:r w:rsidR="00314BC6">
              <w:t xml:space="preserve">: </w:t>
            </w:r>
            <w:proofErr w:type="spellStart"/>
            <w:r w:rsidR="00314BC6">
              <w:t>then</w:t>
            </w:r>
            <w:proofErr w:type="spellEnd"/>
            <w:r w:rsidR="00314BC6">
              <w:t xml:space="preserve"> </w:t>
            </w:r>
            <w:proofErr w:type="spellStart"/>
            <w:r w:rsidR="00314BC6">
              <w:t>address</w:t>
            </w:r>
            <w:proofErr w:type="spellEnd"/>
            <w:r w:rsidR="00314BC6">
              <w:t xml:space="preserve"> </w:t>
            </w:r>
            <w:proofErr w:type="spellStart"/>
            <w:r w:rsidR="00314BC6">
              <w:t>how</w:t>
            </w:r>
            <w:proofErr w:type="spellEnd"/>
            <w:r w:rsidR="00314BC6">
              <w:t xml:space="preserve"> </w:t>
            </w:r>
            <w:proofErr w:type="spellStart"/>
            <w:r w:rsidR="00314BC6">
              <w:t>the</w:t>
            </w:r>
            <w:proofErr w:type="spellEnd"/>
            <w:r w:rsidR="00314BC6">
              <w:t xml:space="preserve"> </w:t>
            </w:r>
            <w:proofErr w:type="spellStart"/>
            <w:r w:rsidR="00314BC6">
              <w:t>assets</w:t>
            </w:r>
            <w:proofErr w:type="spellEnd"/>
            <w:r w:rsidR="00314BC6">
              <w:t xml:space="preserve"> </w:t>
            </w:r>
            <w:proofErr w:type="spellStart"/>
            <w:r w:rsidR="00314BC6">
              <w:t>within</w:t>
            </w:r>
            <w:proofErr w:type="spellEnd"/>
            <w:r w:rsidR="00314BC6">
              <w:t xml:space="preserve"> </w:t>
            </w:r>
            <w:proofErr w:type="spellStart"/>
            <w:r w:rsidR="00314BC6">
              <w:t>the</w:t>
            </w:r>
            <w:proofErr w:type="spellEnd"/>
            <w:r w:rsidR="00314BC6">
              <w:t xml:space="preserve"> </w:t>
            </w:r>
            <w:proofErr w:type="spellStart"/>
            <w:r w:rsidR="00314BC6">
              <w:t>asset</w:t>
            </w:r>
            <w:proofErr w:type="spellEnd"/>
            <w:r w:rsidR="00314BC6">
              <w:t xml:space="preserve"> </w:t>
            </w:r>
            <w:proofErr w:type="spellStart"/>
            <w:r w:rsidR="00314BC6">
              <w:t>class</w:t>
            </w:r>
            <w:proofErr w:type="spellEnd"/>
            <w:r w:rsidR="00314BC6">
              <w:t xml:space="preserve"> </w:t>
            </w:r>
            <w:proofErr w:type="spellStart"/>
            <w:r w:rsidR="00314BC6">
              <w:t>can</w:t>
            </w:r>
            <w:proofErr w:type="spellEnd"/>
            <w:r w:rsidR="00314BC6">
              <w:t xml:space="preserve"> </w:t>
            </w:r>
            <w:proofErr w:type="spellStart"/>
            <w:r w:rsidR="00314BC6">
              <w:t>be</w:t>
            </w:r>
            <w:proofErr w:type="spellEnd"/>
            <w:r w:rsidR="00314BC6">
              <w:t xml:space="preserve"> </w:t>
            </w:r>
            <w:proofErr w:type="spellStart"/>
            <w:r w:rsidR="00314BC6">
              <w:t>applied</w:t>
            </w:r>
            <w:proofErr w:type="spellEnd"/>
            <w:r w:rsidR="00314BC6">
              <w:t xml:space="preserve"> in </w:t>
            </w:r>
            <w:proofErr w:type="spellStart"/>
            <w:r w:rsidR="00314BC6">
              <w:t>the</w:t>
            </w:r>
            <w:proofErr w:type="spellEnd"/>
            <w:r w:rsidR="00314BC6">
              <w:t xml:space="preserve"> world.</w:t>
            </w:r>
          </w:p>
          <w:p w14:paraId="27691D33" w14:textId="77777777" w:rsidR="00314BC6" w:rsidRDefault="00314BC6" w:rsidP="00314BC6">
            <w:pPr>
              <w:pStyle w:val="PargrafodaLista"/>
            </w:pPr>
          </w:p>
          <w:p w14:paraId="28461472" w14:textId="77777777" w:rsidR="008F6FF9" w:rsidRDefault="008F6FF9" w:rsidP="00A8626B"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 </w:t>
            </w:r>
            <w:proofErr w:type="spellStart"/>
            <w:r>
              <w:t>encompass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, social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  <w:p w14:paraId="2DC15BB8" w14:textId="77777777" w:rsidR="00314BC6" w:rsidRDefault="00314BC6" w:rsidP="00A8626B"/>
          <w:p w14:paraId="07FDDB5B" w14:textId="77777777" w:rsidR="00314BC6" w:rsidRDefault="00314BC6" w:rsidP="00A8626B"/>
          <w:p w14:paraId="1E38896B" w14:textId="77777777" w:rsidR="00314BC6" w:rsidRDefault="00314BC6" w:rsidP="00A8626B">
            <w:proofErr w:type="spellStart"/>
            <w:r w:rsidRPr="00314BC6">
              <w:rPr>
                <w:b/>
                <w:bCs/>
              </w:rPr>
              <w:t>Correlation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of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returns</w:t>
            </w:r>
            <w:proofErr w:type="spellEnd"/>
            <w:r w:rsidRPr="00314BC6">
              <w:rPr>
                <w:b/>
                <w:bCs/>
              </w:rPr>
              <w:t>.</w:t>
            </w:r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standard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move </w:t>
            </w:r>
            <w:proofErr w:type="spellStart"/>
            <w:r>
              <w:t>together</w:t>
            </w:r>
            <w:proofErr w:type="spellEnd"/>
            <w:r>
              <w:t xml:space="preserve"> (Philips et al., 2012;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 </w:t>
            </w:r>
            <w:proofErr w:type="spellStart"/>
            <w:r>
              <w:t>Returns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(</w:t>
            </w:r>
            <w:proofErr w:type="spellStart"/>
            <w:r>
              <w:t>Oberhofer</w:t>
            </w:r>
            <w:proofErr w:type="spellEnd"/>
            <w:r>
              <w:t xml:space="preserve">, 2001). </w:t>
            </w:r>
            <w:proofErr w:type="spellStart"/>
            <w:r>
              <w:t>Additionally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negative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(</w:t>
            </w:r>
            <w:proofErr w:type="spellStart"/>
            <w:r>
              <w:t>Oberhofer</w:t>
            </w:r>
            <w:proofErr w:type="spellEnd"/>
            <w:r>
              <w:t xml:space="preserve">, 2001; </w:t>
            </w:r>
            <w:proofErr w:type="spellStart"/>
            <w:r>
              <w:t>Mongars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MarchalDombrat</w:t>
            </w:r>
            <w:proofErr w:type="spellEnd"/>
            <w:r>
              <w:t xml:space="preserve">, 2006;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 </w:t>
            </w:r>
          </w:p>
          <w:p w14:paraId="71C945B8" w14:textId="77777777" w:rsidR="00314BC6" w:rsidRDefault="00314BC6" w:rsidP="00A8626B"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coefficients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portfolio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, as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explored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Markowitz (1959). </w:t>
            </w:r>
            <w:proofErr w:type="spellStart"/>
            <w:r>
              <w:t>Table</w:t>
            </w:r>
            <w:proofErr w:type="spellEnd"/>
            <w:r>
              <w:t xml:space="preserve"> I </w:t>
            </w:r>
            <w:proofErr w:type="spellStart"/>
            <w:r>
              <w:t>depicts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  <w:p w14:paraId="65491820" w14:textId="77777777" w:rsidR="00F8080F" w:rsidRDefault="00F8080F" w:rsidP="00A8626B"/>
          <w:p w14:paraId="4D47B9E6" w14:textId="77777777" w:rsidR="00F8080F" w:rsidRDefault="00F8080F" w:rsidP="00A8626B">
            <w:r w:rsidRPr="00F8080F">
              <w:rPr>
                <w:b/>
                <w:bCs/>
              </w:rPr>
              <w:t>Risk-</w:t>
            </w:r>
            <w:proofErr w:type="spellStart"/>
            <w:r w:rsidRPr="00F8080F">
              <w:rPr>
                <w:b/>
                <w:bCs/>
              </w:rPr>
              <w:t>reward</w:t>
            </w:r>
            <w:proofErr w:type="spellEnd"/>
            <w:r w:rsidRPr="00F8080F">
              <w:rPr>
                <w:b/>
                <w:bCs/>
              </w:rPr>
              <w:t xml:space="preserve"> profile</w:t>
            </w:r>
            <w:r>
              <w:t xml:space="preserve">. The </w:t>
            </w:r>
            <w:proofErr w:type="spellStart"/>
            <w:r>
              <w:t>risk-reward</w:t>
            </w:r>
            <w:proofErr w:type="spellEnd"/>
            <w:r>
              <w:t xml:space="preserve"> profile </w:t>
            </w:r>
            <w:proofErr w:type="spellStart"/>
            <w:r>
              <w:t>deals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shape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reward</w:t>
            </w:r>
            <w:proofErr w:type="spellEnd"/>
            <w:r>
              <w:t xml:space="preserve"> in </w:t>
            </w:r>
            <w:proofErr w:type="spellStart"/>
            <w:r>
              <w:t>absolute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for </w:t>
            </w:r>
            <w:proofErr w:type="spellStart"/>
            <w:r>
              <w:t>investing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 xml:space="preserve">, 2017;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shows </w:t>
            </w:r>
            <w:proofErr w:type="spellStart"/>
            <w:r>
              <w:t>returns</w:t>
            </w:r>
            <w:proofErr w:type="spellEnd"/>
            <w:r>
              <w:t xml:space="preserve"> per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(Sharpe, 1966).</w:t>
            </w:r>
          </w:p>
          <w:p w14:paraId="77F45367" w14:textId="01665140" w:rsidR="00125313" w:rsidRDefault="00125313" w:rsidP="00A8626B"/>
        </w:tc>
        <w:tc>
          <w:tcPr>
            <w:tcW w:w="1984" w:type="dxa"/>
          </w:tcPr>
          <w:p w14:paraId="73308E00" w14:textId="158DE50A" w:rsidR="00A8626B" w:rsidRDefault="008F6FF9" w:rsidP="001B0A64">
            <w:r>
              <w:lastRenderedPageBreak/>
              <w:t>Especificando o que cada um dos itens seria</w:t>
            </w:r>
          </w:p>
        </w:tc>
      </w:tr>
      <w:tr w:rsidR="008F6FF9" w14:paraId="5A13B18E" w14:textId="77777777" w:rsidTr="00125313">
        <w:trPr>
          <w:trHeight w:val="297"/>
        </w:trPr>
        <w:tc>
          <w:tcPr>
            <w:tcW w:w="811" w:type="dxa"/>
          </w:tcPr>
          <w:p w14:paraId="104F4EC1" w14:textId="771D6D42" w:rsidR="008F6FF9" w:rsidRDefault="00F8080F" w:rsidP="001B0A64">
            <w:r>
              <w:t>7</w:t>
            </w:r>
            <w:r w:rsidR="00FB2F39">
              <w:t>-</w:t>
            </w:r>
            <w:r w:rsidR="007359CE">
              <w:t>13</w:t>
            </w:r>
          </w:p>
        </w:tc>
        <w:tc>
          <w:tcPr>
            <w:tcW w:w="7979" w:type="dxa"/>
          </w:tcPr>
          <w:p w14:paraId="22D224AC" w14:textId="77777777" w:rsidR="004E519A" w:rsidRDefault="00FB2F39" w:rsidP="00A8626B">
            <w:proofErr w:type="spellStart"/>
            <w:r w:rsidRPr="00314BC6">
              <w:rPr>
                <w:b/>
                <w:bCs/>
              </w:rPr>
              <w:t>Investability</w:t>
            </w:r>
            <w:proofErr w:type="spellEnd"/>
            <w:r>
              <w:t xml:space="preserve"> </w:t>
            </w:r>
          </w:p>
          <w:p w14:paraId="0903E1E4" w14:textId="77777777" w:rsidR="004E519A" w:rsidRDefault="004E519A" w:rsidP="00A8626B"/>
          <w:p w14:paraId="4A614878" w14:textId="72D5A410" w:rsidR="00F8080F" w:rsidRDefault="00F8080F" w:rsidP="00A8626B">
            <w:r>
              <w:t xml:space="preserve">The 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throughout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examples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include </w:t>
            </w:r>
            <w:proofErr w:type="spellStart"/>
            <w:r>
              <w:t>Bitstamp</w:t>
            </w:r>
            <w:proofErr w:type="spellEnd"/>
            <w:r>
              <w:t xml:space="preserve">, </w:t>
            </w:r>
            <w:proofErr w:type="spellStart"/>
            <w:r>
              <w:t>Coinbase</w:t>
            </w:r>
            <w:proofErr w:type="spellEnd"/>
            <w:r>
              <w:t xml:space="preserve">, </w:t>
            </w:r>
            <w:proofErr w:type="spellStart"/>
            <w:r>
              <w:t>Kraken</w:t>
            </w:r>
            <w:proofErr w:type="spellEnd"/>
            <w:r>
              <w:t xml:space="preserve"> (</w:t>
            </w:r>
            <w:proofErr w:type="spellStart"/>
            <w:r>
              <w:t>Buy</w:t>
            </w:r>
            <w:proofErr w:type="spellEnd"/>
            <w:r>
              <w:t xml:space="preserve"> Bitcoin </w:t>
            </w:r>
            <w:proofErr w:type="spellStart"/>
            <w:r>
              <w:t>Worldwide</w:t>
            </w:r>
            <w:proofErr w:type="spellEnd"/>
            <w:r>
              <w:t xml:space="preserve">, 2017) </w:t>
            </w:r>
            <w:proofErr w:type="spellStart"/>
            <w:r>
              <w:t>and</w:t>
            </w:r>
            <w:proofErr w:type="spellEnd"/>
            <w:r>
              <w:t xml:space="preserve"> South African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Luno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Ice3X (van </w:t>
            </w:r>
            <w:proofErr w:type="spellStart"/>
            <w:r>
              <w:t>Vuuren</w:t>
            </w:r>
            <w:proofErr w:type="spellEnd"/>
            <w:r>
              <w:t xml:space="preserve">, 2017). As a </w:t>
            </w:r>
            <w:proofErr w:type="spellStart"/>
            <w:r>
              <w:t>result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invest. Most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Bitcoin trading (</w:t>
            </w:r>
            <w:proofErr w:type="spellStart"/>
            <w:r>
              <w:t>Hileman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Rauchs</w:t>
            </w:r>
            <w:proofErr w:type="spellEnd"/>
            <w:r>
              <w:t xml:space="preserve">, 2017; Schroeder, 2017).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, as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(Oliver Wyman, 2016), </w:t>
            </w:r>
            <w:proofErr w:type="spellStart"/>
            <w:r>
              <w:t>fulfil</w:t>
            </w:r>
            <w:proofErr w:type="spellEnd"/>
            <w:r>
              <w:t xml:space="preserve"> a vital role in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</w:p>
          <w:p w14:paraId="7AB48EC4" w14:textId="77777777" w:rsidR="00F8080F" w:rsidRDefault="00F8080F" w:rsidP="00A8626B"/>
          <w:p w14:paraId="10F895B4" w14:textId="77777777" w:rsidR="00F8080F" w:rsidRDefault="00F8080F" w:rsidP="00A8626B">
            <w:r>
              <w:t xml:space="preserve">Bitcoins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mining,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opportunity</w:t>
            </w:r>
            <w:proofErr w:type="spellEnd"/>
            <w:r>
              <w:t xml:space="preserve"> for </w:t>
            </w:r>
            <w:proofErr w:type="spellStart"/>
            <w:r>
              <w:t>investment</w:t>
            </w:r>
            <w:proofErr w:type="spellEnd"/>
            <w:r>
              <w:t xml:space="preserve"> (Franco, 2015; </w:t>
            </w:r>
            <w:proofErr w:type="spellStart"/>
            <w:r>
              <w:t>Antonopoulos</w:t>
            </w:r>
            <w:proofErr w:type="spellEnd"/>
            <w:r>
              <w:t xml:space="preserve">, 2017). Mining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devoted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performing</w:t>
            </w:r>
            <w:proofErr w:type="spellEnd"/>
            <w:r>
              <w:t xml:space="preserve">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ultimate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(Franco, 2015; </w:t>
            </w:r>
            <w:proofErr w:type="spellStart"/>
            <w:r>
              <w:t>Antonopoulos</w:t>
            </w:r>
            <w:proofErr w:type="spellEnd"/>
            <w:r>
              <w:t xml:space="preserve">, 2017).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for </w:t>
            </w:r>
            <w:proofErr w:type="spellStart"/>
            <w:r>
              <w:t>miners</w:t>
            </w:r>
            <w:proofErr w:type="spellEnd"/>
            <w:r>
              <w:t xml:space="preserve"> are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awarded</w:t>
            </w:r>
            <w:proofErr w:type="spellEnd"/>
            <w:r>
              <w:t xml:space="preserve"> 12.5 Bitcoins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  <w:r>
              <w:t xml:space="preserve"> for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solving</w:t>
            </w:r>
            <w:proofErr w:type="spellEnd"/>
            <w:r>
              <w:t xml:space="preserve"> a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(Franco, 2015; </w:t>
            </w:r>
            <w:proofErr w:type="spellStart"/>
            <w:r>
              <w:t>Antonopoulos</w:t>
            </w:r>
            <w:proofErr w:type="spellEnd"/>
            <w:r>
              <w:t xml:space="preserve">, 2017; </w:t>
            </w:r>
            <w:proofErr w:type="spellStart"/>
            <w:r>
              <w:t>Ammous</w:t>
            </w:r>
            <w:proofErr w:type="spellEnd"/>
            <w:r>
              <w:t xml:space="preserve">, 2018).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</w:t>
            </w:r>
            <w:proofErr w:type="spellStart"/>
            <w:r>
              <w:t>proof-of-work</w:t>
            </w:r>
            <w:proofErr w:type="spellEnd"/>
          </w:p>
          <w:p w14:paraId="6005B28D" w14:textId="77777777" w:rsidR="00FB2F39" w:rsidRDefault="00FB2F39" w:rsidP="00A8626B"/>
          <w:p w14:paraId="152358C3" w14:textId="77777777" w:rsidR="00FB2F39" w:rsidRDefault="00FB2F39" w:rsidP="00A8626B"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fulfil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role in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data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(</w:t>
            </w:r>
            <w:proofErr w:type="spellStart"/>
            <w:r>
              <w:t>Chuen</w:t>
            </w:r>
            <w:proofErr w:type="spellEnd"/>
            <w:r>
              <w:t xml:space="preserve">, 2015).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interesting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note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does </w:t>
            </w:r>
            <w:proofErr w:type="spellStart"/>
            <w:r>
              <w:t>not</w:t>
            </w:r>
            <w:proofErr w:type="spellEnd"/>
            <w:r>
              <w:t xml:space="preserve"> trade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,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parity</w:t>
            </w:r>
            <w:proofErr w:type="spellEnd"/>
            <w:r>
              <w:t xml:space="preserve"> (</w:t>
            </w:r>
            <w:proofErr w:type="spellStart"/>
            <w:r>
              <w:t>Brandvold</w:t>
            </w:r>
            <w:proofErr w:type="spellEnd"/>
            <w:r>
              <w:t xml:space="preserve"> et al., 2015; </w:t>
            </w:r>
            <w:proofErr w:type="spellStart"/>
            <w:r>
              <w:t>Chuen</w:t>
            </w:r>
            <w:proofErr w:type="spellEnd"/>
            <w:r>
              <w:t xml:space="preserve">, 2015).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consideration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>.</w:t>
            </w:r>
          </w:p>
          <w:p w14:paraId="0AE8AB0B" w14:textId="77777777" w:rsidR="004D7C55" w:rsidRDefault="004D7C55" w:rsidP="00A8626B"/>
          <w:p w14:paraId="7A2B4623" w14:textId="0A5E0A35" w:rsidR="004D7C55" w:rsidRDefault="004E519A" w:rsidP="00A8626B">
            <w:proofErr w:type="spellStart"/>
            <w:r w:rsidRPr="00314BC6">
              <w:rPr>
                <w:b/>
                <w:bCs/>
              </w:rPr>
              <w:t>Politico-economic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features</w:t>
            </w:r>
            <w:proofErr w:type="spellEnd"/>
            <w:r w:rsidRPr="00314BC6">
              <w:rPr>
                <w:b/>
                <w:bCs/>
              </w:rPr>
              <w:t>:</w:t>
            </w:r>
          </w:p>
          <w:p w14:paraId="65A87359" w14:textId="77777777" w:rsidR="004E519A" w:rsidRDefault="004E519A" w:rsidP="00A8626B"/>
          <w:p w14:paraId="021902F7" w14:textId="77777777" w:rsidR="004D7C55" w:rsidRDefault="004D7C55" w:rsidP="00A8626B">
            <w:r>
              <w:t xml:space="preserve">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tangible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like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precious</w:t>
            </w:r>
            <w:proofErr w:type="spellEnd"/>
            <w:r>
              <w:t xml:space="preserve"> </w:t>
            </w:r>
            <w:proofErr w:type="spellStart"/>
            <w:r>
              <w:t>minerals</w:t>
            </w:r>
            <w:proofErr w:type="spellEnd"/>
            <w:r>
              <w:t xml:space="preserve"> (</w:t>
            </w:r>
            <w:proofErr w:type="spellStart"/>
            <w:r>
              <w:t>Chuen</w:t>
            </w:r>
            <w:proofErr w:type="spellEnd"/>
            <w:r>
              <w:t xml:space="preserve">, 2015; Franco, 2015; Hong et al., 2017).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said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as a </w:t>
            </w:r>
            <w:proofErr w:type="spellStart"/>
            <w:r>
              <w:t>result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intrinsic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Chuen</w:t>
            </w:r>
            <w:proofErr w:type="spellEnd"/>
            <w:r>
              <w:t xml:space="preserve">, 2015; Franco, 2015; Hong et al., 2017). Rather,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value</w:t>
            </w:r>
            <w:proofErr w:type="spellEnd"/>
            <w:r>
              <w:t xml:space="preserve"> </w:t>
            </w:r>
            <w:proofErr w:type="spellStart"/>
            <w:r>
              <w:t>stems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use cases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digital </w:t>
            </w:r>
            <w:proofErr w:type="spellStart"/>
            <w:r>
              <w:t>and</w:t>
            </w:r>
            <w:proofErr w:type="spellEnd"/>
            <w:r>
              <w:t xml:space="preserve"> consensus-</w:t>
            </w:r>
            <w:proofErr w:type="spellStart"/>
            <w:r>
              <w:t>based</w:t>
            </w:r>
            <w:proofErr w:type="spellEnd"/>
            <w:r>
              <w:t xml:space="preserve"> Bitcoin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 xml:space="preserve">, 2017;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2017; </w:t>
            </w:r>
            <w:proofErr w:type="spellStart"/>
            <w:r>
              <w:t>Hileman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Rauchs</w:t>
            </w:r>
            <w:proofErr w:type="spellEnd"/>
            <w:r>
              <w:t xml:space="preserve">, 2017; </w:t>
            </w:r>
            <w:proofErr w:type="spellStart"/>
            <w:r>
              <w:t>Ammous</w:t>
            </w:r>
            <w:proofErr w:type="spellEnd"/>
            <w:r>
              <w:t xml:space="preserve">, 2018). </w:t>
            </w:r>
            <w:proofErr w:type="spellStart"/>
            <w:r>
              <w:t>Indeed</w:t>
            </w:r>
            <w:proofErr w:type="spellEnd"/>
            <w:r>
              <w:t xml:space="preserve">, </w:t>
            </w:r>
            <w:proofErr w:type="spellStart"/>
            <w:r>
              <w:t>speculation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future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a </w:t>
            </w:r>
            <w:proofErr w:type="spellStart"/>
            <w:r>
              <w:t>basis</w:t>
            </w:r>
            <w:proofErr w:type="spellEnd"/>
            <w:r>
              <w:t xml:space="preserve"> (as </w:t>
            </w:r>
            <w:proofErr w:type="spellStart"/>
            <w:r>
              <w:t>opposed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store)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 xml:space="preserve">, 2017). The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in </w:t>
            </w:r>
            <w:proofErr w:type="spellStart"/>
            <w:r>
              <w:t>that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governed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central </w:t>
            </w:r>
            <w:proofErr w:type="spellStart"/>
            <w:r>
              <w:t>authority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nodes in </w:t>
            </w:r>
            <w:proofErr w:type="spellStart"/>
            <w:r>
              <w:t>the</w:t>
            </w:r>
            <w:proofErr w:type="spellEnd"/>
            <w:r>
              <w:t xml:space="preserve"> network (</w:t>
            </w:r>
            <w:proofErr w:type="spellStart"/>
            <w:r>
              <w:t>Nakamoto</w:t>
            </w:r>
            <w:proofErr w:type="spellEnd"/>
            <w:r>
              <w:t xml:space="preserve">, 2008; </w:t>
            </w:r>
            <w:proofErr w:type="spellStart"/>
            <w:r>
              <w:t>Chuen</w:t>
            </w:r>
            <w:proofErr w:type="spellEnd"/>
            <w:r>
              <w:t xml:space="preserve">, 2015; Franco, 2015; Emery, 2016).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referred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as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decentralised</w:t>
            </w:r>
            <w:proofErr w:type="spellEnd"/>
            <w:r>
              <w:t xml:space="preserve"> (</w:t>
            </w:r>
            <w:proofErr w:type="spellStart"/>
            <w:r>
              <w:t>Nakamoto</w:t>
            </w:r>
            <w:proofErr w:type="spellEnd"/>
            <w:r>
              <w:t xml:space="preserve">, 2008; </w:t>
            </w:r>
            <w:proofErr w:type="spellStart"/>
            <w:r>
              <w:t>Chuen</w:t>
            </w:r>
            <w:proofErr w:type="spellEnd"/>
            <w:r>
              <w:t xml:space="preserve">, 2015; Franco, 2015; Emery, 2016). The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heavily</w:t>
            </w:r>
            <w:proofErr w:type="spellEnd"/>
            <w:r>
              <w:t xml:space="preserve"> </w:t>
            </w:r>
            <w:proofErr w:type="spellStart"/>
            <w:r>
              <w:t>influenced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open-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underlying</w:t>
            </w:r>
            <w:proofErr w:type="spellEnd"/>
            <w:r>
              <w:t xml:space="preserve"> software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protocols</w:t>
            </w:r>
            <w:proofErr w:type="spellEnd"/>
            <w:r>
              <w:t xml:space="preserve">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 xml:space="preserve">, 2017).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grants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interface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(</w:t>
            </w:r>
            <w:proofErr w:type="spellStart"/>
            <w:r>
              <w:t>influencing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adoption</w:t>
            </w:r>
            <w:proofErr w:type="spellEnd"/>
            <w:r>
              <w:t>)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Tatar</w:t>
            </w:r>
            <w:proofErr w:type="spellEnd"/>
            <w:r>
              <w:t>, 2017).</w:t>
            </w:r>
          </w:p>
          <w:p w14:paraId="793C7AF9" w14:textId="77777777" w:rsidR="004E519A" w:rsidRDefault="004E519A" w:rsidP="00A8626B"/>
          <w:p w14:paraId="77E50C84" w14:textId="77777777" w:rsidR="004E519A" w:rsidRDefault="004E519A" w:rsidP="00A8626B">
            <w:r>
              <w:t xml:space="preserve">It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noted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common use case for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(</w:t>
            </w:r>
            <w:proofErr w:type="spellStart"/>
            <w:r>
              <w:t>Hileman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Rauchs</w:t>
            </w:r>
            <w:proofErr w:type="spellEnd"/>
            <w:r>
              <w:t xml:space="preserve">, 2017).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begun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Bitcoin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finding</w:t>
            </w:r>
            <w:proofErr w:type="spellEnd"/>
            <w:r>
              <w:t xml:space="preserve"> a balance </w:t>
            </w:r>
            <w:proofErr w:type="spellStart"/>
            <w:r>
              <w:t>between</w:t>
            </w:r>
            <w:proofErr w:type="spellEnd"/>
            <w:r>
              <w:t xml:space="preserve"> trading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transacting</w:t>
            </w:r>
            <w:proofErr w:type="spellEnd"/>
            <w:r>
              <w:t xml:space="preserve">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use Bitcoin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are more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it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for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, as </w:t>
            </w:r>
            <w:proofErr w:type="spellStart"/>
            <w:r>
              <w:t>opposed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it </w:t>
            </w:r>
            <w:proofErr w:type="spellStart"/>
            <w:r>
              <w:t>speculatively</w:t>
            </w:r>
            <w:proofErr w:type="spellEnd"/>
          </w:p>
          <w:p w14:paraId="0113AA40" w14:textId="77777777" w:rsidR="0025638F" w:rsidRDefault="0025638F" w:rsidP="00A8626B"/>
          <w:p w14:paraId="733038C0" w14:textId="2C9C0AD3" w:rsidR="0025638F" w:rsidRDefault="0025638F" w:rsidP="00A8626B">
            <w:pPr>
              <w:rPr>
                <w:b/>
                <w:bCs/>
              </w:rPr>
            </w:pPr>
            <w:proofErr w:type="spellStart"/>
            <w:r w:rsidRPr="00314BC6">
              <w:rPr>
                <w:b/>
                <w:bCs/>
              </w:rPr>
              <w:t>Correlation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of</w:t>
            </w:r>
            <w:proofErr w:type="spellEnd"/>
            <w:r w:rsidRPr="00314BC6">
              <w:rPr>
                <w:b/>
                <w:bCs/>
              </w:rPr>
              <w:t xml:space="preserve"> </w:t>
            </w:r>
            <w:proofErr w:type="spellStart"/>
            <w:r w:rsidRPr="00314BC6">
              <w:rPr>
                <w:b/>
                <w:bCs/>
              </w:rPr>
              <w:t>returns</w:t>
            </w:r>
            <w:proofErr w:type="spellEnd"/>
          </w:p>
          <w:p w14:paraId="79581505" w14:textId="77777777" w:rsidR="0025638F" w:rsidRDefault="0025638F" w:rsidP="00A8626B"/>
          <w:p w14:paraId="57227B57" w14:textId="77777777" w:rsidR="0025638F" w:rsidRDefault="0025638F" w:rsidP="00A8626B"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closely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(</w:t>
            </w:r>
            <w:proofErr w:type="spellStart"/>
            <w:r>
              <w:t>Oberhofer</w:t>
            </w:r>
            <w:proofErr w:type="spellEnd"/>
            <w:r>
              <w:t xml:space="preserve">, 2001). A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(as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second-largest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capitalisation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a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>.</w:t>
            </w:r>
          </w:p>
          <w:p w14:paraId="6DE83ECB" w14:textId="77777777" w:rsidR="007359CE" w:rsidRDefault="007359CE" w:rsidP="00A8626B"/>
          <w:p w14:paraId="3F60648A" w14:textId="77777777" w:rsidR="007359CE" w:rsidRDefault="007359CE" w:rsidP="00A8626B">
            <w:r>
              <w:t xml:space="preserve">Overall, </w:t>
            </w:r>
            <w:proofErr w:type="spellStart"/>
            <w:r>
              <w:t>the</w:t>
            </w:r>
            <w:proofErr w:type="spellEnd"/>
            <w:r>
              <w:t xml:space="preserve"> data per </w:t>
            </w:r>
            <w:proofErr w:type="spellStart"/>
            <w:r>
              <w:t>Table</w:t>
            </w:r>
            <w:proofErr w:type="spellEnd"/>
            <w:r>
              <w:t xml:space="preserve"> III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bear</w:t>
            </w:r>
            <w:proofErr w:type="spellEnd"/>
            <w:r>
              <w:t xml:space="preserve"> a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moderate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. Most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coefficients</w:t>
            </w:r>
            <w:proofErr w:type="spellEnd"/>
            <w:r>
              <w:t xml:space="preserve"> are close </w:t>
            </w:r>
            <w:proofErr w:type="spellStart"/>
            <w:r>
              <w:t>to</w:t>
            </w:r>
            <w:proofErr w:type="spellEnd"/>
            <w:r>
              <w:t xml:space="preserve"> zero.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portfolio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achieved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investing</w:t>
            </w:r>
            <w:proofErr w:type="spellEnd"/>
            <w:r>
              <w:t xml:space="preserve"> in Bitcoin.</w:t>
            </w:r>
          </w:p>
          <w:p w14:paraId="7A961DFC" w14:textId="77777777" w:rsidR="007359CE" w:rsidRDefault="007359CE" w:rsidP="00A8626B"/>
          <w:p w14:paraId="3C5C2D4A" w14:textId="77777777" w:rsidR="007359CE" w:rsidRDefault="007359CE" w:rsidP="00A8626B"/>
          <w:p w14:paraId="052A0ED9" w14:textId="77777777" w:rsidR="007359CE" w:rsidRDefault="007359CE" w:rsidP="00A8626B"/>
          <w:p w14:paraId="3DEEB5D6" w14:textId="77D2807A" w:rsidR="007359CE" w:rsidRDefault="007359CE" w:rsidP="00A8626B">
            <w:r w:rsidRPr="00F8080F">
              <w:rPr>
                <w:b/>
                <w:bCs/>
              </w:rPr>
              <w:t>Risk-</w:t>
            </w:r>
            <w:proofErr w:type="spellStart"/>
            <w:r w:rsidRPr="00F8080F">
              <w:rPr>
                <w:b/>
                <w:bCs/>
              </w:rPr>
              <w:t>reward</w:t>
            </w:r>
            <w:proofErr w:type="spellEnd"/>
            <w:r w:rsidRPr="00F8080F">
              <w:rPr>
                <w:b/>
                <w:bCs/>
              </w:rPr>
              <w:t xml:space="preserve"> profile</w:t>
            </w:r>
            <w:r>
              <w:t>.</w:t>
            </w:r>
          </w:p>
          <w:p w14:paraId="6197CFA4" w14:textId="77777777" w:rsidR="007359CE" w:rsidRDefault="007359CE" w:rsidP="00A8626B"/>
          <w:p w14:paraId="39B051D2" w14:textId="77777777" w:rsidR="007359CE" w:rsidRDefault="007359CE" w:rsidP="00A8626B">
            <w:r>
              <w:t xml:space="preserve">The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(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2017; </w:t>
            </w:r>
            <w:proofErr w:type="spellStart"/>
            <w:r>
              <w:t>CoinGecko</w:t>
            </w:r>
            <w:proofErr w:type="spellEnd"/>
            <w:r>
              <w:t xml:space="preserve">, 2017c).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invalidate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a </w:t>
            </w:r>
            <w:proofErr w:type="spellStart"/>
            <w:r>
              <w:t>stable</w:t>
            </w:r>
            <w:proofErr w:type="spellEnd"/>
            <w:r>
              <w:t xml:space="preserve"> store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necessarily</w:t>
            </w:r>
            <w:proofErr w:type="spellEnd"/>
            <w:r>
              <w:t xml:space="preserve"> a </w:t>
            </w:r>
            <w:proofErr w:type="spellStart"/>
            <w:r>
              <w:t>requirement</w:t>
            </w:r>
            <w:proofErr w:type="spellEnd"/>
            <w:r>
              <w:t xml:space="preserve"> for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as Greer (1997) notes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different</w:t>
            </w:r>
            <w:proofErr w:type="spellEnd"/>
            <w:r>
              <w:t xml:space="preserve"> “Superclasses”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>.</w:t>
            </w:r>
          </w:p>
          <w:p w14:paraId="70DF9156" w14:textId="77777777" w:rsidR="007359CE" w:rsidRDefault="007359CE" w:rsidP="00A8626B"/>
          <w:p w14:paraId="4D8CF164" w14:textId="1514D8BB" w:rsidR="007359CE" w:rsidRDefault="007359CE" w:rsidP="00A8626B">
            <w:r>
              <w:t xml:space="preserve">The Sharpe </w:t>
            </w:r>
            <w:proofErr w:type="spellStart"/>
            <w:r>
              <w:t>ratio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a </w:t>
            </w:r>
            <w:proofErr w:type="spellStart"/>
            <w:r>
              <w:t>risk-adjusted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(Sharpe, 1966;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,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compensation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(Sharpe, 1966; </w:t>
            </w:r>
            <w:proofErr w:type="spellStart"/>
            <w:r>
              <w:t>Burniske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White, 2017).</w:t>
            </w:r>
          </w:p>
        </w:tc>
        <w:tc>
          <w:tcPr>
            <w:tcW w:w="1984" w:type="dxa"/>
          </w:tcPr>
          <w:p w14:paraId="33157AC5" w14:textId="61E78CFC" w:rsidR="008F6FF9" w:rsidRDefault="00F8080F" w:rsidP="001B0A64">
            <w:r>
              <w:lastRenderedPageBreak/>
              <w:t xml:space="preserve">Aplicando os conceitos definidos na etapa anterior </w:t>
            </w:r>
            <w:proofErr w:type="gramStart"/>
            <w:r>
              <w:t>ao bitcoin</w:t>
            </w:r>
            <w:proofErr w:type="gramEnd"/>
          </w:p>
        </w:tc>
      </w:tr>
      <w:tr w:rsidR="00F00362" w14:paraId="0D9EB6B4" w14:textId="77777777" w:rsidTr="00125313">
        <w:trPr>
          <w:trHeight w:val="297"/>
        </w:trPr>
        <w:tc>
          <w:tcPr>
            <w:tcW w:w="811" w:type="dxa"/>
          </w:tcPr>
          <w:p w14:paraId="41439C4F" w14:textId="06875C64" w:rsidR="00F00362" w:rsidRDefault="00F00362" w:rsidP="001B0A64">
            <w:r>
              <w:t>16</w:t>
            </w:r>
          </w:p>
        </w:tc>
        <w:tc>
          <w:tcPr>
            <w:tcW w:w="7979" w:type="dxa"/>
          </w:tcPr>
          <w:p w14:paraId="201FA93C" w14:textId="77777777" w:rsidR="00F00362" w:rsidRDefault="00F00362" w:rsidP="00A8626B">
            <w:r>
              <w:t xml:space="preserve">The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reveals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presents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. The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numerous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for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capitalisation</w:t>
            </w:r>
            <w:proofErr w:type="spellEnd"/>
            <w:r>
              <w:t xml:space="preserve"> (</w:t>
            </w:r>
            <w:proofErr w:type="spellStart"/>
            <w:r>
              <w:t>CoinMarketCap</w:t>
            </w:r>
            <w:proofErr w:type="spellEnd"/>
            <w:r>
              <w:t xml:space="preserve">, 2018), meeting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investability</w:t>
            </w:r>
            <w:proofErr w:type="spellEnd"/>
            <w:r>
              <w:t xml:space="preserve"> (</w:t>
            </w:r>
            <w:proofErr w:type="spellStart"/>
            <w:r>
              <w:t>Section</w:t>
            </w:r>
            <w:proofErr w:type="spellEnd"/>
            <w:r>
              <w:t xml:space="preserve"> 3.1). </w:t>
            </w:r>
            <w:proofErr w:type="spellStart"/>
            <w:r>
              <w:t>From</w:t>
            </w:r>
            <w:proofErr w:type="spellEnd"/>
            <w:r>
              <w:t xml:space="preserve"> direct </w:t>
            </w:r>
            <w:proofErr w:type="spellStart"/>
            <w:r>
              <w:t>investment</w:t>
            </w:r>
            <w:proofErr w:type="spellEnd"/>
            <w:r>
              <w:t xml:space="preserve"> (Crypto20, 2017; </w:t>
            </w:r>
            <w:proofErr w:type="spellStart"/>
            <w:r>
              <w:t>Grayscale</w:t>
            </w:r>
            <w:proofErr w:type="spellEnd"/>
            <w:r>
              <w:t xml:space="preserve">, 2017; The Token Fund, 2017) </w:t>
            </w:r>
            <w:proofErr w:type="spellStart"/>
            <w:r>
              <w:t>and</w:t>
            </w:r>
            <w:proofErr w:type="spellEnd"/>
            <w:r>
              <w:t xml:space="preserve"> mining (</w:t>
            </w:r>
            <w:proofErr w:type="spellStart"/>
            <w:r>
              <w:t>Chuen</w:t>
            </w:r>
            <w:proofErr w:type="spellEnd"/>
            <w:r>
              <w:t xml:space="preserve">, 2015) </w:t>
            </w:r>
            <w:proofErr w:type="spellStart"/>
            <w:r>
              <w:t>to</w:t>
            </w:r>
            <w:proofErr w:type="spellEnd"/>
            <w:r>
              <w:t xml:space="preserve"> passive </w:t>
            </w:r>
            <w:proofErr w:type="spellStart"/>
            <w:r>
              <w:t>investment</w:t>
            </w:r>
            <w:proofErr w:type="spellEnd"/>
            <w:r>
              <w:t xml:space="preserve"> (Cheng, 2017)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plethora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exchanges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(</w:t>
            </w:r>
            <w:proofErr w:type="spellStart"/>
            <w:r>
              <w:t>Buy</w:t>
            </w:r>
            <w:proofErr w:type="spellEnd"/>
            <w:r>
              <w:t xml:space="preserve"> Bitcoin </w:t>
            </w:r>
            <w:proofErr w:type="spellStart"/>
            <w:r>
              <w:t>Worldwide</w:t>
            </w:r>
            <w:proofErr w:type="spellEnd"/>
            <w:r>
              <w:t xml:space="preserve">, 2017; van </w:t>
            </w:r>
            <w:proofErr w:type="spellStart"/>
            <w:r>
              <w:t>Vuuren</w:t>
            </w:r>
            <w:proofErr w:type="spellEnd"/>
            <w:r>
              <w:t xml:space="preserve">, 2017),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represented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financial </w:t>
            </w:r>
            <w:proofErr w:type="spellStart"/>
            <w:r>
              <w:t>markets</w:t>
            </w:r>
            <w:proofErr w:type="spellEnd"/>
            <w:r>
              <w:t>.</w:t>
            </w:r>
          </w:p>
          <w:p w14:paraId="5AB34B95" w14:textId="77777777" w:rsidR="00F00362" w:rsidRDefault="00F00362" w:rsidP="00A8626B">
            <w:pPr>
              <w:rPr>
                <w:b/>
                <w:bCs/>
              </w:rPr>
            </w:pPr>
          </w:p>
          <w:p w14:paraId="59D04B14" w14:textId="1101B56D" w:rsidR="00F00362" w:rsidRPr="00314BC6" w:rsidRDefault="00F00362" w:rsidP="00A8626B">
            <w:pPr>
              <w:rPr>
                <w:b/>
                <w:bCs/>
              </w:rPr>
            </w:pPr>
            <w:r>
              <w:t xml:space="preserve">The </w:t>
            </w:r>
            <w:proofErr w:type="spellStart"/>
            <w:r>
              <w:t>politico-economic</w:t>
            </w:r>
            <w:proofErr w:type="spellEnd"/>
            <w:r>
              <w:t xml:space="preserve"> profile </w:t>
            </w:r>
            <w:proofErr w:type="spellStart"/>
            <w:r>
              <w:t>is</w:t>
            </w:r>
            <w:proofErr w:type="spellEnd"/>
            <w:r>
              <w:t xml:space="preserve"> dissimilar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open-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decentralised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(</w:t>
            </w:r>
            <w:proofErr w:type="spellStart"/>
            <w:r>
              <w:t>Section</w:t>
            </w:r>
            <w:proofErr w:type="spellEnd"/>
            <w:r>
              <w:t xml:space="preserve"> 3.2). The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use cases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store </w:t>
            </w:r>
            <w:proofErr w:type="spellStart"/>
            <w:r>
              <w:t>metadata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replicated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(</w:t>
            </w:r>
            <w:proofErr w:type="spellStart"/>
            <w:r>
              <w:t>Bartoletti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Pompianu</w:t>
            </w:r>
            <w:proofErr w:type="spellEnd"/>
            <w:r>
              <w:t xml:space="preserve">, 2017; </w:t>
            </w:r>
            <w:proofErr w:type="spellStart"/>
            <w:r>
              <w:t>Hileman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Rauchs</w:t>
            </w:r>
            <w:proofErr w:type="spellEnd"/>
            <w:r>
              <w:t xml:space="preserve">, 2017). </w:t>
            </w:r>
            <w:proofErr w:type="spellStart"/>
            <w:r>
              <w:t>Additionally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 (in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countries),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investing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Bitcoin (</w:t>
            </w:r>
            <w:proofErr w:type="spellStart"/>
            <w:r>
              <w:t>Section</w:t>
            </w:r>
            <w:proofErr w:type="spellEnd"/>
            <w:r>
              <w:t xml:space="preserve"> 3.3).</w:t>
            </w:r>
          </w:p>
        </w:tc>
        <w:tc>
          <w:tcPr>
            <w:tcW w:w="1984" w:type="dxa"/>
          </w:tcPr>
          <w:p w14:paraId="26DD29F0" w14:textId="0045BD1B" w:rsidR="00F00362" w:rsidRDefault="00F00362" w:rsidP="001B0A64">
            <w:r>
              <w:lastRenderedPageBreak/>
              <w:t>Conclusão final do autor sobre o seu ponto de vista sobre o assunto</w:t>
            </w:r>
          </w:p>
        </w:tc>
      </w:tr>
    </w:tbl>
    <w:p w14:paraId="0F338A6E" w14:textId="77777777" w:rsidR="001C4539" w:rsidRDefault="001C4539" w:rsidP="001B0A64"/>
    <w:p w14:paraId="4F1EDA07" w14:textId="6D9F1396" w:rsidR="001B0A64" w:rsidRDefault="001B0A64" w:rsidP="001B0A64"/>
    <w:sectPr w:rsidR="001B0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EC2"/>
    <w:multiLevelType w:val="hybridMultilevel"/>
    <w:tmpl w:val="5948A87C"/>
    <w:lvl w:ilvl="0" w:tplc="6E6239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5337"/>
    <w:multiLevelType w:val="hybridMultilevel"/>
    <w:tmpl w:val="262CC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B2D96"/>
    <w:multiLevelType w:val="hybridMultilevel"/>
    <w:tmpl w:val="34A04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59244">
    <w:abstractNumId w:val="2"/>
  </w:num>
  <w:num w:numId="2" w16cid:durableId="157431169">
    <w:abstractNumId w:val="1"/>
  </w:num>
  <w:num w:numId="3" w16cid:durableId="146099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8"/>
    <w:rsid w:val="00125313"/>
    <w:rsid w:val="001B0A64"/>
    <w:rsid w:val="001C4539"/>
    <w:rsid w:val="00201181"/>
    <w:rsid w:val="0025638F"/>
    <w:rsid w:val="00314BC6"/>
    <w:rsid w:val="004D7C55"/>
    <w:rsid w:val="004E519A"/>
    <w:rsid w:val="005133E9"/>
    <w:rsid w:val="00616D6D"/>
    <w:rsid w:val="006B3A41"/>
    <w:rsid w:val="007359CE"/>
    <w:rsid w:val="008F6FF9"/>
    <w:rsid w:val="00A1543C"/>
    <w:rsid w:val="00A8626B"/>
    <w:rsid w:val="00DD0953"/>
    <w:rsid w:val="00F00362"/>
    <w:rsid w:val="00F8080F"/>
    <w:rsid w:val="00FB2F39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7261"/>
  <w15:chartTrackingRefBased/>
  <w15:docId w15:val="{F03B3C17-2287-4B84-9115-008C1279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539"/>
    <w:pPr>
      <w:ind w:left="720"/>
      <w:contextualSpacing/>
    </w:pPr>
  </w:style>
  <w:style w:type="table" w:styleId="Tabelacomgrade">
    <w:name w:val="Table Grid"/>
    <w:basedOn w:val="Tabelanormal"/>
    <w:uiPriority w:val="39"/>
    <w:rsid w:val="001C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3</cp:revision>
  <dcterms:created xsi:type="dcterms:W3CDTF">2022-07-12T21:28:00Z</dcterms:created>
  <dcterms:modified xsi:type="dcterms:W3CDTF">2023-05-25T19:06:00Z</dcterms:modified>
</cp:coreProperties>
</file>