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맑은 고딕" w:hAnsi="맑은 고딕" w:eastAsia="맑은 고딕"/>
          <w:b/>
          <w:color w:val="1F4E5F"/>
          <w:sz w:val="44"/>
        </w:rPr>
        <w:t>홈앤스테이 3대 포지셔닝 분석시스템</w:t>
      </w:r>
    </w:p>
    <w:p>
      <w:pPr>
        <w:jc w:val="center"/>
      </w:pPr>
      <w:r>
        <w:rPr>
          <w:rFonts w:ascii="맑은 고딕" w:hAnsi="맑은 고딕" w:eastAsia="맑은 고딕"/>
          <w:b/>
          <w:sz w:val="40"/>
        </w:rPr>
        <w:t>특허출원신청 요약서</w:t>
      </w:r>
    </w:p>
    <w:p>
      <w:pPr>
        <w:jc w:val="center"/>
      </w:pPr>
      <w:r>
        <w:rPr>
          <w:rFonts w:ascii="맑은 고딕" w:hAnsi="맑은 고딕" w:eastAsia="맑은 고딕"/>
          <w:sz w:val="20"/>
        </w:rPr>
        <w:t>출원인(예정): 조혜성</w:t>
      </w:r>
    </w:p>
    <w:p>
      <w:pPr>
        <w:jc w:val="center"/>
      </w:pPr>
      <w:r>
        <w:rPr>
          <w:rFonts w:ascii="맑은 고딕" w:hAnsi="맑은 고딕" w:eastAsia="맑은 고딕"/>
          <w:sz w:val="20"/>
        </w:rPr>
        <w:t>작성기준일: 2026년 9월 12일</w:t>
      </w:r>
    </w:p>
    <w:p>
      <w:pPr>
        <w:jc w:val="center"/>
      </w:pPr>
      <w:r>
        <w:rPr>
          <w:rFonts w:ascii="맑은 고딕" w:hAnsi="맑은 고딕" w:eastAsia="맑은 고딕"/>
          <w:sz w:val="20"/>
        </w:rPr>
        <w:t>문서성격: 변리사 상담·선행기술 조사·정식 명세서 작성용 요약 초안</w:t>
      </w:r>
    </w:p>
    <w:p/>
    <w:tbl>
      <w:tblPr>
        <w:tblStyle w:val="TableGrid"/>
        <w:tblW w:type="auto" w:w="0"/>
        <w:tblLook w:firstColumn="1" w:firstRow="1" w:lastColumn="0" w:lastRow="0" w:noHBand="0" w:noVBand="1" w:val="04A0"/>
      </w:tblPr>
      <w:tblGrid>
        <w:gridCol w:w="9412"/>
      </w:tblGrid>
      <w:tr>
        <w:tc>
          <w:tcPr>
            <w:tcW w:type="dxa" w:w="9412"/>
            <w:shd w:fill="FFF2CC"/>
            <w:vAlign w:val="center"/>
          </w:tcPr>
          <w:p>
            <w:r/>
            <w:r>
              <w:rPr>
                <w:rFonts w:ascii="맑은 고딕" w:hAnsi="맑은 고딕" w:eastAsia="맑은 고딕"/>
                <w:b w:val="0"/>
                <w:sz w:val="18"/>
              </w:rPr>
              <w:t>중요: 본 문서는 현재 구현과 제공자료를 토대로 작성한 요약 초안이며, 특허 가능성·권리범위·선행기술 저촉 여부에 관한 법률의견이 아닙니다. 실제 출원 전 변리사의 선행기술 조사와 청구항 검토가 필요합니다.</w:t>
            </w:r>
          </w:p>
        </w:tc>
      </w:tr>
    </w:tbl>
    <w:p>
      <w:r>
        <w:br w:type="page"/>
      </w:r>
    </w:p>
    <w:p>
      <w:pPr>
        <w:spacing w:before="200" w:after="80"/>
      </w:pPr>
      <w:r>
        <w:rPr>
          <w:rFonts w:ascii="맑은 고딕" w:hAnsi="맑은 고딕" w:eastAsia="맑은 고딕"/>
          <w:b/>
          <w:color w:val="1F4E5F"/>
          <w:sz w:val="30"/>
        </w:rPr>
        <w:t>1. 출원 포트폴리오 개요</w:t>
      </w:r>
    </w:p>
    <w:p>
      <w:pPr>
        <w:spacing w:line="324" w:lineRule="auto" w:after="80"/>
      </w:pPr>
      <w:r>
        <w:rPr>
          <w:rFonts w:ascii="맑은 고딕" w:hAnsi="맑은 고딕" w:eastAsia="맑은 고딕"/>
          <w:sz w:val="20"/>
        </w:rPr>
        <w:t>본 문서는 2026년 7월 25일 기출원한 「숙박시설 실거래가 정보 제공 및 운영파트너 자동 배정 시스템 및 방법」과 구별하여, 이후 구현된 세 가지 숙박자산 분석기술을 각각 독립 출원 후보로 정리한 것이다.</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5F"/>
          </w:tcPr>
          <w:p>
            <w:r/>
            <w:r>
              <w:rPr>
                <w:rFonts w:ascii="맑은 고딕" w:hAnsi="맑은 고딕" w:eastAsia="맑은 고딕"/>
                <w:b/>
                <w:color w:val="FFFFFF"/>
                <w:sz w:val="18"/>
              </w:rPr>
              <w:t>구분</w:t>
            </w:r>
          </w:p>
        </w:tc>
        <w:tc>
          <w:tcPr>
            <w:tcW w:type="dxa" w:w="3137"/>
            <w:vAlign w:val="center"/>
            <w:shd w:fill="1F4E5F"/>
          </w:tcPr>
          <w:p>
            <w:r/>
            <w:r>
              <w:rPr>
                <w:rFonts w:ascii="맑은 고딕" w:hAnsi="맑은 고딕" w:eastAsia="맑은 고딕"/>
                <w:b/>
                <w:color w:val="FFFFFF"/>
                <w:sz w:val="18"/>
              </w:rPr>
              <w:t>발명명칭</w:t>
            </w:r>
          </w:p>
        </w:tc>
        <w:tc>
          <w:tcPr>
            <w:tcW w:type="dxa" w:w="3137"/>
            <w:vAlign w:val="center"/>
            <w:shd w:fill="1F4E5F"/>
          </w:tcPr>
          <w:p>
            <w:r/>
            <w:r>
              <w:rPr>
                <w:rFonts w:ascii="맑은 고딕" w:hAnsi="맑은 고딕" w:eastAsia="맑은 고딕"/>
                <w:b/>
                <w:color w:val="FFFFFF"/>
                <w:sz w:val="18"/>
              </w:rPr>
              <w:t>권리화 중심</w:t>
            </w:r>
          </w:p>
        </w:tc>
      </w:tr>
      <w:tr>
        <w:tc>
          <w:tcPr>
            <w:tcW w:type="dxa" w:w="3137"/>
            <w:vAlign w:val="center"/>
          </w:tcPr>
          <w:p>
            <w:r/>
            <w:r>
              <w:rPr>
                <w:rFonts w:ascii="맑은 고딕" w:hAnsi="맑은 고딕" w:eastAsia="맑은 고딕"/>
                <w:b w:val="0"/>
                <w:sz w:val="17"/>
              </w:rPr>
              <w:t>기존 출원</w:t>
            </w:r>
          </w:p>
        </w:tc>
        <w:tc>
          <w:tcPr>
            <w:tcW w:type="dxa" w:w="3137"/>
            <w:vAlign w:val="center"/>
          </w:tcPr>
          <w:p>
            <w:r/>
            <w:r>
              <w:rPr>
                <w:rFonts w:ascii="맑은 고딕" w:hAnsi="맑은 고딕" w:eastAsia="맑은 고딕"/>
                <w:b w:val="0"/>
                <w:sz w:val="17"/>
              </w:rPr>
              <w:t>숙박시설 실거래가 정보 제공 및 운영파트너 자동 배정</w:t>
            </w:r>
          </w:p>
        </w:tc>
        <w:tc>
          <w:tcPr>
            <w:tcW w:type="dxa" w:w="3137"/>
            <w:vAlign w:val="center"/>
          </w:tcPr>
          <w:p>
            <w:r/>
            <w:r>
              <w:rPr>
                <w:rFonts w:ascii="맑은 고딕" w:hAnsi="맑은 고딕" w:eastAsia="맑은 고딕"/>
                <w:b w:val="0"/>
                <w:sz w:val="17"/>
              </w:rPr>
              <w:t>이종 공공데이터의 건물 단위 통합, 숙박시설 실거래가 제공, 거래요청 및 파트너 자동배정</w:t>
            </w:r>
          </w:p>
        </w:tc>
      </w:tr>
      <w:tr>
        <w:tc>
          <w:tcPr>
            <w:tcW w:type="dxa" w:w="3137"/>
            <w:vAlign w:val="center"/>
          </w:tcPr>
          <w:p>
            <w:r/>
            <w:r>
              <w:rPr>
                <w:rFonts w:ascii="맑은 고딕" w:hAnsi="맑은 고딕" w:eastAsia="맑은 고딕"/>
                <w:b w:val="0"/>
                <w:sz w:val="17"/>
              </w:rPr>
              <w:t>추가출원 1 (HS-PI)</w:t>
            </w:r>
          </w:p>
        </w:tc>
        <w:tc>
          <w:tcPr>
            <w:tcW w:type="dxa" w:w="3137"/>
            <w:vAlign w:val="center"/>
          </w:tcPr>
          <w:p>
            <w:r/>
            <w:r>
              <w:rPr>
                <w:rFonts w:ascii="맑은 고딕" w:hAnsi="맑은 고딕" w:eastAsia="맑은 고딕"/>
                <w:b w:val="0"/>
                <w:sz w:val="17"/>
              </w:rPr>
              <w:t>관광수요 지수와 유사자산 상대가격을 이용한 숙박부동산 투자 포지셔닝 진단 시스템 및 방법</w:t>
            </w:r>
          </w:p>
        </w:tc>
        <w:tc>
          <w:tcPr>
            <w:tcW w:type="dxa" w:w="3137"/>
            <w:vAlign w:val="center"/>
          </w:tcPr>
          <w:p>
            <w:r/>
            <w:r>
              <w:rPr>
                <w:rFonts w:ascii="맑은 고딕" w:hAnsi="맑은 고딕" w:eastAsia="맑은 고딕"/>
                <w:b w:val="0"/>
                <w:sz w:val="17"/>
              </w:rPr>
              <w:t>관광수요 백분위와 유사자산 대비 ㎡당 중앙가격 격차의 결합, 4사분면 및 투자후보 선별</w:t>
            </w:r>
          </w:p>
        </w:tc>
      </w:tr>
      <w:tr>
        <w:tc>
          <w:tcPr>
            <w:tcW w:type="dxa" w:w="3137"/>
            <w:vAlign w:val="center"/>
          </w:tcPr>
          <w:p>
            <w:r/>
            <w:r>
              <w:rPr>
                <w:rFonts w:ascii="맑은 고딕" w:hAnsi="맑은 고딕" w:eastAsia="맑은 고딕"/>
                <w:b w:val="0"/>
                <w:sz w:val="17"/>
              </w:rPr>
              <w:t>추가출원 2 (HS-RI)</w:t>
            </w:r>
          </w:p>
        </w:tc>
        <w:tc>
          <w:tcPr>
            <w:tcW w:type="dxa" w:w="3137"/>
            <w:vAlign w:val="center"/>
          </w:tcPr>
          <w:p>
            <w:r/>
            <w:r>
              <w:rPr>
                <w:rFonts w:ascii="맑은 고딕" w:hAnsi="맑은 고딕" w:eastAsia="맑은 고딕"/>
                <w:b w:val="0"/>
                <w:sz w:val="17"/>
              </w:rPr>
              <w:t>공공 임대수익 기준선과 부채상환비율을 이용한 숙박부동산 임대수익 포지셔닝 진단 시스템 및 방법</w:t>
            </w:r>
          </w:p>
        </w:tc>
        <w:tc>
          <w:tcPr>
            <w:tcW w:type="dxa" w:w="3137"/>
            <w:vAlign w:val="center"/>
          </w:tcPr>
          <w:p>
            <w:r/>
            <w:r>
              <w:rPr>
                <w:rFonts w:ascii="맑은 고딕" w:hAnsi="맑은 고딕" w:eastAsia="맑은 고딕"/>
                <w:b w:val="0"/>
                <w:sz w:val="17"/>
              </w:rPr>
              <w:t>시장가 기준 NOI 수익률, 공실안정성, DSCR 및 R-ONE 계층 기준선의 결합</w:t>
            </w:r>
          </w:p>
        </w:tc>
      </w:tr>
      <w:tr>
        <w:tc>
          <w:tcPr>
            <w:tcW w:type="dxa" w:w="3137"/>
            <w:vAlign w:val="center"/>
          </w:tcPr>
          <w:p>
            <w:r/>
            <w:r>
              <w:rPr>
                <w:rFonts w:ascii="맑은 고딕" w:hAnsi="맑은 고딕" w:eastAsia="맑은 고딕"/>
                <w:b w:val="0"/>
                <w:sz w:val="17"/>
              </w:rPr>
              <w:t>추가출원 3 (HS-OI)</w:t>
            </w:r>
          </w:p>
        </w:tc>
        <w:tc>
          <w:tcPr>
            <w:tcW w:type="dxa" w:w="3137"/>
            <w:vAlign w:val="center"/>
          </w:tcPr>
          <w:p>
            <w:r/>
            <w:r>
              <w:rPr>
                <w:rFonts w:ascii="맑은 고딕" w:hAnsi="맑은 고딕" w:eastAsia="맑은 고딕"/>
                <w:b w:val="0"/>
                <w:sz w:val="17"/>
              </w:rPr>
              <w:t>공식 호텔 운영통계와 기간정합 문서분석을 이용한 숙박시설 운영성과 포지셔닝 진단 시스템 및 방법</w:t>
            </w:r>
          </w:p>
        </w:tc>
        <w:tc>
          <w:tcPr>
            <w:tcW w:type="dxa" w:w="3137"/>
            <w:vAlign w:val="center"/>
          </w:tcPr>
          <w:p>
            <w:r/>
            <w:r>
              <w:rPr>
                <w:rFonts w:ascii="맑은 고딕" w:hAnsi="맑은 고딕" w:eastAsia="맑은 고딕"/>
                <w:b w:val="0"/>
                <w:sz w:val="17"/>
              </w:rPr>
              <w:t>동일기간 운영문서 충돌검증, ADR·OCC·RevPAR 산출, 지역 기준선 사분면 진단</w:t>
            </w:r>
          </w:p>
        </w:tc>
      </w:tr>
    </w:tbl>
    <w:p/>
    <w:p>
      <w:pPr>
        <w:spacing w:before="120" w:after="80"/>
      </w:pPr>
      <w:r>
        <w:rPr>
          <w:rFonts w:ascii="맑은 고딕" w:hAnsi="맑은 고딕" w:eastAsia="맑은 고딕"/>
          <w:b/>
          <w:color w:val="3E3E3E"/>
          <w:sz w:val="24"/>
        </w:rPr>
        <w:t>1.1 공통 출원 전략</w:t>
      </w:r>
    </w:p>
    <w:p>
      <w:pPr>
        <w:pStyle w:val="ListBullet"/>
        <w:spacing w:line="300" w:lineRule="auto" w:after="40"/>
      </w:pPr>
      <w:r>
        <w:rPr>
          <w:rFonts w:ascii="맑은 고딕" w:hAnsi="맑은 고딕" w:eastAsia="맑은 고딕"/>
          <w:sz w:val="19"/>
        </w:rPr>
        <w:t>기존 출원의 핵심인 이종 공공데이터 주소 정규화·건물 통합·실거래가 조회·운영파트너 자동배정은 이번 발명의 전제 데이터 또는 선택적 연동구성으로만 기재한다.</w:t>
      </w:r>
    </w:p>
    <w:p>
      <w:pPr>
        <w:pStyle w:val="ListBullet"/>
        <w:spacing w:line="300" w:lineRule="auto" w:after="40"/>
      </w:pPr>
      <w:r>
        <w:rPr>
          <w:rFonts w:ascii="맑은 고딕" w:hAnsi="맑은 고딕" w:eastAsia="맑은 고딕"/>
          <w:sz w:val="19"/>
        </w:rPr>
        <w:t>이번 출원은 단순한 지표 표시가 아니라, 입력자료의 검증 → 기준값 생성 또는 선택 → 결측·충돌 판정 → 사분면 분류 → 산출근거와 불확실성 출력의 구체적 처리 순서를 중심으로 청구한다.</w:t>
      </w:r>
    </w:p>
    <w:p>
      <w:pPr>
        <w:pStyle w:val="ListBullet"/>
        <w:spacing w:line="300" w:lineRule="auto" w:after="40"/>
      </w:pPr>
      <w:r>
        <w:rPr>
          <w:rFonts w:ascii="맑은 고딕" w:hAnsi="맑은 고딕" w:eastAsia="맑은 고딕"/>
          <w:sz w:val="19"/>
        </w:rPr>
        <w:t>관광수요, NOI, DSCR, ADR, OCC, RevPAR 및 4사분면 자체는 알려진 개념일 수 있으므로, 숙박시설 데이터 연결 규칙·비교군 계층·기간정합 검증·판정보류·출처 계보를 결합한 구성으로 차별화한다.</w:t>
      </w:r>
    </w:p>
    <w:p>
      <w:pPr>
        <w:pStyle w:val="ListBullet"/>
        <w:spacing w:line="300" w:lineRule="auto" w:after="40"/>
      </w:pPr>
      <w:r>
        <w:rPr>
          <w:rFonts w:ascii="맑은 고딕" w:hAnsi="맑은 고딕" w:eastAsia="맑은 고딕"/>
          <w:sz w:val="19"/>
        </w:rPr>
        <w:t>세 발명은 각각 독립 출원을 우선 검토하되, 심사전략에 따라 하나의 공통 플랫폼 발명과 세 개의 분석 실시예 또는 분할출원 구조도 비교한다.</w:t>
      </w:r>
    </w:p>
    <w:p>
      <w:pPr>
        <w:spacing w:before="120" w:after="80"/>
      </w:pPr>
      <w:r>
        <w:rPr>
          <w:rFonts w:ascii="맑은 고딕" w:hAnsi="맑은 고딕" w:eastAsia="맑은 고딕"/>
          <w:b/>
          <w:color w:val="3E3E3E"/>
          <w:sz w:val="24"/>
        </w:rPr>
        <w:t>1.2 계획서 대비 구현기준 정정사항</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5F"/>
          </w:tcPr>
          <w:p>
            <w:r/>
            <w:r>
              <w:rPr>
                <w:rFonts w:ascii="맑은 고딕" w:hAnsi="맑은 고딕" w:eastAsia="맑은 고딕"/>
                <w:b/>
                <w:color w:val="FFFFFF"/>
                <w:sz w:val="18"/>
              </w:rPr>
              <w:t>항목</w:t>
            </w:r>
          </w:p>
        </w:tc>
        <w:tc>
          <w:tcPr>
            <w:tcW w:type="dxa" w:w="3137"/>
            <w:vAlign w:val="center"/>
            <w:shd w:fill="1F4E5F"/>
          </w:tcPr>
          <w:p>
            <w:r/>
            <w:r>
              <w:rPr>
                <w:rFonts w:ascii="맑은 고딕" w:hAnsi="맑은 고딕" w:eastAsia="맑은 고딕"/>
                <w:b/>
                <w:color w:val="FFFFFF"/>
                <w:sz w:val="18"/>
              </w:rPr>
              <w:t>계획서 표현</w:t>
            </w:r>
          </w:p>
        </w:tc>
        <w:tc>
          <w:tcPr>
            <w:tcW w:type="dxa" w:w="3137"/>
            <w:vAlign w:val="center"/>
            <w:shd w:fill="1F4E5F"/>
          </w:tcPr>
          <w:p>
            <w:r/>
            <w:r>
              <w:rPr>
                <w:rFonts w:ascii="맑은 고딕" w:hAnsi="맑은 고딕" w:eastAsia="맑은 고딕"/>
                <w:b/>
                <w:color w:val="FFFFFF"/>
                <w:sz w:val="18"/>
              </w:rPr>
              <w:t>현재 구현기준 초안</w:t>
            </w:r>
          </w:p>
        </w:tc>
      </w:tr>
      <w:tr>
        <w:tc>
          <w:tcPr>
            <w:tcW w:type="dxa" w:w="3137"/>
            <w:vAlign w:val="center"/>
          </w:tcPr>
          <w:p>
            <w:r/>
            <w:r>
              <w:rPr>
                <w:rFonts w:ascii="맑은 고딕" w:hAnsi="맑은 고딕" w:eastAsia="맑은 고딕"/>
                <w:b w:val="0"/>
                <w:sz w:val="17"/>
              </w:rPr>
              <w:t>HS-PI 가격축</w:t>
            </w:r>
          </w:p>
        </w:tc>
        <w:tc>
          <w:tcPr>
            <w:tcW w:type="dxa" w:w="3137"/>
            <w:vAlign w:val="center"/>
          </w:tcPr>
          <w:p>
            <w:r/>
            <w:r>
              <w:rPr>
                <w:rFonts w:ascii="맑은 고딕" w:hAnsi="맑은 고딕" w:eastAsia="맑은 고딕"/>
                <w:b w:val="0"/>
                <w:sz w:val="17"/>
              </w:rPr>
              <w:t>최근 12개월 가격 변동률</w:t>
            </w:r>
          </w:p>
        </w:tc>
        <w:tc>
          <w:tcPr>
            <w:tcW w:type="dxa" w:w="3137"/>
            <w:vAlign w:val="center"/>
          </w:tcPr>
          <w:p>
            <w:r/>
            <w:r>
              <w:rPr>
                <w:rFonts w:ascii="맑은 고딕" w:hAnsi="맑은 고딕" w:eastAsia="맑은 고딕"/>
                <w:b w:val="0"/>
                <w:sz w:val="17"/>
              </w:rPr>
              <w:t>최근 분석기간의 대상 건물 ㎡당 중앙가격과 계층형 유사자산 중앙가격의 격차율</w:t>
            </w:r>
          </w:p>
        </w:tc>
      </w:tr>
      <w:tr>
        <w:tc>
          <w:tcPr>
            <w:tcW w:type="dxa" w:w="3137"/>
            <w:vAlign w:val="center"/>
          </w:tcPr>
          <w:p>
            <w:r/>
            <w:r>
              <w:rPr>
                <w:rFonts w:ascii="맑은 고딕" w:hAnsi="맑은 고딕" w:eastAsia="맑은 고딕"/>
                <w:b w:val="0"/>
                <w:sz w:val="17"/>
              </w:rPr>
              <w:t>HS-PI 4사분면</w:t>
            </w:r>
          </w:p>
        </w:tc>
        <w:tc>
          <w:tcPr>
            <w:tcW w:type="dxa" w:w="3137"/>
            <w:vAlign w:val="center"/>
          </w:tcPr>
          <w:p>
            <w:r/>
            <w:r>
              <w:rPr>
                <w:rFonts w:ascii="맑은 고딕" w:hAnsi="맑은 고딕" w:eastAsia="맑은 고딕"/>
                <w:b w:val="0"/>
                <w:sz w:val="17"/>
              </w:rPr>
              <w:t>슈퍼에셋·가격선행·침체·저평가 알짜</w:t>
            </w:r>
          </w:p>
        </w:tc>
        <w:tc>
          <w:tcPr>
            <w:tcW w:type="dxa" w:w="3137"/>
            <w:vAlign w:val="center"/>
          </w:tcPr>
          <w:p>
            <w:r/>
            <w:r>
              <w:rPr>
                <w:rFonts w:ascii="맑은 고딕" w:hAnsi="맑은 고딕" w:eastAsia="맑은 고딕"/>
                <w:b w:val="0"/>
                <w:sz w:val="17"/>
              </w:rPr>
              <w:t>수요 대비 저평가 후보·수요 프리미엄·가격 부담·저가/수요 확인 필요</w:t>
            </w:r>
          </w:p>
        </w:tc>
      </w:tr>
      <w:tr>
        <w:tc>
          <w:tcPr>
            <w:tcW w:type="dxa" w:w="3137"/>
            <w:vAlign w:val="center"/>
          </w:tcPr>
          <w:p>
            <w:r/>
            <w:r>
              <w:rPr>
                <w:rFonts w:ascii="맑은 고딕" w:hAnsi="맑은 고딕" w:eastAsia="맑은 고딕"/>
                <w:b w:val="0"/>
                <w:sz w:val="17"/>
              </w:rPr>
              <w:t>HS-RI 기준선</w:t>
            </w:r>
          </w:p>
        </w:tc>
        <w:tc>
          <w:tcPr>
            <w:tcW w:type="dxa" w:w="3137"/>
            <w:vAlign w:val="center"/>
          </w:tcPr>
          <w:p>
            <w:r/>
            <w:r>
              <w:rPr>
                <w:rFonts w:ascii="맑은 고딕" w:hAnsi="맑은 고딕" w:eastAsia="맑은 고딕"/>
                <w:b w:val="0"/>
                <w:sz w:val="17"/>
              </w:rPr>
              <w:t>R-ONE 오피스텔 수익률</w:t>
            </w:r>
          </w:p>
        </w:tc>
        <w:tc>
          <w:tcPr>
            <w:tcW w:type="dxa" w:w="3137"/>
            <w:vAlign w:val="center"/>
          </w:tcPr>
          <w:p>
            <w:r/>
            <w:r>
              <w:rPr>
                <w:rFonts w:ascii="맑은 고딕" w:hAnsi="맑은 고딕" w:eastAsia="맑은 고딕"/>
                <w:b w:val="0"/>
                <w:sz w:val="17"/>
              </w:rPr>
              <w:t>오피스텔 수익률 + 사용자 공실 우선, 미입력 시 출처를 밝힌 대체 자산군 공실률</w:t>
            </w:r>
          </w:p>
        </w:tc>
      </w:tr>
      <w:tr>
        <w:tc>
          <w:tcPr>
            <w:tcW w:type="dxa" w:w="3137"/>
            <w:vAlign w:val="center"/>
          </w:tcPr>
          <w:p>
            <w:r/>
            <w:r>
              <w:rPr>
                <w:rFonts w:ascii="맑은 고딕" w:hAnsi="맑은 고딕" w:eastAsia="맑은 고딕"/>
                <w:b w:val="0"/>
                <w:sz w:val="17"/>
              </w:rPr>
              <w:t>HS-OI 문서입력</w:t>
            </w:r>
          </w:p>
        </w:tc>
        <w:tc>
          <w:tcPr>
            <w:tcW w:type="dxa" w:w="3137"/>
            <w:vAlign w:val="center"/>
          </w:tcPr>
          <w:p>
            <w:r/>
            <w:r>
              <w:rPr>
                <w:rFonts w:ascii="맑은 고딕" w:hAnsi="맑은 고딕" w:eastAsia="맑은 고딕"/>
                <w:b w:val="0"/>
                <w:sz w:val="17"/>
              </w:rPr>
              <w:t>ADR·OCC 직접입력 중심</w:t>
            </w:r>
          </w:p>
        </w:tc>
        <w:tc>
          <w:tcPr>
            <w:tcW w:type="dxa" w:w="3137"/>
            <w:vAlign w:val="center"/>
          </w:tcPr>
          <w:p>
            <w:r/>
            <w:r>
              <w:rPr>
                <w:rFonts w:ascii="맑은 고딕" w:hAnsi="맑은 고딕" w:eastAsia="맑은 고딕"/>
                <w:b w:val="0"/>
                <w:sz w:val="17"/>
              </w:rPr>
              <w:t>복수 문서의 기간·분자·분모 충돌검증과 적용객실수 확정 후 자동계산을 포함</w:t>
            </w:r>
          </w:p>
        </w:tc>
      </w:tr>
      <w:tr>
        <w:tc>
          <w:tcPr>
            <w:tcW w:type="dxa" w:w="3137"/>
            <w:vAlign w:val="center"/>
          </w:tcPr>
          <w:p>
            <w:r/>
            <w:r>
              <w:rPr>
                <w:rFonts w:ascii="맑은 고딕" w:hAnsi="맑은 고딕" w:eastAsia="맑은 고딕"/>
                <w:b w:val="0"/>
                <w:sz w:val="17"/>
              </w:rPr>
              <w:t>표현 원칙</w:t>
            </w:r>
          </w:p>
        </w:tc>
        <w:tc>
          <w:tcPr>
            <w:tcW w:type="dxa" w:w="3137"/>
            <w:vAlign w:val="center"/>
          </w:tcPr>
          <w:p>
            <w:r/>
            <w:r>
              <w:rPr>
                <w:rFonts w:ascii="맑은 고딕" w:hAnsi="맑은 고딕" w:eastAsia="맑은 고딕"/>
                <w:b w:val="0"/>
                <w:sz w:val="17"/>
              </w:rPr>
              <w:t>국내 최초</w:t>
            </w:r>
          </w:p>
        </w:tc>
        <w:tc>
          <w:tcPr>
            <w:tcW w:type="dxa" w:w="3137"/>
            <w:vAlign w:val="center"/>
          </w:tcPr>
          <w:p>
            <w:r/>
            <w:r>
              <w:rPr>
                <w:rFonts w:ascii="맑은 고딕" w:hAnsi="맑은 고딕" w:eastAsia="맑은 고딕"/>
                <w:b w:val="0"/>
                <w:sz w:val="17"/>
              </w:rPr>
              <w:t>선행기술 조사 전에는 최초성 단정 없이 기술적 차이만 서술</w:t>
            </w:r>
          </w:p>
        </w:tc>
      </w:tr>
    </w:tbl>
    <w:p/>
    <w:p>
      <w:r>
        <w:br w:type="page"/>
      </w:r>
    </w:p>
    <w:p>
      <w:pPr>
        <w:spacing w:before="200" w:after="80"/>
      </w:pPr>
      <w:r>
        <w:rPr>
          <w:rFonts w:ascii="맑은 고딕" w:hAnsi="맑은 고딕" w:eastAsia="맑은 고딕"/>
          <w:b/>
          <w:color w:val="1F4E5F"/>
          <w:sz w:val="30"/>
        </w:rPr>
        <w:t>2.1 발명 1 — HS-PI 숙박부동산 투자 포지셔닝</w:t>
      </w:r>
    </w:p>
    <w:p>
      <w:pPr>
        <w:spacing w:before="120" w:after="80"/>
      </w:pPr>
      <w:r>
        <w:rPr>
          <w:rFonts w:ascii="맑은 고딕" w:hAnsi="맑은 고딕" w:eastAsia="맑은 고딕"/>
          <w:b/>
          <w:color w:val="3E3E3E"/>
          <w:sz w:val="24"/>
        </w:rPr>
        <w:t>가. 발명의 명칭</w:t>
      </w:r>
    </w:p>
    <w:p>
      <w:pPr>
        <w:spacing w:line="324" w:lineRule="auto" w:after="80"/>
      </w:pPr>
      <w:r>
        <w:rPr>
          <w:rFonts w:ascii="맑은 고딕" w:hAnsi="맑은 고딕" w:eastAsia="맑은 고딕"/>
          <w:sz w:val="20"/>
        </w:rPr>
        <w:t>국문: 관광수요 지수와 유사자산 상대가격을 이용한 숙박부동산 투자 포지셔닝 진단 시스템 및 방법</w:t>
      </w:r>
    </w:p>
    <w:p>
      <w:pPr>
        <w:spacing w:line="324" w:lineRule="auto" w:after="80"/>
      </w:pPr>
      <w:r>
        <w:rPr>
          <w:rFonts w:ascii="맑은 고딕" w:hAnsi="맑은 고딕" w:eastAsia="맑은 고딕"/>
          <w:sz w:val="20"/>
        </w:rPr>
        <w:t>영문: System and Method for Diagnosing Investment Positioning of Lodging Real Estate Using Tourism Demand Index and Relative Prices of Comparable Assets</w:t>
      </w:r>
    </w:p>
    <w:p>
      <w:pPr>
        <w:spacing w:before="120" w:after="80"/>
      </w:pPr>
      <w:r>
        <w:rPr>
          <w:rFonts w:ascii="맑은 고딕" w:hAnsi="맑은 고딕" w:eastAsia="맑은 고딕"/>
          <w:b/>
          <w:color w:val="3E3E3E"/>
          <w:sz w:val="24"/>
        </w:rPr>
        <w:t>나. 기술분야</w:t>
      </w:r>
    </w:p>
    <w:p>
      <w:pPr>
        <w:spacing w:line="324" w:lineRule="auto" w:after="80"/>
      </w:pPr>
      <w:r>
        <w:rPr>
          <w:rFonts w:ascii="맑은 고딕" w:hAnsi="맑은 고딕" w:eastAsia="맑은 고딕"/>
          <w:sz w:val="20"/>
        </w:rPr>
        <w:t>본 발명은 숙박부동산의 투자 포지셔닝 분석에 관한 것으로, 보다 구체적으로는 공적 실거래 자료에서 숙박시설의 정확 연결 거래를 선별하고, 관광지역의 방문수요를 전국 백분위로 변환하며, 동일 숙박유형 유사자산의 단위면적당 가격 중앙값과 대상 자산의 가격을 비교하여 4사분면 진단 및 투자후보 목록을 생성하는 컴퓨터 구현 시스템 및 방법에 관한 것이다.</w:t>
      </w:r>
    </w:p>
    <w:p>
      <w:pPr>
        <w:spacing w:before="120" w:after="80"/>
      </w:pPr>
      <w:r>
        <w:rPr>
          <w:rFonts w:ascii="맑은 고딕" w:hAnsi="맑은 고딕" w:eastAsia="맑은 고딕"/>
          <w:b/>
          <w:color w:val="3E3E3E"/>
          <w:sz w:val="24"/>
        </w:rPr>
        <w:t>다. 해결하려는 과제</w:t>
      </w:r>
    </w:p>
    <w:p>
      <w:pPr>
        <w:pStyle w:val="ListNumber"/>
        <w:spacing w:line="300" w:lineRule="auto" w:after="40"/>
      </w:pPr>
      <w:r>
        <w:rPr>
          <w:rFonts w:ascii="맑은 고딕" w:hAnsi="맑은 고딕" w:eastAsia="맑은 고딕"/>
          <w:sz w:val="19"/>
        </w:rPr>
        <w:t>숙박시설은 일반 주거용 부동산과 달리 관광수요가 가격 형성의 중요한 요인이지만, 가격 정보와 관광수요 정보가 서로 다른 원천에서 제공되어 함께 판단하기 어렵다.</w:t>
      </w:r>
    </w:p>
    <w:p>
      <w:pPr>
        <w:pStyle w:val="ListNumber"/>
        <w:spacing w:line="300" w:lineRule="auto" w:after="40"/>
      </w:pPr>
      <w:r>
        <w:rPr>
          <w:rFonts w:ascii="맑은 고딕" w:hAnsi="맑은 고딕" w:eastAsia="맑은 고딕"/>
          <w:sz w:val="19"/>
        </w:rPr>
        <w:t>거래량이 특정 건물이나 시기에 집중되어 단순 평균이나 전기 대비 변동률을 사용하면 이상치와 표본 편향에 취약하다.</w:t>
      </w:r>
    </w:p>
    <w:p>
      <w:pPr>
        <w:pStyle w:val="ListNumber"/>
        <w:spacing w:line="300" w:lineRule="auto" w:after="40"/>
      </w:pPr>
      <w:r>
        <w:rPr>
          <w:rFonts w:ascii="맑은 고딕" w:hAnsi="맑은 고딕" w:eastAsia="맑은 고딕"/>
          <w:sz w:val="19"/>
        </w:rPr>
        <w:t>동일 지번의 복수 건물 또는 불확실한 건물명 매칭으로 거래가 중복 귀속될 경우 분석 결과가 왜곡된다.</w:t>
      </w:r>
    </w:p>
    <w:p>
      <w:pPr>
        <w:pStyle w:val="ListNumber"/>
        <w:spacing w:line="300" w:lineRule="auto" w:after="40"/>
      </w:pPr>
      <w:r>
        <w:rPr>
          <w:rFonts w:ascii="맑은 고딕" w:hAnsi="맑은 고딕" w:eastAsia="맑은 고딕"/>
          <w:sz w:val="19"/>
        </w:rPr>
        <w:t>가격이 낮다는 사실만으로 투자후보를 정하면 관광수요가 낮은 지역까지 포함되므로, 수요와 상대가격을 동시에 고려한 후보선정이 필요하다.</w:t>
      </w:r>
    </w:p>
    <w:p>
      <w:pPr>
        <w:spacing w:before="120" w:after="80"/>
      </w:pPr>
      <w:r>
        <w:rPr>
          <w:rFonts w:ascii="맑은 고딕" w:hAnsi="맑은 고딕" w:eastAsia="맑은 고딕"/>
          <w:b/>
          <w:color w:val="3E3E3E"/>
          <w:sz w:val="24"/>
        </w:rPr>
        <w:t>라. 핵심 처리 흐름</w:t>
      </w:r>
    </w:p>
    <w:p>
      <w:pPr>
        <w:pStyle w:val="ListNumber"/>
        <w:spacing w:line="300" w:lineRule="auto" w:after="40"/>
      </w:pPr>
      <w:r>
        <w:rPr>
          <w:rFonts w:ascii="맑은 고딕" w:hAnsi="맑은 고딕" w:eastAsia="맑은 고딕"/>
          <w:sz w:val="19"/>
        </w:rPr>
        <w:t>대상 건물의 숙박유형과 주소 식별정보를 취득한다.</w:t>
      </w:r>
    </w:p>
    <w:p>
      <w:pPr>
        <w:pStyle w:val="ListNumber"/>
        <w:spacing w:line="300" w:lineRule="auto" w:after="40"/>
      </w:pPr>
      <w:r>
        <w:rPr>
          <w:rFonts w:ascii="맑은 고딕" w:hAnsi="맑은 고딕" w:eastAsia="맑은 고딕"/>
          <w:sz w:val="19"/>
        </w:rPr>
        <w:t>최근 설정기간(일 실시예: 12개월)의 호실형 실거래 중 시군구코드·법정동·지번이 유일한 마스터 건물에 정확히 연결되는 거래만 선별한다.</w:t>
      </w:r>
    </w:p>
    <w:p>
      <w:pPr>
        <w:pStyle w:val="ListNumber"/>
        <w:spacing w:line="300" w:lineRule="auto" w:after="40"/>
      </w:pPr>
      <w:r>
        <w:rPr>
          <w:rFonts w:ascii="맑은 고딕" w:hAnsi="맑은 고딕" w:eastAsia="맑은 고딕"/>
          <w:sz w:val="19"/>
        </w:rPr>
        <w:t>각 건물별 거래가격을 전용면적으로 나눈 단위면적당 가격을 산출하고, 건물별 중앙값을 계산한다.</w:t>
      </w:r>
    </w:p>
    <w:p>
      <w:pPr>
        <w:pStyle w:val="ListNumber"/>
        <w:spacing w:line="300" w:lineRule="auto" w:after="40"/>
      </w:pPr>
      <w:r>
        <w:rPr>
          <w:rFonts w:ascii="맑은 고딕" w:hAnsi="맑은 고딕" w:eastAsia="맑은 고딕"/>
          <w:sz w:val="19"/>
        </w:rPr>
        <w:t>대상 건물과 동일 숙박유형의 비교건물을 시군구, 시도, 전국 순으로 탐색하되 각 범위의 최소 표본조건을 충족하는 최초 범위를 선택한다.</w:t>
      </w:r>
    </w:p>
    <w:p>
      <w:pPr>
        <w:pStyle w:val="ListNumber"/>
        <w:spacing w:line="300" w:lineRule="auto" w:after="40"/>
      </w:pPr>
      <w:r>
        <w:rPr>
          <w:rFonts w:ascii="맑은 고딕" w:hAnsi="맑은 고딕" w:eastAsia="맑은 고딕"/>
          <w:sz w:val="19"/>
        </w:rPr>
        <w:t>비교건물마다 하나의 건물별 중앙값만 반영하여 유사자산 가격 중앙값을 계산하고, 대상 가격과의 상대가격 격차율을 산출한다.</w:t>
      </w:r>
    </w:p>
    <w:p>
      <w:pPr>
        <w:pStyle w:val="ListNumber"/>
        <w:spacing w:line="300" w:lineRule="auto" w:after="40"/>
      </w:pPr>
      <w:r>
        <w:rPr>
          <w:rFonts w:ascii="맑은 고딕" w:hAnsi="맑은 고딕" w:eastAsia="맑은 고딕"/>
          <w:sz w:val="19"/>
        </w:rPr>
        <w:t>동일 시군구의 외지인 방문자 수를 전국 시군구 분포의 백분위 점수로 변환하여 관광수요 지수를 생성한다.</w:t>
      </w:r>
    </w:p>
    <w:p>
      <w:pPr>
        <w:pStyle w:val="ListNumber"/>
        <w:spacing w:line="300" w:lineRule="auto" w:after="40"/>
      </w:pPr>
      <w:r>
        <w:rPr>
          <w:rFonts w:ascii="맑은 고딕" w:hAnsi="맑은 고딕" w:eastAsia="맑은 고딕"/>
          <w:sz w:val="19"/>
        </w:rPr>
        <w:t>관광수요 기준값과 상대가격 기준값을 이용해 대상 자산을 4사분면으로 분류하고, 표본수·비교범위·자료기간·출처를 함께 출력한다.</w:t>
      </w:r>
    </w:p>
    <w:p>
      <w:pPr>
        <w:pStyle w:val="ListNumber"/>
        <w:spacing w:line="300" w:lineRule="auto" w:after="40"/>
      </w:pPr>
      <w:r>
        <w:rPr>
          <w:rFonts w:ascii="맑은 고딕" w:hAnsi="맑은 고딕" w:eastAsia="맑은 고딕"/>
          <w:sz w:val="19"/>
        </w:rPr>
        <w:t>관광수요가 높고 상대가격이 낮은 자산, 신뢰조건을 추가 충족한 할인 자산, 공개 매물가격이 유사자산 기준보다 낮은 자산을 서로 다른 후보군으로 정렬한다.</w:t>
      </w:r>
    </w:p>
    <w:p>
      <w:pPr>
        <w:spacing w:before="120" w:after="80"/>
      </w:pPr>
      <w:r>
        <w:rPr>
          <w:rFonts w:ascii="맑은 고딕" w:hAnsi="맑은 고딕" w:eastAsia="맑은 고딕"/>
          <w:b/>
          <w:color w:val="3E3E3E"/>
          <w:sz w:val="24"/>
        </w:rPr>
        <w:t>마. 주요 산식</w:t>
      </w:r>
    </w:p>
    <w:p>
      <w:pPr>
        <w:pStyle w:val="ListBullet"/>
        <w:spacing w:line="300" w:lineRule="auto" w:after="40"/>
      </w:pPr>
      <w:r>
        <w:rPr>
          <w:rFonts w:ascii="맑은 고딕" w:hAnsi="맑은 고딕" w:eastAsia="맑은 고딕"/>
          <w:sz w:val="19"/>
        </w:rPr>
        <w:t>관광수요 지수 = 전국 시군구 방문자 수 분포상 대상 시군구의 백분위 × 100</w:t>
      </w:r>
    </w:p>
    <w:p>
      <w:pPr>
        <w:pStyle w:val="ListBullet"/>
        <w:spacing w:line="300" w:lineRule="auto" w:after="40"/>
      </w:pPr>
      <w:r>
        <w:rPr>
          <w:rFonts w:ascii="맑은 고딕" w:hAnsi="맑은 고딕" w:eastAsia="맑은 고딕"/>
          <w:sz w:val="19"/>
        </w:rPr>
        <w:t>건물 단위가격 = 거래가격 ÷ 전용면적</w:t>
      </w:r>
    </w:p>
    <w:p>
      <w:pPr>
        <w:pStyle w:val="ListBullet"/>
        <w:spacing w:line="300" w:lineRule="auto" w:after="40"/>
      </w:pPr>
      <w:r>
        <w:rPr>
          <w:rFonts w:ascii="맑은 고딕" w:hAnsi="맑은 고딕" w:eastAsia="맑은 고딕"/>
          <w:sz w:val="19"/>
        </w:rPr>
        <w:t>건물 대표가격 = 선택기간 내 해당 건물 단위가격의 중앙값</w:t>
      </w:r>
    </w:p>
    <w:p>
      <w:pPr>
        <w:pStyle w:val="ListBullet"/>
        <w:spacing w:line="300" w:lineRule="auto" w:after="40"/>
      </w:pPr>
      <w:r>
        <w:rPr>
          <w:rFonts w:ascii="맑은 고딕" w:hAnsi="맑은 고딕" w:eastAsia="맑은 고딕"/>
          <w:sz w:val="19"/>
        </w:rPr>
        <w:t>유사자산 대표가격 = 선택된 비교범위 내 비교건물별 대표가격들의 중앙값</w:t>
      </w:r>
    </w:p>
    <w:p>
      <w:pPr>
        <w:pStyle w:val="ListBullet"/>
        <w:spacing w:line="300" w:lineRule="auto" w:after="40"/>
      </w:pPr>
      <w:r>
        <w:rPr>
          <w:rFonts w:ascii="맑은 고딕" w:hAnsi="맑은 고딕" w:eastAsia="맑은 고딕"/>
          <w:sz w:val="19"/>
        </w:rPr>
        <w:t>유사자산 대비 가격격차율 = (대상 건물 대표가격 − 유사자산 대표가격) ÷ 유사자산 대표가격 × 100</w:t>
      </w:r>
    </w:p>
    <w:p>
      <w:pPr>
        <w:spacing w:before="120" w:after="80"/>
      </w:pPr>
      <w:r>
        <w:rPr>
          <w:rFonts w:ascii="맑은 고딕" w:hAnsi="맑은 고딕" w:eastAsia="맑은 고딕"/>
          <w:b/>
          <w:color w:val="3E3E3E"/>
          <w:sz w:val="24"/>
        </w:rPr>
        <w:t>바. 포지셔닝 분류</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1F4E5F"/>
          </w:tcPr>
          <w:p>
            <w:r/>
            <w:r>
              <w:rPr>
                <w:rFonts w:ascii="맑은 고딕" w:hAnsi="맑은 고딕" w:eastAsia="맑은 고딕"/>
                <w:b/>
                <w:color w:val="FFFFFF"/>
                <w:sz w:val="18"/>
              </w:rPr>
              <w:t>조건</w:t>
            </w:r>
          </w:p>
        </w:tc>
        <w:tc>
          <w:tcPr>
            <w:tcW w:type="dxa" w:w="4706"/>
            <w:vAlign w:val="center"/>
            <w:shd w:fill="1F4E5F"/>
          </w:tcPr>
          <w:p>
            <w:r/>
            <w:r>
              <w:rPr>
                <w:rFonts w:ascii="맑은 고딕" w:hAnsi="맑은 고딕" w:eastAsia="맑은 고딕"/>
                <w:b/>
                <w:color w:val="FFFFFF"/>
                <w:sz w:val="18"/>
              </w:rPr>
              <w:t>진단명</w:t>
            </w:r>
          </w:p>
        </w:tc>
      </w:tr>
      <w:tr>
        <w:tc>
          <w:tcPr>
            <w:tcW w:type="dxa" w:w="4706"/>
            <w:vAlign w:val="center"/>
          </w:tcPr>
          <w:p>
            <w:r/>
            <w:r>
              <w:rPr>
                <w:rFonts w:ascii="맑은 고딕" w:hAnsi="맑은 고딕" w:eastAsia="맑은 고딕"/>
                <w:b w:val="0"/>
                <w:sz w:val="17"/>
              </w:rPr>
              <w:t>관광수요 높음 / 상대가격 낮음</w:t>
            </w:r>
          </w:p>
        </w:tc>
        <w:tc>
          <w:tcPr>
            <w:tcW w:type="dxa" w:w="4706"/>
            <w:vAlign w:val="center"/>
          </w:tcPr>
          <w:p>
            <w:r/>
            <w:r>
              <w:rPr>
                <w:rFonts w:ascii="맑은 고딕" w:hAnsi="맑은 고딕" w:eastAsia="맑은 고딕"/>
                <w:b w:val="0"/>
                <w:sz w:val="17"/>
              </w:rPr>
              <w:t>수요 대비 저평가 후보</w:t>
            </w:r>
          </w:p>
        </w:tc>
      </w:tr>
      <w:tr>
        <w:tc>
          <w:tcPr>
            <w:tcW w:type="dxa" w:w="4706"/>
            <w:vAlign w:val="center"/>
          </w:tcPr>
          <w:p>
            <w:r/>
            <w:r>
              <w:rPr>
                <w:rFonts w:ascii="맑은 고딕" w:hAnsi="맑은 고딕" w:eastAsia="맑은 고딕"/>
                <w:b w:val="0"/>
                <w:sz w:val="17"/>
              </w:rPr>
              <w:t>관광수요 높음 / 상대가격 높음</w:t>
            </w:r>
          </w:p>
        </w:tc>
        <w:tc>
          <w:tcPr>
            <w:tcW w:type="dxa" w:w="4706"/>
            <w:vAlign w:val="center"/>
          </w:tcPr>
          <w:p>
            <w:r/>
            <w:r>
              <w:rPr>
                <w:rFonts w:ascii="맑은 고딕" w:hAnsi="맑은 고딕" w:eastAsia="맑은 고딕"/>
                <w:b w:val="0"/>
                <w:sz w:val="17"/>
              </w:rPr>
              <w:t>수요 프리미엄</w:t>
            </w:r>
          </w:p>
        </w:tc>
      </w:tr>
      <w:tr>
        <w:tc>
          <w:tcPr>
            <w:tcW w:type="dxa" w:w="4706"/>
            <w:vAlign w:val="center"/>
          </w:tcPr>
          <w:p>
            <w:r/>
            <w:r>
              <w:rPr>
                <w:rFonts w:ascii="맑은 고딕" w:hAnsi="맑은 고딕" w:eastAsia="맑은 고딕"/>
                <w:b w:val="0"/>
                <w:sz w:val="17"/>
              </w:rPr>
              <w:t>관광수요 낮음 / 상대가격 높음</w:t>
            </w:r>
          </w:p>
        </w:tc>
        <w:tc>
          <w:tcPr>
            <w:tcW w:type="dxa" w:w="4706"/>
            <w:vAlign w:val="center"/>
          </w:tcPr>
          <w:p>
            <w:r/>
            <w:r>
              <w:rPr>
                <w:rFonts w:ascii="맑은 고딕" w:hAnsi="맑은 고딕" w:eastAsia="맑은 고딕"/>
                <w:b w:val="0"/>
                <w:sz w:val="17"/>
              </w:rPr>
              <w:t>가격 부담</w:t>
            </w:r>
          </w:p>
        </w:tc>
      </w:tr>
      <w:tr>
        <w:tc>
          <w:tcPr>
            <w:tcW w:type="dxa" w:w="4706"/>
            <w:vAlign w:val="center"/>
          </w:tcPr>
          <w:p>
            <w:r/>
            <w:r>
              <w:rPr>
                <w:rFonts w:ascii="맑은 고딕" w:hAnsi="맑은 고딕" w:eastAsia="맑은 고딕"/>
                <w:b w:val="0"/>
                <w:sz w:val="17"/>
              </w:rPr>
              <w:t>관광수요 낮음 / 상대가격 낮음</w:t>
            </w:r>
          </w:p>
        </w:tc>
        <w:tc>
          <w:tcPr>
            <w:tcW w:type="dxa" w:w="4706"/>
            <w:vAlign w:val="center"/>
          </w:tcPr>
          <w:p>
            <w:r/>
            <w:r>
              <w:rPr>
                <w:rFonts w:ascii="맑은 고딕" w:hAnsi="맑은 고딕" w:eastAsia="맑은 고딕"/>
                <w:b w:val="0"/>
                <w:sz w:val="17"/>
              </w:rPr>
              <w:t>저가·수요 확인 필요</w:t>
            </w:r>
          </w:p>
        </w:tc>
      </w:tr>
    </w:tbl>
    <w:p/>
    <w:p>
      <w:pPr>
        <w:spacing w:before="120" w:after="80"/>
      </w:pPr>
      <w:r>
        <w:rPr>
          <w:rFonts w:ascii="맑은 고딕" w:hAnsi="맑은 고딕" w:eastAsia="맑은 고딕"/>
          <w:b/>
          <w:color w:val="3E3E3E"/>
          <w:sz w:val="24"/>
        </w:rPr>
        <w:t>사. 청구항 골격(요약)</w:t>
      </w:r>
    </w:p>
    <w:p>
      <w:pPr>
        <w:spacing w:line="324" w:lineRule="auto" w:after="80"/>
      </w:pPr>
      <w:r>
        <w:rPr>
          <w:rFonts w:ascii="맑은 고딕" w:hAnsi="맑은 고딕" w:eastAsia="맑은 고딕"/>
          <w:sz w:val="20"/>
        </w:rPr>
        <w:t>독립 시스템항: 대상 숙박시설의 검증된 입력자료를 취득하는 입력부, 기준값을 생성·선택하는 기준부, 핵심 지표를 산출하는 연산부, 결측·충돌을 판정하는 검증부, 사분면과 근거정보를 출력하는 진단부의 결합으로 구성한다.</w:t>
      </w:r>
    </w:p>
    <w:p>
      <w:pPr>
        <w:spacing w:line="324" w:lineRule="auto" w:after="80"/>
      </w:pPr>
      <w:r>
        <w:rPr>
          <w:rFonts w:ascii="맑은 고딕" w:hAnsi="맑은 고딕" w:eastAsia="맑은 고딕"/>
          <w:sz w:val="20"/>
        </w:rPr>
        <w:t>독립 방법항: 입력자료 취득 → 유효성 및 정합성 검증 → 대상값·기준값 산출 → 기준선 대비 위치 판정 → 근거·출처·부족사유와 함께 결과 제공의 순서로 구성한다.</w:t>
      </w:r>
    </w:p>
    <w:p>
      <w:pPr>
        <w:spacing w:line="324" w:lineRule="auto" w:after="80"/>
      </w:pPr>
      <w:r>
        <w:rPr>
          <w:rFonts w:ascii="맑은 고딕" w:hAnsi="맑은 고딕" w:eastAsia="맑은 고딕"/>
          <w:sz w:val="20"/>
        </w:rPr>
        <w:t>주요 종속항 후보:</w:t>
      </w:r>
    </w:p>
    <w:p>
      <w:pPr>
        <w:pStyle w:val="ListNumber"/>
        <w:spacing w:line="300" w:lineRule="auto" w:after="40"/>
      </w:pPr>
      <w:r>
        <w:rPr>
          <w:rFonts w:ascii="맑은 고딕" w:hAnsi="맑은 고딕" w:eastAsia="맑은 고딕"/>
          <w:sz w:val="19"/>
        </w:rPr>
        <w:t>정확 연결된 숙박시설 실거래만을 대상으로 건물별 단위면적당 가격 중앙값을 생성하는 구성</w:t>
      </w:r>
    </w:p>
    <w:p>
      <w:pPr>
        <w:pStyle w:val="ListNumber"/>
        <w:spacing w:line="300" w:lineRule="auto" w:after="40"/>
      </w:pPr>
      <w:r>
        <w:rPr>
          <w:rFonts w:ascii="맑은 고딕" w:hAnsi="맑은 고딕" w:eastAsia="맑은 고딕"/>
          <w:sz w:val="19"/>
        </w:rPr>
        <w:t>비교건물의 가격을 거래건수만큼 반복 반영하지 않고 건물별 대표가격을 1회씩 반영하는 구성</w:t>
      </w:r>
    </w:p>
    <w:p>
      <w:pPr>
        <w:pStyle w:val="ListNumber"/>
        <w:spacing w:line="300" w:lineRule="auto" w:after="40"/>
      </w:pPr>
      <w:r>
        <w:rPr>
          <w:rFonts w:ascii="맑은 고딕" w:hAnsi="맑은 고딕" w:eastAsia="맑은 고딕"/>
          <w:sz w:val="19"/>
        </w:rPr>
        <w:t>동일유형 비교군을 시군구→시도→전국 순으로 확장하고 최소 표본조건을 충족한 범위를 자동 선택하는 구성</w:t>
      </w:r>
    </w:p>
    <w:p>
      <w:pPr>
        <w:pStyle w:val="ListNumber"/>
        <w:spacing w:line="300" w:lineRule="auto" w:after="40"/>
      </w:pPr>
      <w:r>
        <w:rPr>
          <w:rFonts w:ascii="맑은 고딕" w:hAnsi="맑은 고딕" w:eastAsia="맑은 고딕"/>
          <w:sz w:val="19"/>
        </w:rPr>
        <w:t>관광수요 전국 백분위와 유사자산 대비 가격격차율을 서로 다른 축으로 결합해 사분면을 생성하는 구성</w:t>
      </w:r>
    </w:p>
    <w:p>
      <w:pPr>
        <w:pStyle w:val="ListNumber"/>
        <w:spacing w:line="300" w:lineRule="auto" w:after="40"/>
      </w:pPr>
      <w:r>
        <w:rPr>
          <w:rFonts w:ascii="맑은 고딕" w:hAnsi="맑은 고딕" w:eastAsia="맑은 고딕"/>
          <w:sz w:val="19"/>
        </w:rPr>
        <w:t>사분면·가격할인폭·표본신뢰도·공개매물 가격을 조합해 복수 유형의 투자후보군을 생성하고 순위를 부여하는 구성</w:t>
      </w:r>
    </w:p>
    <w:p>
      <w:pPr>
        <w:pStyle w:val="ListNumber"/>
        <w:spacing w:line="300" w:lineRule="auto" w:after="40"/>
      </w:pPr>
      <w:r>
        <w:rPr>
          <w:rFonts w:ascii="맑은 고딕" w:hAnsi="맑은 고딕" w:eastAsia="맑은 고딕"/>
          <w:sz w:val="19"/>
        </w:rPr>
        <w:t>원장 버전, 분석 기준일, 분석기간 및 비교군 키를 포함하는 캐시 검증과 산출근거 표시 구성</w:t>
      </w:r>
    </w:p>
    <w:p>
      <w:pPr>
        <w:spacing w:before="120" w:after="80"/>
      </w:pPr>
      <w:r>
        <w:rPr>
          <w:rFonts w:ascii="맑은 고딕" w:hAnsi="맑은 고딕" w:eastAsia="맑은 고딕"/>
          <w:b/>
          <w:color w:val="3E3E3E"/>
          <w:sz w:val="24"/>
        </w:rPr>
        <w:t>아. 기대효과</w:t>
      </w:r>
    </w:p>
    <w:p>
      <w:pPr>
        <w:pStyle w:val="ListBullet"/>
        <w:spacing w:line="300" w:lineRule="auto" w:after="40"/>
      </w:pPr>
      <w:r>
        <w:rPr>
          <w:rFonts w:ascii="맑은 고딕" w:hAnsi="맑은 고딕" w:eastAsia="맑은 고딕"/>
          <w:sz w:val="19"/>
        </w:rPr>
        <w:t>관광수요가 높은 지역의 저평가 가능성과 수요가 낮은 지역의 단순 저가를 구분할 수 있다.</w:t>
      </w:r>
    </w:p>
    <w:p>
      <w:pPr>
        <w:pStyle w:val="ListBullet"/>
        <w:spacing w:line="300" w:lineRule="auto" w:after="40"/>
      </w:pPr>
      <w:r>
        <w:rPr>
          <w:rFonts w:ascii="맑은 고딕" w:hAnsi="맑은 고딕" w:eastAsia="맑은 고딕"/>
          <w:sz w:val="19"/>
        </w:rPr>
        <w:t>건물별 중앙값 및 계층형 비교군을 사용하여 거래 집중과 이상치에 대한 민감도를 낮출 수 있다.</w:t>
      </w:r>
    </w:p>
    <w:p>
      <w:pPr>
        <w:pStyle w:val="ListBullet"/>
        <w:spacing w:line="300" w:lineRule="auto" w:after="40"/>
      </w:pPr>
      <w:r>
        <w:rPr>
          <w:rFonts w:ascii="맑은 고딕" w:hAnsi="맑은 고딕" w:eastAsia="맑은 고딕"/>
          <w:sz w:val="19"/>
        </w:rPr>
        <w:t>유일 지번·정확 호실 거래만 사용함으로써 동일 거래의 중복 귀속을 줄일 수 있다.</w:t>
      </w:r>
    </w:p>
    <w:p>
      <w:pPr>
        <w:pStyle w:val="ListBullet"/>
        <w:spacing w:line="300" w:lineRule="auto" w:after="40"/>
      </w:pPr>
      <w:r>
        <w:rPr>
          <w:rFonts w:ascii="맑은 고딕" w:hAnsi="맑은 고딕" w:eastAsia="맑은 고딕"/>
          <w:sz w:val="19"/>
        </w:rPr>
        <w:t>자료 부족을 임의 추정하지 않고 표본 수준과 비교범위를 함께 제시하여 분석의 재현성과 설명가능성을 높인다.</w:t>
      </w:r>
    </w:p>
    <w:p>
      <w:pPr>
        <w:spacing w:before="120" w:after="80"/>
      </w:pPr>
      <w:r>
        <w:rPr>
          <w:rFonts w:ascii="맑은 고딕" w:hAnsi="맑은 고딕" w:eastAsia="맑은 고딕"/>
          <w:b/>
          <w:color w:val="3E3E3E"/>
          <w:sz w:val="24"/>
        </w:rPr>
        <w:t>자. 도면 제안</w:t>
      </w:r>
    </w:p>
    <w:p>
      <w:pPr>
        <w:pStyle w:val="ListBullet"/>
        <w:spacing w:line="300" w:lineRule="auto" w:after="40"/>
      </w:pPr>
      <w:r>
        <w:rPr>
          <w:rFonts w:ascii="맑은 고딕" w:hAnsi="맑은 고딕" w:eastAsia="맑은 고딕"/>
          <w:sz w:val="19"/>
        </w:rPr>
        <w:t>도 1: 투자 포지셔닝 진단 시스템 구성도</w:t>
      </w:r>
    </w:p>
    <w:p>
      <w:pPr>
        <w:pStyle w:val="ListBullet"/>
        <w:spacing w:line="300" w:lineRule="auto" w:after="40"/>
      </w:pPr>
      <w:r>
        <w:rPr>
          <w:rFonts w:ascii="맑은 고딕" w:hAnsi="맑은 고딕" w:eastAsia="맑은 고딕"/>
          <w:sz w:val="19"/>
        </w:rPr>
        <w:t>도 2: 정확 거래 연결 및 건물별 중앙가격 산출 흐름도</w:t>
      </w:r>
    </w:p>
    <w:p>
      <w:pPr>
        <w:pStyle w:val="ListBullet"/>
        <w:spacing w:line="300" w:lineRule="auto" w:after="40"/>
      </w:pPr>
      <w:r>
        <w:rPr>
          <w:rFonts w:ascii="맑은 고딕" w:hAnsi="맑은 고딕" w:eastAsia="맑은 고딕"/>
          <w:sz w:val="19"/>
        </w:rPr>
        <w:t>도 3: 시군구·시도·전국 계층형 유사자산 비교군 선택도</w:t>
      </w:r>
    </w:p>
    <w:p>
      <w:pPr>
        <w:pStyle w:val="ListBullet"/>
        <w:spacing w:line="300" w:lineRule="auto" w:after="40"/>
      </w:pPr>
      <w:r>
        <w:rPr>
          <w:rFonts w:ascii="맑은 고딕" w:hAnsi="맑은 고딕" w:eastAsia="맑은 고딕"/>
          <w:sz w:val="19"/>
        </w:rPr>
        <w:t>도 4: 관광수요×상대가격 4사분면 및 후보군 생성도</w:t>
      </w:r>
    </w:p>
    <w:p>
      <w:pPr>
        <w:spacing w:before="120" w:after="80"/>
      </w:pPr>
      <w:r>
        <w:rPr>
          <w:rFonts w:ascii="맑은 고딕" w:hAnsi="맑은 고딕" w:eastAsia="맑은 고딕"/>
          <w:b/>
          <w:color w:val="3E3E3E"/>
          <w:sz w:val="24"/>
        </w:rPr>
        <w:t>차. 요약서 초안</w:t>
      </w:r>
    </w:p>
    <w:p>
      <w:pPr>
        <w:spacing w:line="324" w:lineRule="auto" w:after="80"/>
      </w:pPr>
      <w:r>
        <w:rPr>
          <w:rFonts w:ascii="맑은 고딕" w:hAnsi="맑은 고딕" w:eastAsia="맑은 고딕"/>
          <w:sz w:val="20"/>
        </w:rPr>
        <w:t>본 발명은 관광수요와 유사자산 상대가격을 결합하여 숙박부동산의 투자 포지셔닝을 진단하는 시스템 및 방법에 관한 것이다. 시스템은 공적 실거래 중 시군구코드·법정동·지번에 의해 유일 건물에 정확히 연결되는 호실형 거래를 선별하고, 건물별 단위면적당 가격 중앙값을 산출한다. 동일 숙박유형의 비교건물을 시군구, 시도 및 전국 순으로 확장하여 최소 표본조건을 충족하는 비교범위를 선택하고, 비교건물별 중앙가격을 한 번씩 반영하여 유사자산 대표가격과 대상가격의 격차율을 산출한다. 또한 시군구 방문자 수의 전국 백분위로 관광수요 지수를 생성하고, 관광수요와 가격격차율을 기준으로 사분면을 분류한다. 분석결과에는 표본 수준, 비교범위, 원장기간 및 출처가 포함되며, 수요 대비 저평가, 고신뢰 할인 및 공개 급매 후보를 구분하여 제공한다.</w:t>
      </w:r>
    </w:p>
    <w:p>
      <w:r>
        <w:br w:type="page"/>
      </w:r>
    </w:p>
    <w:p>
      <w:pPr>
        <w:spacing w:before="200" w:after="80"/>
      </w:pPr>
      <w:r>
        <w:rPr>
          <w:rFonts w:ascii="맑은 고딕" w:hAnsi="맑은 고딕" w:eastAsia="맑은 고딕"/>
          <w:b/>
          <w:color w:val="1F4E5F"/>
          <w:sz w:val="30"/>
        </w:rPr>
        <w:t>2.2 발명 2 — HS-RI 숙박부동산 임대수익 포지셔닝</w:t>
      </w:r>
    </w:p>
    <w:p>
      <w:pPr>
        <w:spacing w:before="120" w:after="80"/>
      </w:pPr>
      <w:r>
        <w:rPr>
          <w:rFonts w:ascii="맑은 고딕" w:hAnsi="맑은 고딕" w:eastAsia="맑은 고딕"/>
          <w:b/>
          <w:color w:val="3E3E3E"/>
          <w:sz w:val="24"/>
        </w:rPr>
        <w:t>가. 발명의 명칭</w:t>
      </w:r>
    </w:p>
    <w:p>
      <w:pPr>
        <w:spacing w:line="324" w:lineRule="auto" w:after="80"/>
      </w:pPr>
      <w:r>
        <w:rPr>
          <w:rFonts w:ascii="맑은 고딕" w:hAnsi="맑은 고딕" w:eastAsia="맑은 고딕"/>
          <w:sz w:val="20"/>
        </w:rPr>
        <w:t>국문: 공공 임대수익 기준선과 부채상환비율을 이용한 숙박부동산 임대수익 포지셔닝 진단 시스템 및 방법</w:t>
      </w:r>
    </w:p>
    <w:p>
      <w:pPr>
        <w:spacing w:line="324" w:lineRule="auto" w:after="80"/>
      </w:pPr>
      <w:r>
        <w:rPr>
          <w:rFonts w:ascii="맑은 고딕" w:hAnsi="맑은 고딕" w:eastAsia="맑은 고딕"/>
          <w:sz w:val="20"/>
        </w:rPr>
        <w:t>영문: System and Method for Diagnosing Rental-Income Positioning of Lodging Real Estate Using Public Yield Benchmarks and Debt Service Coverage Ratio</w:t>
      </w:r>
    </w:p>
    <w:p>
      <w:pPr>
        <w:spacing w:before="120" w:after="80"/>
      </w:pPr>
      <w:r>
        <w:rPr>
          <w:rFonts w:ascii="맑은 고딕" w:hAnsi="맑은 고딕" w:eastAsia="맑은 고딕"/>
          <w:b/>
          <w:color w:val="3E3E3E"/>
          <w:sz w:val="24"/>
        </w:rPr>
        <w:t>나. 기술분야</w:t>
      </w:r>
    </w:p>
    <w:p>
      <w:pPr>
        <w:spacing w:line="324" w:lineRule="auto" w:after="80"/>
      </w:pPr>
      <w:r>
        <w:rPr>
          <w:rFonts w:ascii="맑은 고딕" w:hAnsi="맑은 고딕" w:eastAsia="맑은 고딕"/>
          <w:sz w:val="20"/>
        </w:rPr>
        <w:t>본 발명은 숙박부동산의 임대수익성과 부채상환 안정성을 통합 분석하는 기술에 관한 것으로, 최근 실거래 중앙값을 시장가 기준으로 선택하고 임대수입·공실·보유비용·대출조건으로부터 NOI, 순소득수익률, 순현금흐름 및 DSCR을 계산한 뒤 공공 임대수익 기준선과 비교하여 포지셔닝을 제공하는 시스템 및 방법에 관한 것이다.</w:t>
      </w:r>
    </w:p>
    <w:p>
      <w:pPr>
        <w:spacing w:before="120" w:after="80"/>
      </w:pPr>
      <w:r>
        <w:rPr>
          <w:rFonts w:ascii="맑은 고딕" w:hAnsi="맑은 고딕" w:eastAsia="맑은 고딕"/>
          <w:b/>
          <w:color w:val="3E3E3E"/>
          <w:sz w:val="24"/>
        </w:rPr>
        <w:t>다. 해결하려는 과제</w:t>
      </w:r>
    </w:p>
    <w:p>
      <w:pPr>
        <w:pStyle w:val="ListNumber"/>
        <w:spacing w:line="300" w:lineRule="auto" w:after="40"/>
      </w:pPr>
      <w:r>
        <w:rPr>
          <w:rFonts w:ascii="맑은 고딕" w:hAnsi="맑은 고딕" w:eastAsia="맑은 고딕"/>
          <w:sz w:val="19"/>
        </w:rPr>
        <w:t>단순 표면수익률은 공실, 관리비, 보유세 및 금융비용을 반영하지 않아 실제 현금흐름과 차이가 크다.</w:t>
      </w:r>
    </w:p>
    <w:p>
      <w:pPr>
        <w:pStyle w:val="ListNumber"/>
        <w:spacing w:line="300" w:lineRule="auto" w:after="40"/>
      </w:pPr>
      <w:r>
        <w:rPr>
          <w:rFonts w:ascii="맑은 고딕" w:hAnsi="맑은 고딕" w:eastAsia="맑은 고딕"/>
          <w:sz w:val="19"/>
        </w:rPr>
        <w:t>숙박부동산 자체의 충분한 공식 임대수익 기준이 부족하여 비교 기준선의 출처와 대체 관계를 명확히 해야 한다.</w:t>
      </w:r>
    </w:p>
    <w:p>
      <w:pPr>
        <w:pStyle w:val="ListNumber"/>
        <w:spacing w:line="300" w:lineRule="auto" w:after="40"/>
      </w:pPr>
      <w:r>
        <w:rPr>
          <w:rFonts w:ascii="맑은 고딕" w:hAnsi="맑은 고딕" w:eastAsia="맑은 고딕"/>
          <w:sz w:val="19"/>
        </w:rPr>
        <w:t>시장가격, 임대조건 및 대출조건이 서로 다른 기준으로 계산되면 수익률과 DSCR의 비교가 왜곡된다.</w:t>
      </w:r>
    </w:p>
    <w:p>
      <w:pPr>
        <w:pStyle w:val="ListNumber"/>
        <w:spacing w:line="300" w:lineRule="auto" w:after="40"/>
      </w:pPr>
      <w:r>
        <w:rPr>
          <w:rFonts w:ascii="맑은 고딕" w:hAnsi="맑은 고딕" w:eastAsia="맑은 고딕"/>
          <w:sz w:val="19"/>
        </w:rPr>
        <w:t>기준자료가 없을 때 공실률을 0으로 간주하는 방식은 수익성을 과대평가하므로 판정보류 절차가 필요하다.</w:t>
      </w:r>
    </w:p>
    <w:p>
      <w:pPr>
        <w:spacing w:before="120" w:after="80"/>
      </w:pPr>
      <w:r>
        <w:rPr>
          <w:rFonts w:ascii="맑은 고딕" w:hAnsi="맑은 고딕" w:eastAsia="맑은 고딕"/>
          <w:b/>
          <w:color w:val="3E3E3E"/>
          <w:sz w:val="24"/>
        </w:rPr>
        <w:t>라. 핵심 처리 흐름</w:t>
      </w:r>
    </w:p>
    <w:p>
      <w:pPr>
        <w:pStyle w:val="ListNumber"/>
        <w:spacing w:line="300" w:lineRule="auto" w:after="40"/>
      </w:pPr>
      <w:r>
        <w:rPr>
          <w:rFonts w:ascii="맑은 고딕" w:hAnsi="맑은 고딕" w:eastAsia="맑은 고딕"/>
          <w:sz w:val="19"/>
        </w:rPr>
        <w:t>대상 건물의 최근 실거래 중 동일면적 거래를 우선하고, 부족한 경우 유사면적 거래를 사용하여 설정기간(일 실시예: 36개월)의 가격 중앙값을 시장가 기준으로 생성한다.</w:t>
      </w:r>
    </w:p>
    <w:p>
      <w:pPr>
        <w:pStyle w:val="ListNumber"/>
        <w:spacing w:line="300" w:lineRule="auto" w:after="40"/>
      </w:pPr>
      <w:r>
        <w:rPr>
          <w:rFonts w:ascii="맑은 고딕" w:hAnsi="맑은 고딕" w:eastAsia="맑은 고딕"/>
          <w:sz w:val="19"/>
        </w:rPr>
        <w:t>사용자로부터 월 임대료, 공실개월, 연간 보유세·관리비·기타비용, 자기자본, 대출금리, 대출기간 등의 입력을 수신한다.</w:t>
      </w:r>
    </w:p>
    <w:p>
      <w:pPr>
        <w:pStyle w:val="ListNumber"/>
        <w:spacing w:line="300" w:lineRule="auto" w:after="40"/>
      </w:pPr>
      <w:r>
        <w:rPr>
          <w:rFonts w:ascii="맑은 고딕" w:hAnsi="맑은 고딕" w:eastAsia="맑은 고딕"/>
          <w:sz w:val="19"/>
        </w:rPr>
        <w:t>연임대료, 유효임대료, NOI, 연간 부채상환액, 월 순현금흐름, 자기자본수익률, 시장가 기준 순소득수익률 및 DSCR을 산출한다.</w:t>
      </w:r>
    </w:p>
    <w:p>
      <w:pPr>
        <w:pStyle w:val="ListNumber"/>
        <w:spacing w:line="300" w:lineRule="auto" w:after="40"/>
      </w:pPr>
      <w:r>
        <w:rPr>
          <w:rFonts w:ascii="맑은 고딕" w:hAnsi="맑은 고딕" w:eastAsia="맑은 고딕"/>
          <w:sz w:val="19"/>
        </w:rPr>
        <w:t>공식 부동산 통계에서 오피스텔 수익률 기준을 시군구, 시도, 전국 순으로 선택하고, 공실률은 사용자 직접입력을 우선하되 미입력 시 명시된 대체 자산군의 최신 공실률을 사용한다.</w:t>
      </w:r>
    </w:p>
    <w:p>
      <w:pPr>
        <w:pStyle w:val="ListNumber"/>
        <w:spacing w:line="300" w:lineRule="auto" w:after="40"/>
      </w:pPr>
      <w:r>
        <w:rPr>
          <w:rFonts w:ascii="맑은 고딕" w:hAnsi="맑은 고딕" w:eastAsia="맑은 고딕"/>
          <w:sz w:val="19"/>
        </w:rPr>
        <w:t>데이터베이스의 최신 기준값이 없으면 사전 검증된 날짜표시 스냅샷을 사용하고 그 적용 사실을 결과에 표시한다.</w:t>
      </w:r>
    </w:p>
    <w:p>
      <w:pPr>
        <w:pStyle w:val="ListNumber"/>
        <w:spacing w:line="300" w:lineRule="auto" w:after="40"/>
      </w:pPr>
      <w:r>
        <w:rPr>
          <w:rFonts w:ascii="맑은 고딕" w:hAnsi="맑은 고딕" w:eastAsia="맑은 고딕"/>
          <w:sz w:val="19"/>
        </w:rPr>
        <w:t>수익률 기준선 또는 공실 기준을 확보하지 못하면 임의의 0값을 넣지 않고 진단을 보류한다.</w:t>
      </w:r>
    </w:p>
    <w:p>
      <w:pPr>
        <w:pStyle w:val="ListNumber"/>
        <w:spacing w:line="300" w:lineRule="auto" w:after="40"/>
      </w:pPr>
      <w:r>
        <w:rPr>
          <w:rFonts w:ascii="맑은 고딕" w:hAnsi="맑은 고딕" w:eastAsia="맑은 고딕"/>
          <w:sz w:val="19"/>
        </w:rPr>
        <w:t>시장가 기준 순소득수익률과 공실안정성을 두 축으로 사분면을 생성하고 재무지표·출처·기준기간·대체기준 고지를 함께 출력한다.</w:t>
      </w:r>
    </w:p>
    <w:p>
      <w:pPr>
        <w:spacing w:before="120" w:after="80"/>
      </w:pPr>
      <w:r>
        <w:rPr>
          <w:rFonts w:ascii="맑은 고딕" w:hAnsi="맑은 고딕" w:eastAsia="맑은 고딕"/>
          <w:b/>
          <w:color w:val="3E3E3E"/>
          <w:sz w:val="24"/>
        </w:rPr>
        <w:t>마. 주요 산식</w:t>
      </w:r>
    </w:p>
    <w:p>
      <w:pPr>
        <w:pStyle w:val="ListBullet"/>
        <w:spacing w:line="300" w:lineRule="auto" w:after="40"/>
      </w:pPr>
      <w:r>
        <w:rPr>
          <w:rFonts w:ascii="맑은 고딕" w:hAnsi="맑은 고딕" w:eastAsia="맑은 고딕"/>
          <w:sz w:val="19"/>
        </w:rPr>
        <w:t>연임대료 = 월 임대료 × 12</w:t>
      </w:r>
    </w:p>
    <w:p>
      <w:pPr>
        <w:pStyle w:val="ListBullet"/>
        <w:spacing w:line="300" w:lineRule="auto" w:after="40"/>
      </w:pPr>
      <w:r>
        <w:rPr>
          <w:rFonts w:ascii="맑은 고딕" w:hAnsi="맑은 고딕" w:eastAsia="맑은 고딕"/>
          <w:sz w:val="19"/>
        </w:rPr>
        <w:t>유효임대료 = 연임대료 × (1 − 공실개월 ÷ 12)</w:t>
      </w:r>
    </w:p>
    <w:p>
      <w:pPr>
        <w:pStyle w:val="ListBullet"/>
        <w:spacing w:line="300" w:lineRule="auto" w:after="40"/>
      </w:pPr>
      <w:r>
        <w:rPr>
          <w:rFonts w:ascii="맑은 고딕" w:hAnsi="맑은 고딕" w:eastAsia="맑은 고딕"/>
          <w:sz w:val="19"/>
        </w:rPr>
        <w:t>NOI = 유효임대료 − 연간 보유세 − 연간 관리비 − 기타 연간비용</w:t>
      </w:r>
    </w:p>
    <w:p>
      <w:pPr>
        <w:pStyle w:val="ListBullet"/>
        <w:spacing w:line="300" w:lineRule="auto" w:after="40"/>
      </w:pPr>
      <w:r>
        <w:rPr>
          <w:rFonts w:ascii="맑은 고딕" w:hAnsi="맑은 고딕" w:eastAsia="맑은 고딕"/>
          <w:sz w:val="19"/>
        </w:rPr>
        <w:t>시장가 기준 순소득수익률 = NOI ÷ 실거래 기반 시장가 × 100</w:t>
      </w:r>
    </w:p>
    <w:p>
      <w:pPr>
        <w:pStyle w:val="ListBullet"/>
        <w:spacing w:line="300" w:lineRule="auto" w:after="40"/>
      </w:pPr>
      <w:r>
        <w:rPr>
          <w:rFonts w:ascii="맑은 고딕" w:hAnsi="맑은 고딕" w:eastAsia="맑은 고딕"/>
          <w:sz w:val="19"/>
        </w:rPr>
        <w:t>월 순현금흐름 = (NOI − 연간 부채상환액) ÷ 12</w:t>
      </w:r>
    </w:p>
    <w:p>
      <w:pPr>
        <w:pStyle w:val="ListBullet"/>
        <w:spacing w:line="300" w:lineRule="auto" w:after="40"/>
      </w:pPr>
      <w:r>
        <w:rPr>
          <w:rFonts w:ascii="맑은 고딕" w:hAnsi="맑은 고딕" w:eastAsia="맑은 고딕"/>
          <w:sz w:val="19"/>
        </w:rPr>
        <w:t>DSCR = NOI ÷ 연간 부채상환액</w:t>
      </w:r>
    </w:p>
    <w:p>
      <w:pPr>
        <w:pStyle w:val="ListBullet"/>
        <w:spacing w:line="300" w:lineRule="auto" w:after="40"/>
      </w:pPr>
      <w:r>
        <w:rPr>
          <w:rFonts w:ascii="맑은 고딕" w:hAnsi="맑은 고딕" w:eastAsia="맑은 고딕"/>
          <w:sz w:val="19"/>
        </w:rPr>
        <w:t>공실안정성 = 100 − 공실률</w:t>
      </w:r>
    </w:p>
    <w:p>
      <w:pPr>
        <w:spacing w:before="120" w:after="80"/>
      </w:pPr>
      <w:r>
        <w:rPr>
          <w:rFonts w:ascii="맑은 고딕" w:hAnsi="맑은 고딕" w:eastAsia="맑은 고딕"/>
          <w:b/>
          <w:color w:val="3E3E3E"/>
          <w:sz w:val="24"/>
        </w:rPr>
        <w:t>바. 포지셔닝 분류</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1F4E5F"/>
          </w:tcPr>
          <w:p>
            <w:r/>
            <w:r>
              <w:rPr>
                <w:rFonts w:ascii="맑은 고딕" w:hAnsi="맑은 고딕" w:eastAsia="맑은 고딕"/>
                <w:b/>
                <w:color w:val="FFFFFF"/>
                <w:sz w:val="18"/>
              </w:rPr>
              <w:t>조건</w:t>
            </w:r>
          </w:p>
        </w:tc>
        <w:tc>
          <w:tcPr>
            <w:tcW w:type="dxa" w:w="4706"/>
            <w:vAlign w:val="center"/>
            <w:shd w:fill="1F4E5F"/>
          </w:tcPr>
          <w:p>
            <w:r/>
            <w:r>
              <w:rPr>
                <w:rFonts w:ascii="맑은 고딕" w:hAnsi="맑은 고딕" w:eastAsia="맑은 고딕"/>
                <w:b/>
                <w:color w:val="FFFFFF"/>
                <w:sz w:val="18"/>
              </w:rPr>
              <w:t>진단명</w:t>
            </w:r>
          </w:p>
        </w:tc>
      </w:tr>
      <w:tr>
        <w:tc>
          <w:tcPr>
            <w:tcW w:type="dxa" w:w="4706"/>
            <w:vAlign w:val="center"/>
          </w:tcPr>
          <w:p>
            <w:r/>
            <w:r>
              <w:rPr>
                <w:rFonts w:ascii="맑은 고딕" w:hAnsi="맑은 고딕" w:eastAsia="맑은 고딕"/>
                <w:b w:val="0"/>
                <w:sz w:val="17"/>
              </w:rPr>
              <w:t>수익률 높음 / 공실안정성 높음</w:t>
            </w:r>
          </w:p>
        </w:tc>
        <w:tc>
          <w:tcPr>
            <w:tcW w:type="dxa" w:w="4706"/>
            <w:vAlign w:val="center"/>
          </w:tcPr>
          <w:p>
            <w:r/>
            <w:r>
              <w:rPr>
                <w:rFonts w:ascii="맑은 고딕" w:hAnsi="맑은 고딕" w:eastAsia="맑은 고딕"/>
                <w:b w:val="0"/>
                <w:sz w:val="17"/>
              </w:rPr>
              <w:t>고수익·안정형</w:t>
            </w:r>
          </w:p>
        </w:tc>
      </w:tr>
      <w:tr>
        <w:tc>
          <w:tcPr>
            <w:tcW w:type="dxa" w:w="4706"/>
            <w:vAlign w:val="center"/>
          </w:tcPr>
          <w:p>
            <w:r/>
            <w:r>
              <w:rPr>
                <w:rFonts w:ascii="맑은 고딕" w:hAnsi="맑은 고딕" w:eastAsia="맑은 고딕"/>
                <w:b w:val="0"/>
                <w:sz w:val="17"/>
              </w:rPr>
              <w:t>수익률 높음 / 공실안정성 낮음</w:t>
            </w:r>
          </w:p>
        </w:tc>
        <w:tc>
          <w:tcPr>
            <w:tcW w:type="dxa" w:w="4706"/>
            <w:vAlign w:val="center"/>
          </w:tcPr>
          <w:p>
            <w:r/>
            <w:r>
              <w:rPr>
                <w:rFonts w:ascii="맑은 고딕" w:hAnsi="맑은 고딕" w:eastAsia="맑은 고딕"/>
                <w:b w:val="0"/>
                <w:sz w:val="17"/>
              </w:rPr>
              <w:t>고수익·위험형</w:t>
            </w:r>
          </w:p>
        </w:tc>
      </w:tr>
      <w:tr>
        <w:tc>
          <w:tcPr>
            <w:tcW w:type="dxa" w:w="4706"/>
            <w:vAlign w:val="center"/>
          </w:tcPr>
          <w:p>
            <w:r/>
            <w:r>
              <w:rPr>
                <w:rFonts w:ascii="맑은 고딕" w:hAnsi="맑은 고딕" w:eastAsia="맑은 고딕"/>
                <w:b w:val="0"/>
                <w:sz w:val="17"/>
              </w:rPr>
              <w:t>수익률 낮음 / 공실안정성 높음</w:t>
            </w:r>
          </w:p>
        </w:tc>
        <w:tc>
          <w:tcPr>
            <w:tcW w:type="dxa" w:w="4706"/>
            <w:vAlign w:val="center"/>
          </w:tcPr>
          <w:p>
            <w:r/>
            <w:r>
              <w:rPr>
                <w:rFonts w:ascii="맑은 고딕" w:hAnsi="맑은 고딕" w:eastAsia="맑은 고딕"/>
                <w:b w:val="0"/>
                <w:sz w:val="17"/>
              </w:rPr>
              <w:t>안정·저수익형</w:t>
            </w:r>
          </w:p>
        </w:tc>
      </w:tr>
      <w:tr>
        <w:tc>
          <w:tcPr>
            <w:tcW w:type="dxa" w:w="4706"/>
            <w:vAlign w:val="center"/>
          </w:tcPr>
          <w:p>
            <w:r/>
            <w:r>
              <w:rPr>
                <w:rFonts w:ascii="맑은 고딕" w:hAnsi="맑은 고딕" w:eastAsia="맑은 고딕"/>
                <w:b w:val="0"/>
                <w:sz w:val="17"/>
              </w:rPr>
              <w:t>수익률 낮음 / 공실안정성 낮음</w:t>
            </w:r>
          </w:p>
        </w:tc>
        <w:tc>
          <w:tcPr>
            <w:tcW w:type="dxa" w:w="4706"/>
            <w:vAlign w:val="center"/>
          </w:tcPr>
          <w:p>
            <w:r/>
            <w:r>
              <w:rPr>
                <w:rFonts w:ascii="맑은 고딕" w:hAnsi="맑은 고딕" w:eastAsia="맑은 고딕"/>
                <w:b w:val="0"/>
                <w:sz w:val="17"/>
              </w:rPr>
              <w:t>수익개선 필요형</w:t>
            </w:r>
          </w:p>
        </w:tc>
      </w:tr>
    </w:tbl>
    <w:p/>
    <w:p>
      <w:pPr>
        <w:spacing w:before="120" w:after="80"/>
      </w:pPr>
      <w:r>
        <w:rPr>
          <w:rFonts w:ascii="맑은 고딕" w:hAnsi="맑은 고딕" w:eastAsia="맑은 고딕"/>
          <w:b/>
          <w:color w:val="3E3E3E"/>
          <w:sz w:val="24"/>
        </w:rPr>
        <w:t>사. 청구항 골격(요약)</w:t>
      </w:r>
    </w:p>
    <w:p>
      <w:pPr>
        <w:spacing w:line="324" w:lineRule="auto" w:after="80"/>
      </w:pPr>
      <w:r>
        <w:rPr>
          <w:rFonts w:ascii="맑은 고딕" w:hAnsi="맑은 고딕" w:eastAsia="맑은 고딕"/>
          <w:sz w:val="20"/>
        </w:rPr>
        <w:t>독립 시스템항: 대상 숙박시설의 검증된 입력자료를 취득하는 입력부, 기준값을 생성·선택하는 기준부, 핵심 지표를 산출하는 연산부, 결측·충돌을 판정하는 검증부, 사분면과 근거정보를 출력하는 진단부의 결합으로 구성한다.</w:t>
      </w:r>
    </w:p>
    <w:p>
      <w:pPr>
        <w:spacing w:line="324" w:lineRule="auto" w:after="80"/>
      </w:pPr>
      <w:r>
        <w:rPr>
          <w:rFonts w:ascii="맑은 고딕" w:hAnsi="맑은 고딕" w:eastAsia="맑은 고딕"/>
          <w:sz w:val="20"/>
        </w:rPr>
        <w:t>독립 방법항: 입력자료 취득 → 유효성 및 정합성 검증 → 대상값·기준값 산출 → 기준선 대비 위치 판정 → 근거·출처·부족사유와 함께 결과 제공의 순서로 구성한다.</w:t>
      </w:r>
    </w:p>
    <w:p>
      <w:pPr>
        <w:spacing w:line="324" w:lineRule="auto" w:after="80"/>
      </w:pPr>
      <w:r>
        <w:rPr>
          <w:rFonts w:ascii="맑은 고딕" w:hAnsi="맑은 고딕" w:eastAsia="맑은 고딕"/>
          <w:sz w:val="20"/>
        </w:rPr>
        <w:t>주요 종속항 후보:</w:t>
      </w:r>
    </w:p>
    <w:p>
      <w:pPr>
        <w:pStyle w:val="ListNumber"/>
        <w:spacing w:line="300" w:lineRule="auto" w:after="40"/>
      </w:pPr>
      <w:r>
        <w:rPr>
          <w:rFonts w:ascii="맑은 고딕" w:hAnsi="맑은 고딕" w:eastAsia="맑은 고딕"/>
          <w:sz w:val="19"/>
        </w:rPr>
        <w:t>실거래의 동일면적 우선·유사면적 보완 규칙으로 시장가 중앙값을 생성하고 근거 건수 일치 여부를 검증하는 구성</w:t>
      </w:r>
    </w:p>
    <w:p>
      <w:pPr>
        <w:pStyle w:val="ListNumber"/>
        <w:spacing w:line="300" w:lineRule="auto" w:after="40"/>
      </w:pPr>
      <w:r>
        <w:rPr>
          <w:rFonts w:ascii="맑은 고딕" w:hAnsi="맑은 고딕" w:eastAsia="맑은 고딕"/>
          <w:sz w:val="19"/>
        </w:rPr>
        <w:t>동일 시장가 기준에 NOI, 부채상환액, 순현금흐름, 자기자본수익률 및 DSCR을 연동 계산하는 구성</w:t>
      </w:r>
    </w:p>
    <w:p>
      <w:pPr>
        <w:pStyle w:val="ListNumber"/>
        <w:spacing w:line="300" w:lineRule="auto" w:after="40"/>
      </w:pPr>
      <w:r>
        <w:rPr>
          <w:rFonts w:ascii="맑은 고딕" w:hAnsi="맑은 고딕" w:eastAsia="맑은 고딕"/>
          <w:sz w:val="19"/>
        </w:rPr>
        <w:t>공공 수익률 기준을 시군구→시도→전국으로 보완하고 최신 DB값 부재 시 검증된 날짜표시 스냅샷을 사용하는 구성</w:t>
      </w:r>
    </w:p>
    <w:p>
      <w:pPr>
        <w:pStyle w:val="ListNumber"/>
        <w:spacing w:line="300" w:lineRule="auto" w:after="40"/>
      </w:pPr>
      <w:r>
        <w:rPr>
          <w:rFonts w:ascii="맑은 고딕" w:hAnsi="맑은 고딕" w:eastAsia="맑은 고딕"/>
          <w:sz w:val="19"/>
        </w:rPr>
        <w:t>사용자 공실 입력을 우선하고 미입력 시 대체 자산군 공실률을 사용하되 대체 사실과 출처를 표시하는 구성</w:t>
      </w:r>
    </w:p>
    <w:p>
      <w:pPr>
        <w:pStyle w:val="ListNumber"/>
        <w:spacing w:line="300" w:lineRule="auto" w:after="40"/>
      </w:pPr>
      <w:r>
        <w:rPr>
          <w:rFonts w:ascii="맑은 고딕" w:hAnsi="맑은 고딕" w:eastAsia="맑은 고딕"/>
          <w:sz w:val="19"/>
        </w:rPr>
        <w:t>기준값 부재 시 무공실 또는 0수익률로 간주하지 않고 판정을 보류하는 구성</w:t>
      </w:r>
    </w:p>
    <w:p>
      <w:pPr>
        <w:pStyle w:val="ListNumber"/>
        <w:spacing w:line="300" w:lineRule="auto" w:after="40"/>
      </w:pPr>
      <w:r>
        <w:rPr>
          <w:rFonts w:ascii="맑은 고딕" w:hAnsi="맑은 고딕" w:eastAsia="맑은 고딕"/>
          <w:sz w:val="19"/>
        </w:rPr>
        <w:t>시장가 순소득수익률×공실안정성 사분면과 DSCR·현금흐름을 하나의 근거보고서로 출력하는 구성</w:t>
      </w:r>
    </w:p>
    <w:p>
      <w:pPr>
        <w:spacing w:before="120" w:after="80"/>
      </w:pPr>
      <w:r>
        <w:rPr>
          <w:rFonts w:ascii="맑은 고딕" w:hAnsi="맑은 고딕" w:eastAsia="맑은 고딕"/>
          <w:b/>
          <w:color w:val="3E3E3E"/>
          <w:sz w:val="24"/>
        </w:rPr>
        <w:t>아. 기대효과</w:t>
      </w:r>
    </w:p>
    <w:p>
      <w:pPr>
        <w:pStyle w:val="ListBullet"/>
        <w:spacing w:line="300" w:lineRule="auto" w:after="40"/>
      </w:pPr>
      <w:r>
        <w:rPr>
          <w:rFonts w:ascii="맑은 고딕" w:hAnsi="맑은 고딕" w:eastAsia="맑은 고딕"/>
          <w:sz w:val="19"/>
        </w:rPr>
        <w:t>표면수익률만으로 판단할 때 누락되는 공실·보유비용·금융비용을 함께 반영할 수 있다.</w:t>
      </w:r>
    </w:p>
    <w:p>
      <w:pPr>
        <w:pStyle w:val="ListBullet"/>
        <w:spacing w:line="300" w:lineRule="auto" w:after="40"/>
      </w:pPr>
      <w:r>
        <w:rPr>
          <w:rFonts w:ascii="맑은 고딕" w:hAnsi="맑은 고딕" w:eastAsia="맑은 고딕"/>
          <w:sz w:val="19"/>
        </w:rPr>
        <w:t>최근 실거래 기반 시장가와 공공 기준선을 동시에 사용해 대상 자산의 상대적 위치를 설명할 수 있다.</w:t>
      </w:r>
    </w:p>
    <w:p>
      <w:pPr>
        <w:pStyle w:val="ListBullet"/>
        <w:spacing w:line="300" w:lineRule="auto" w:after="40"/>
      </w:pPr>
      <w:r>
        <w:rPr>
          <w:rFonts w:ascii="맑은 고딕" w:hAnsi="맑은 고딕" w:eastAsia="맑은 고딕"/>
          <w:sz w:val="19"/>
        </w:rPr>
        <w:t>기준선의 지역 보완경로와 대체 자산군을 표시하여 비교근거의 투명성을 높일 수 있다.</w:t>
      </w:r>
    </w:p>
    <w:p>
      <w:pPr>
        <w:pStyle w:val="ListBullet"/>
        <w:spacing w:line="300" w:lineRule="auto" w:after="40"/>
      </w:pPr>
      <w:r>
        <w:rPr>
          <w:rFonts w:ascii="맑은 고딕" w:hAnsi="맑은 고딕" w:eastAsia="맑은 고딕"/>
          <w:sz w:val="19"/>
        </w:rPr>
        <w:t>자료 부재 시 판정을 보류함으로써 무공실로 오인한 과대평가를 방지할 수 있다.</w:t>
      </w:r>
    </w:p>
    <w:p>
      <w:pPr>
        <w:spacing w:before="120" w:after="80"/>
      </w:pPr>
      <w:r>
        <w:rPr>
          <w:rFonts w:ascii="맑은 고딕" w:hAnsi="맑은 고딕" w:eastAsia="맑은 고딕"/>
          <w:b/>
          <w:color w:val="3E3E3E"/>
          <w:sz w:val="24"/>
        </w:rPr>
        <w:t>자. 도면 제안</w:t>
      </w:r>
    </w:p>
    <w:p>
      <w:pPr>
        <w:pStyle w:val="ListBullet"/>
        <w:spacing w:line="300" w:lineRule="auto" w:after="40"/>
      </w:pPr>
      <w:r>
        <w:rPr>
          <w:rFonts w:ascii="맑은 고딕" w:hAnsi="맑은 고딕" w:eastAsia="맑은 고딕"/>
          <w:sz w:val="19"/>
        </w:rPr>
        <w:t>도 1: 임대수익 포지셔닝 시스템 구성도</w:t>
      </w:r>
    </w:p>
    <w:p>
      <w:pPr>
        <w:pStyle w:val="ListBullet"/>
        <w:spacing w:line="300" w:lineRule="auto" w:after="40"/>
      </w:pPr>
      <w:r>
        <w:rPr>
          <w:rFonts w:ascii="맑은 고딕" w:hAnsi="맑은 고딕" w:eastAsia="맑은 고딕"/>
          <w:sz w:val="19"/>
        </w:rPr>
        <w:t>도 2: 실거래 기반 시장가 기준 생성 흐름도</w:t>
      </w:r>
    </w:p>
    <w:p>
      <w:pPr>
        <w:pStyle w:val="ListBullet"/>
        <w:spacing w:line="300" w:lineRule="auto" w:after="40"/>
      </w:pPr>
      <w:r>
        <w:rPr>
          <w:rFonts w:ascii="맑은 고딕" w:hAnsi="맑은 고딕" w:eastAsia="맑은 고딕"/>
          <w:sz w:val="19"/>
        </w:rPr>
        <w:t>도 3: NOI·부채상환·DSCR 통합 계산 흐름도</w:t>
      </w:r>
    </w:p>
    <w:p>
      <w:pPr>
        <w:pStyle w:val="ListBullet"/>
        <w:spacing w:line="300" w:lineRule="auto" w:after="40"/>
      </w:pPr>
      <w:r>
        <w:rPr>
          <w:rFonts w:ascii="맑은 고딕" w:hAnsi="맑은 고딕" w:eastAsia="맑은 고딕"/>
          <w:sz w:val="19"/>
        </w:rPr>
        <w:t>도 4: R-ONE 계층 기준선 및 대체 공실률 선택도</w:t>
      </w:r>
    </w:p>
    <w:p>
      <w:pPr>
        <w:pStyle w:val="ListBullet"/>
        <w:spacing w:line="300" w:lineRule="auto" w:after="40"/>
      </w:pPr>
      <w:r>
        <w:rPr>
          <w:rFonts w:ascii="맑은 고딕" w:hAnsi="맑은 고딕" w:eastAsia="맑은 고딕"/>
          <w:sz w:val="19"/>
        </w:rPr>
        <w:t>도 5: 수익률×공실안정성 4사분면 출력도</w:t>
      </w:r>
    </w:p>
    <w:p>
      <w:pPr>
        <w:spacing w:before="120" w:after="80"/>
      </w:pPr>
      <w:r>
        <w:rPr>
          <w:rFonts w:ascii="맑은 고딕" w:hAnsi="맑은 고딕" w:eastAsia="맑은 고딕"/>
          <w:b/>
          <w:color w:val="3E3E3E"/>
          <w:sz w:val="24"/>
        </w:rPr>
        <w:t>차. 요약서 초안</w:t>
      </w:r>
    </w:p>
    <w:p>
      <w:pPr>
        <w:spacing w:line="324" w:lineRule="auto" w:after="80"/>
      </w:pPr>
      <w:r>
        <w:rPr>
          <w:rFonts w:ascii="맑은 고딕" w:hAnsi="맑은 고딕" w:eastAsia="맑은 고딕"/>
          <w:sz w:val="20"/>
        </w:rPr>
        <w:t>본 발명은 숙박부동산의 임대수익성과 부채상환 안정성을 함께 진단하는 시스템 및 방법에 관한 것이다. 시스템은 대상 건물의 최근 실거래에서 동일면적 거래를 우선하고 유사면적 거래로 보완하여 시장가 중앙값을 생성한다. 월 임대료, 공실개월, 보유비용 및 대출조건을 이용하여 NOI, 시장가 기준 순소득수익률, 순현금흐름 및 DSCR을 산출하고, 공공 통계의 임대수익 기준을 시군구, 시도 및 전국 순으로 보완 선택한다. 공실률은 사용자 입력을 우선하며 미입력 시 출처가 표시된 대체 자산군 공실률을 사용한다. 기준값이 없을 경우 임의의 0값을 적용하지 않고 판정을 보류하며, 순소득수익률과 공실안정성을 기준으로 사분면을 생성하고 재무지표, 기준기간, 보완경로 및 출처를 함께 제공한다.</w:t>
      </w:r>
    </w:p>
    <w:p>
      <w:r>
        <w:br w:type="page"/>
      </w:r>
    </w:p>
    <w:p>
      <w:pPr>
        <w:spacing w:before="200" w:after="80"/>
      </w:pPr>
      <w:r>
        <w:rPr>
          <w:rFonts w:ascii="맑은 고딕" w:hAnsi="맑은 고딕" w:eastAsia="맑은 고딕"/>
          <w:b/>
          <w:color w:val="1F4E5F"/>
          <w:sz w:val="30"/>
        </w:rPr>
        <w:t>2.3 발명 3 — HS-OI 숙박시설 운영성과 포지셔닝</w:t>
      </w:r>
    </w:p>
    <w:p>
      <w:pPr>
        <w:spacing w:before="120" w:after="80"/>
      </w:pPr>
      <w:r>
        <w:rPr>
          <w:rFonts w:ascii="맑은 고딕" w:hAnsi="맑은 고딕" w:eastAsia="맑은 고딕"/>
          <w:b/>
          <w:color w:val="3E3E3E"/>
          <w:sz w:val="24"/>
        </w:rPr>
        <w:t>가. 발명의 명칭</w:t>
      </w:r>
    </w:p>
    <w:p>
      <w:pPr>
        <w:spacing w:line="324" w:lineRule="auto" w:after="80"/>
      </w:pPr>
      <w:r>
        <w:rPr>
          <w:rFonts w:ascii="맑은 고딕" w:hAnsi="맑은 고딕" w:eastAsia="맑은 고딕"/>
          <w:sz w:val="20"/>
        </w:rPr>
        <w:t>국문: 공식 호텔 운영통계와 기간정합 문서분석을 이용한 숙박시설 운영성과 포지셔닝 진단 시스템 및 방법</w:t>
      </w:r>
    </w:p>
    <w:p>
      <w:pPr>
        <w:spacing w:line="324" w:lineRule="auto" w:after="80"/>
      </w:pPr>
      <w:r>
        <w:rPr>
          <w:rFonts w:ascii="맑은 고딕" w:hAnsi="맑은 고딕" w:eastAsia="맑은 고딕"/>
          <w:sz w:val="20"/>
        </w:rPr>
        <w:t>영문: System and Method for Diagnosing Lodging Operation Performance Using Official Hotel Statistics and Period-Consistent Document Analysis</w:t>
      </w:r>
    </w:p>
    <w:p>
      <w:pPr>
        <w:spacing w:before="120" w:after="80"/>
      </w:pPr>
      <w:r>
        <w:rPr>
          <w:rFonts w:ascii="맑은 고딕" w:hAnsi="맑은 고딕" w:eastAsia="맑은 고딕"/>
          <w:b/>
          <w:color w:val="3E3E3E"/>
          <w:sz w:val="24"/>
        </w:rPr>
        <w:t>나. 기술분야</w:t>
      </w:r>
    </w:p>
    <w:p>
      <w:pPr>
        <w:spacing w:line="324" w:lineRule="auto" w:after="80"/>
      </w:pPr>
      <w:r>
        <w:rPr>
          <w:rFonts w:ascii="맑은 고딕" w:hAnsi="맑은 고딕" w:eastAsia="맑은 고딕"/>
          <w:sz w:val="20"/>
        </w:rPr>
        <w:t>본 발명은 숙박시설 운영성과 분석에 관한 것으로, 사용자가 제출한 복수 형식의 운영문서로부터 동일기간의 객실매출·판매객실 수·객실이용률을 충돌검증하여 ADR, OCC 및 RevPAR를 산출하고, 지역별 공식 호텔 운영통계 기준선과 비교하여 4사분면 진단을 생성하는 시스템 및 방법에 관한 것이다.</w:t>
      </w:r>
    </w:p>
    <w:p>
      <w:pPr>
        <w:spacing w:before="120" w:after="80"/>
      </w:pPr>
      <w:r>
        <w:rPr>
          <w:rFonts w:ascii="맑은 고딕" w:hAnsi="맑은 고딕" w:eastAsia="맑은 고딕"/>
          <w:b/>
          <w:color w:val="3E3E3E"/>
          <w:sz w:val="24"/>
        </w:rPr>
        <w:t>다. 해결하려는 과제</w:t>
      </w:r>
    </w:p>
    <w:p>
      <w:pPr>
        <w:pStyle w:val="ListNumber"/>
        <w:spacing w:line="300" w:lineRule="auto" w:after="40"/>
      </w:pPr>
      <w:r>
        <w:rPr>
          <w:rFonts w:ascii="맑은 고딕" w:hAnsi="맑은 고딕" w:eastAsia="맑은 고딕"/>
          <w:sz w:val="19"/>
        </w:rPr>
        <w:t>호텔 운영자료는 PDF, 스프레드시트, 이미지 등 형식이 다양하고 문서마다 기간과 지표 정의가 달라 단순 병합 시 잘못된 ADR·OCC가 계산될 수 있다.</w:t>
      </w:r>
    </w:p>
    <w:p>
      <w:pPr>
        <w:pStyle w:val="ListNumber"/>
        <w:spacing w:line="300" w:lineRule="auto" w:after="40"/>
      </w:pPr>
      <w:r>
        <w:rPr>
          <w:rFonts w:ascii="맑은 고딕" w:hAnsi="맑은 고딕" w:eastAsia="맑은 고딕"/>
          <w:sz w:val="19"/>
        </w:rPr>
        <w:t>총매출과 객실매출, 판매가능객실과 판매객실을 혼동하거나 서로 다른 기간의 분자·분모를 결합하면 그럴듯하지만 잘못된 결과가 생성된다.</w:t>
      </w:r>
    </w:p>
    <w:p>
      <w:pPr>
        <w:pStyle w:val="ListNumber"/>
        <w:spacing w:line="300" w:lineRule="auto" w:after="40"/>
      </w:pPr>
      <w:r>
        <w:rPr>
          <w:rFonts w:ascii="맑은 고딕" w:hAnsi="맑은 고딕" w:eastAsia="맑은 고딕"/>
          <w:sz w:val="19"/>
        </w:rPr>
        <w:t>등록 객실수와 운영문서상 객실수가 다를 수 있어 사용자가 적용 객실수를 확정한 뒤 OCC를 재계산할 필요가 있다.</w:t>
      </w:r>
    </w:p>
    <w:p>
      <w:pPr>
        <w:pStyle w:val="ListNumber"/>
        <w:spacing w:line="300" w:lineRule="auto" w:after="40"/>
      </w:pPr>
      <w:r>
        <w:rPr>
          <w:rFonts w:ascii="맑은 고딕" w:hAnsi="맑은 고딕" w:eastAsia="맑은 고딕"/>
          <w:sz w:val="19"/>
        </w:rPr>
        <w:t>지역·등급별 기준값이 없을 때 비교범위를 보완하되 그 출처와 대체 수준을 표시할 필요가 있다.</w:t>
      </w:r>
    </w:p>
    <w:p>
      <w:pPr>
        <w:spacing w:before="120" w:after="80"/>
      </w:pPr>
      <w:r>
        <w:rPr>
          <w:rFonts w:ascii="맑은 고딕" w:hAnsi="맑은 고딕" w:eastAsia="맑은 고딕"/>
          <w:b/>
          <w:color w:val="3E3E3E"/>
          <w:sz w:val="24"/>
        </w:rPr>
        <w:t>라. 핵심 처리 흐름</w:t>
      </w:r>
    </w:p>
    <w:p>
      <w:pPr>
        <w:pStyle w:val="ListNumber"/>
        <w:spacing w:line="300" w:lineRule="auto" w:after="40"/>
      </w:pPr>
      <w:r>
        <w:rPr>
          <w:rFonts w:ascii="맑은 고딕" w:hAnsi="맑은 고딕" w:eastAsia="맑은 고딕"/>
          <w:sz w:val="19"/>
        </w:rPr>
        <w:t>로그인된 사용자로부터 대상 숙박시설과 이미지·PDF·스프레드시트·CSV 등 복수 운영문서를 제한된 수와 용량으로 수신한다.</w:t>
      </w:r>
    </w:p>
    <w:p>
      <w:pPr>
        <w:pStyle w:val="ListNumber"/>
        <w:spacing w:line="300" w:lineRule="auto" w:after="40"/>
      </w:pPr>
      <w:r>
        <w:rPr>
          <w:rFonts w:ascii="맑은 고딕" w:hAnsi="맑은 고딕" w:eastAsia="맑은 고딕"/>
          <w:sz w:val="19"/>
        </w:rPr>
        <w:t>문서를 격리된 단일 실행 프로세스에서 파싱하고 페이지·픽셀·셀·시간·메모리 한도를 적용하며 처리 후 원문을 보존하지 않는다.</w:t>
      </w:r>
    </w:p>
    <w:p>
      <w:pPr>
        <w:pStyle w:val="ListNumber"/>
        <w:spacing w:line="300" w:lineRule="auto" w:after="40"/>
      </w:pPr>
      <w:r>
        <w:rPr>
          <w:rFonts w:ascii="맑은 고딕" w:hAnsi="맑은 고딕" w:eastAsia="맑은 고딕"/>
          <w:sz w:val="19"/>
        </w:rPr>
        <w:t>각 문서에서 분석기간, 객실매출, 판매객실 수, OCC 및 ADR 후보값을 라벨 기반으로 추출하고 유효범위를 검증한다.</w:t>
      </w:r>
    </w:p>
    <w:p>
      <w:pPr>
        <w:pStyle w:val="ListNumber"/>
        <w:spacing w:line="300" w:lineRule="auto" w:after="40"/>
      </w:pPr>
      <w:r>
        <w:rPr>
          <w:rFonts w:ascii="맑은 고딕" w:hAnsi="맑은 고딕" w:eastAsia="맑은 고딕"/>
          <w:sz w:val="19"/>
        </w:rPr>
        <w:t>복수 문서의 기간 중복·충돌, 분자와 분모의 기간 불일치, 지표 중복제공 및 상충값을 검사하고, 호환되지 않는 값은 병합하지 않는다.</w:t>
      </w:r>
    </w:p>
    <w:p>
      <w:pPr>
        <w:pStyle w:val="ListNumber"/>
        <w:spacing w:line="300" w:lineRule="auto" w:after="40"/>
      </w:pPr>
      <w:r>
        <w:rPr>
          <w:rFonts w:ascii="맑은 고딕" w:hAnsi="맑은 고딕" w:eastAsia="맑은 고딕"/>
          <w:sz w:val="19"/>
        </w:rPr>
        <w:t>동일기간에 대응하는 객실매출과 판매객실 수가 확보된 경우 ADR을 계산하고, 유효한 적용 객실수와 분석일수가 확보된 경우 OCC를 계산한다.</w:t>
      </w:r>
    </w:p>
    <w:p>
      <w:pPr>
        <w:pStyle w:val="ListNumber"/>
        <w:spacing w:line="300" w:lineRule="auto" w:after="40"/>
      </w:pPr>
      <w:r>
        <w:rPr>
          <w:rFonts w:ascii="맑은 고딕" w:hAnsi="맑은 고딕" w:eastAsia="맑은 고딕"/>
          <w:sz w:val="19"/>
        </w:rPr>
        <w:t>대상 건물의 신고 객실수를 기본 분모로 제시하되 사용자가 적용 객실수를 변경하면 OCC를 재계산한다.</w:t>
      </w:r>
    </w:p>
    <w:p>
      <w:pPr>
        <w:pStyle w:val="ListNumber"/>
        <w:spacing w:line="300" w:lineRule="auto" w:after="40"/>
      </w:pPr>
      <w:r>
        <w:rPr>
          <w:rFonts w:ascii="맑은 고딕" w:hAnsi="맑은 고딕" w:eastAsia="맑은 고딕"/>
          <w:sz w:val="19"/>
        </w:rPr>
        <w:t>최신 승인 운영통계에서 대상 시군구의 전체 등급 ADR·OCC 기준선을 선택하고, 없으면 동일 시도의 시군구 평균 또는 검증된 기준 스냅샷으로 보완한다.</w:t>
      </w:r>
    </w:p>
    <w:p>
      <w:pPr>
        <w:pStyle w:val="ListNumber"/>
        <w:spacing w:line="300" w:lineRule="auto" w:after="40"/>
      </w:pPr>
      <w:r>
        <w:rPr>
          <w:rFonts w:ascii="맑은 고딕" w:hAnsi="맑은 고딕" w:eastAsia="맑은 고딕"/>
          <w:sz w:val="19"/>
        </w:rPr>
        <w:t>대상 ADR·OCC와 기준선을 비교해 4사분면을 생성하고 RevPAR, 지역 비교표, 자료기간, 출처, 자동계산 여부 및 판정보류 사유를 출력한다.</w:t>
      </w:r>
    </w:p>
    <w:p>
      <w:pPr>
        <w:spacing w:before="120" w:after="80"/>
      </w:pPr>
      <w:r>
        <w:rPr>
          <w:rFonts w:ascii="맑은 고딕" w:hAnsi="맑은 고딕" w:eastAsia="맑은 고딕"/>
          <w:b/>
          <w:color w:val="3E3E3E"/>
          <w:sz w:val="24"/>
        </w:rPr>
        <w:t>마. 주요 산식</w:t>
      </w:r>
    </w:p>
    <w:p>
      <w:pPr>
        <w:pStyle w:val="ListBullet"/>
        <w:spacing w:line="300" w:lineRule="auto" w:after="40"/>
      </w:pPr>
      <w:r>
        <w:rPr>
          <w:rFonts w:ascii="맑은 고딕" w:hAnsi="맑은 고딕" w:eastAsia="맑은 고딕"/>
          <w:sz w:val="19"/>
        </w:rPr>
        <w:t>ADR = 동일기간 객실매출 ÷ 동일기간 판매객실 수</w:t>
      </w:r>
    </w:p>
    <w:p>
      <w:pPr>
        <w:pStyle w:val="ListBullet"/>
        <w:spacing w:line="300" w:lineRule="auto" w:after="40"/>
      </w:pPr>
      <w:r>
        <w:rPr>
          <w:rFonts w:ascii="맑은 고딕" w:hAnsi="맑은 고딕" w:eastAsia="맑은 고딕"/>
          <w:sz w:val="19"/>
        </w:rPr>
        <w:t>OCC = 판매객실 수 ÷ (적용 객실수 × 분석일수) × 100</w:t>
      </w:r>
    </w:p>
    <w:p>
      <w:pPr>
        <w:pStyle w:val="ListBullet"/>
        <w:spacing w:line="300" w:lineRule="auto" w:after="40"/>
      </w:pPr>
      <w:r>
        <w:rPr>
          <w:rFonts w:ascii="맑은 고딕" w:hAnsi="맑은 고딕" w:eastAsia="맑은 고딕"/>
          <w:sz w:val="19"/>
        </w:rPr>
        <w:t>RevPAR = ADR × OCC ÷ 100</w:t>
      </w:r>
    </w:p>
    <w:p>
      <w:pPr>
        <w:spacing w:before="120" w:after="80"/>
      </w:pPr>
      <w:r>
        <w:rPr>
          <w:rFonts w:ascii="맑은 고딕" w:hAnsi="맑은 고딕" w:eastAsia="맑은 고딕"/>
          <w:b/>
          <w:color w:val="3E3E3E"/>
          <w:sz w:val="24"/>
        </w:rPr>
        <w:t>바. 포지셔닝 분류</w:t>
      </w:r>
    </w:p>
    <w:tbl>
      <w:tblPr>
        <w:tblStyle w:val="TableGrid"/>
        <w:tblW w:type="auto" w:w="0"/>
        <w:jc w:val="center"/>
        <w:tblLook w:firstColumn="1" w:firstRow="1" w:lastColumn="0" w:lastRow="0" w:noHBand="0" w:noVBand="1" w:val="04A0"/>
      </w:tblPr>
      <w:tblGrid>
        <w:gridCol w:w="4706"/>
        <w:gridCol w:w="4706"/>
      </w:tblGrid>
      <w:tr>
        <w:tc>
          <w:tcPr>
            <w:tcW w:type="dxa" w:w="4706"/>
            <w:vAlign w:val="center"/>
            <w:shd w:fill="1F4E5F"/>
          </w:tcPr>
          <w:p>
            <w:r/>
            <w:r>
              <w:rPr>
                <w:rFonts w:ascii="맑은 고딕" w:hAnsi="맑은 고딕" w:eastAsia="맑은 고딕"/>
                <w:b/>
                <w:color w:val="FFFFFF"/>
                <w:sz w:val="18"/>
              </w:rPr>
              <w:t>조건</w:t>
            </w:r>
          </w:p>
        </w:tc>
        <w:tc>
          <w:tcPr>
            <w:tcW w:type="dxa" w:w="4706"/>
            <w:vAlign w:val="center"/>
            <w:shd w:fill="1F4E5F"/>
          </w:tcPr>
          <w:p>
            <w:r/>
            <w:r>
              <w:rPr>
                <w:rFonts w:ascii="맑은 고딕" w:hAnsi="맑은 고딕" w:eastAsia="맑은 고딕"/>
                <w:b/>
                <w:color w:val="FFFFFF"/>
                <w:sz w:val="18"/>
              </w:rPr>
              <w:t>진단명</w:t>
            </w:r>
          </w:p>
        </w:tc>
      </w:tr>
      <w:tr>
        <w:tc>
          <w:tcPr>
            <w:tcW w:type="dxa" w:w="4706"/>
            <w:vAlign w:val="center"/>
          </w:tcPr>
          <w:p>
            <w:r/>
            <w:r>
              <w:rPr>
                <w:rFonts w:ascii="맑은 고딕" w:hAnsi="맑은 고딕" w:eastAsia="맑은 고딕"/>
                <w:b w:val="0"/>
                <w:sz w:val="17"/>
              </w:rPr>
              <w:t>ADR 높음 / OCC 높음</w:t>
            </w:r>
          </w:p>
        </w:tc>
        <w:tc>
          <w:tcPr>
            <w:tcW w:type="dxa" w:w="4706"/>
            <w:vAlign w:val="center"/>
          </w:tcPr>
          <w:p>
            <w:r/>
            <w:r>
              <w:rPr>
                <w:rFonts w:ascii="맑은 고딕" w:hAnsi="맑은 고딕" w:eastAsia="맑은 고딕"/>
                <w:b w:val="0"/>
                <w:sz w:val="17"/>
              </w:rPr>
              <w:t>프리미엄 우수운영</w:t>
            </w:r>
          </w:p>
        </w:tc>
      </w:tr>
      <w:tr>
        <w:tc>
          <w:tcPr>
            <w:tcW w:type="dxa" w:w="4706"/>
            <w:vAlign w:val="center"/>
          </w:tcPr>
          <w:p>
            <w:r/>
            <w:r>
              <w:rPr>
                <w:rFonts w:ascii="맑은 고딕" w:hAnsi="맑은 고딕" w:eastAsia="맑은 고딕"/>
                <w:b w:val="0"/>
                <w:sz w:val="17"/>
              </w:rPr>
              <w:t>ADR 높음 / OCC 낮음</w:t>
            </w:r>
          </w:p>
        </w:tc>
        <w:tc>
          <w:tcPr>
            <w:tcW w:type="dxa" w:w="4706"/>
            <w:vAlign w:val="center"/>
          </w:tcPr>
          <w:p>
            <w:r/>
            <w:r>
              <w:rPr>
                <w:rFonts w:ascii="맑은 고딕" w:hAnsi="맑은 고딕" w:eastAsia="맑은 고딕"/>
                <w:b w:val="0"/>
                <w:sz w:val="17"/>
              </w:rPr>
              <w:t>가격조정 필요</w:t>
            </w:r>
          </w:p>
        </w:tc>
      </w:tr>
      <w:tr>
        <w:tc>
          <w:tcPr>
            <w:tcW w:type="dxa" w:w="4706"/>
            <w:vAlign w:val="center"/>
          </w:tcPr>
          <w:p>
            <w:r/>
            <w:r>
              <w:rPr>
                <w:rFonts w:ascii="맑은 고딕" w:hAnsi="맑은 고딕" w:eastAsia="맑은 고딕"/>
                <w:b w:val="0"/>
                <w:sz w:val="17"/>
              </w:rPr>
              <w:t>ADR 낮음 / OCC 높음</w:t>
            </w:r>
          </w:p>
        </w:tc>
        <w:tc>
          <w:tcPr>
            <w:tcW w:type="dxa" w:w="4706"/>
            <w:vAlign w:val="center"/>
          </w:tcPr>
          <w:p>
            <w:r/>
            <w:r>
              <w:rPr>
                <w:rFonts w:ascii="맑은 고딕" w:hAnsi="맑은 고딕" w:eastAsia="맑은 고딕"/>
                <w:b w:val="0"/>
                <w:sz w:val="17"/>
              </w:rPr>
              <w:t>고가동·저단가형</w:t>
            </w:r>
          </w:p>
        </w:tc>
      </w:tr>
      <w:tr>
        <w:tc>
          <w:tcPr>
            <w:tcW w:type="dxa" w:w="4706"/>
            <w:vAlign w:val="center"/>
          </w:tcPr>
          <w:p>
            <w:r/>
            <w:r>
              <w:rPr>
                <w:rFonts w:ascii="맑은 고딕" w:hAnsi="맑은 고딕" w:eastAsia="맑은 고딕"/>
                <w:b w:val="0"/>
                <w:sz w:val="17"/>
              </w:rPr>
              <w:t>ADR 낮음 / OCC 낮음</w:t>
            </w:r>
          </w:p>
        </w:tc>
        <w:tc>
          <w:tcPr>
            <w:tcW w:type="dxa" w:w="4706"/>
            <w:vAlign w:val="center"/>
          </w:tcPr>
          <w:p>
            <w:r/>
            <w:r>
              <w:rPr>
                <w:rFonts w:ascii="맑은 고딕" w:hAnsi="맑은 고딕" w:eastAsia="맑은 고딕"/>
                <w:b w:val="0"/>
                <w:sz w:val="17"/>
              </w:rPr>
              <w:t>운영개선 필요</w:t>
            </w:r>
          </w:p>
        </w:tc>
      </w:tr>
    </w:tbl>
    <w:p/>
    <w:p>
      <w:pPr>
        <w:spacing w:before="120" w:after="80"/>
      </w:pPr>
      <w:r>
        <w:rPr>
          <w:rFonts w:ascii="맑은 고딕" w:hAnsi="맑은 고딕" w:eastAsia="맑은 고딕"/>
          <w:b/>
          <w:color w:val="3E3E3E"/>
          <w:sz w:val="24"/>
        </w:rPr>
        <w:t>사. 청구항 골격(요약)</w:t>
      </w:r>
    </w:p>
    <w:p>
      <w:pPr>
        <w:spacing w:line="324" w:lineRule="auto" w:after="80"/>
      </w:pPr>
      <w:r>
        <w:rPr>
          <w:rFonts w:ascii="맑은 고딕" w:hAnsi="맑은 고딕" w:eastAsia="맑은 고딕"/>
          <w:sz w:val="20"/>
        </w:rPr>
        <w:t>독립 시스템항: 대상 숙박시설의 검증된 입력자료를 취득하는 입력부, 기준값을 생성·선택하는 기준부, 핵심 지표를 산출하는 연산부, 결측·충돌을 판정하는 검증부, 사분면과 근거정보를 출력하는 진단부의 결합으로 구성한다.</w:t>
      </w:r>
    </w:p>
    <w:p>
      <w:pPr>
        <w:spacing w:line="324" w:lineRule="auto" w:after="80"/>
      </w:pPr>
      <w:r>
        <w:rPr>
          <w:rFonts w:ascii="맑은 고딕" w:hAnsi="맑은 고딕" w:eastAsia="맑은 고딕"/>
          <w:sz w:val="20"/>
        </w:rPr>
        <w:t>독립 방법항: 입력자료 취득 → 유효성 및 정합성 검증 → 대상값·기준값 산출 → 기준선 대비 위치 판정 → 근거·출처·부족사유와 함께 결과 제공의 순서로 구성한다.</w:t>
      </w:r>
    </w:p>
    <w:p>
      <w:pPr>
        <w:spacing w:line="324" w:lineRule="auto" w:after="80"/>
      </w:pPr>
      <w:r>
        <w:rPr>
          <w:rFonts w:ascii="맑은 고딕" w:hAnsi="맑은 고딕" w:eastAsia="맑은 고딕"/>
          <w:sz w:val="20"/>
        </w:rPr>
        <w:t>주요 종속항 후보:</w:t>
      </w:r>
    </w:p>
    <w:p>
      <w:pPr>
        <w:pStyle w:val="ListNumber"/>
        <w:spacing w:line="300" w:lineRule="auto" w:after="40"/>
      </w:pPr>
      <w:r>
        <w:rPr>
          <w:rFonts w:ascii="맑은 고딕" w:hAnsi="맑은 고딕" w:eastAsia="맑은 고딕"/>
          <w:sz w:val="19"/>
        </w:rPr>
        <w:t>복수 형식 운영문서를 격리·제한된 프로세스에서 일시 분석하고 원문을 보존하지 않는 구성</w:t>
      </w:r>
    </w:p>
    <w:p>
      <w:pPr>
        <w:pStyle w:val="ListNumber"/>
        <w:spacing w:line="300" w:lineRule="auto" w:after="40"/>
      </w:pPr>
      <w:r>
        <w:rPr>
          <w:rFonts w:ascii="맑은 고딕" w:hAnsi="맑은 고딕" w:eastAsia="맑은 고딕"/>
          <w:sz w:val="19"/>
        </w:rPr>
        <w:t>객실매출과 판매객실 수를 라벨 및 동일기간 조건으로 쌍지어 ADR을 계산하고 총매출은 배제하는 구성</w:t>
      </w:r>
    </w:p>
    <w:p>
      <w:pPr>
        <w:pStyle w:val="ListNumber"/>
        <w:spacing w:line="300" w:lineRule="auto" w:after="40"/>
      </w:pPr>
      <w:r>
        <w:rPr>
          <w:rFonts w:ascii="맑은 고딕" w:hAnsi="맑은 고딕" w:eastAsia="맑은 고딕"/>
          <w:sz w:val="19"/>
        </w:rPr>
        <w:t>중복·기간충돌·분자분모 불일치 문서를 병합하지 않고 해당 지표를 판정보류하는 구성</w:t>
      </w:r>
    </w:p>
    <w:p>
      <w:pPr>
        <w:pStyle w:val="ListNumber"/>
        <w:spacing w:line="300" w:lineRule="auto" w:after="40"/>
      </w:pPr>
      <w:r>
        <w:rPr>
          <w:rFonts w:ascii="맑은 고딕" w:hAnsi="맑은 고딕" w:eastAsia="맑은 고딕"/>
          <w:sz w:val="19"/>
        </w:rPr>
        <w:t>신고 객실수를 기본 적용값으로 제시하고 사용자 확정 객실수에 따라 OCC를 재계산하는 구성</w:t>
      </w:r>
    </w:p>
    <w:p>
      <w:pPr>
        <w:pStyle w:val="ListNumber"/>
        <w:spacing w:line="300" w:lineRule="auto" w:after="40"/>
      </w:pPr>
      <w:r>
        <w:rPr>
          <w:rFonts w:ascii="맑은 고딕" w:hAnsi="맑은 고딕" w:eastAsia="맑은 고딕"/>
          <w:sz w:val="19"/>
        </w:rPr>
        <w:t>최신 승인 공식통계→동일 시도 보완평균→검증 스냅샷의 기준선 계보를 적용하고 출처를 표시하는 구성</w:t>
      </w:r>
    </w:p>
    <w:p>
      <w:pPr>
        <w:pStyle w:val="ListNumber"/>
        <w:spacing w:line="300" w:lineRule="auto" w:after="40"/>
      </w:pPr>
      <w:r>
        <w:rPr>
          <w:rFonts w:ascii="맑은 고딕" w:hAnsi="맑은 고딕" w:eastAsia="맑은 고딕"/>
          <w:sz w:val="19"/>
        </w:rPr>
        <w:t>ADR×OCC 사분면, RevPAR, 지역 비교표, 자동산출 근거 및 부족사유를 하나의 결과로 제공하는 구성</w:t>
      </w:r>
    </w:p>
    <w:p>
      <w:pPr>
        <w:spacing w:before="120" w:after="80"/>
      </w:pPr>
      <w:r>
        <w:rPr>
          <w:rFonts w:ascii="맑은 고딕" w:hAnsi="맑은 고딕" w:eastAsia="맑은 고딕"/>
          <w:b/>
          <w:color w:val="3E3E3E"/>
          <w:sz w:val="24"/>
        </w:rPr>
        <w:t>아. 기대효과</w:t>
      </w:r>
    </w:p>
    <w:p>
      <w:pPr>
        <w:pStyle w:val="ListBullet"/>
        <w:spacing w:line="300" w:lineRule="auto" w:after="40"/>
      </w:pPr>
      <w:r>
        <w:rPr>
          <w:rFonts w:ascii="맑은 고딕" w:hAnsi="맑은 고딕" w:eastAsia="맑은 고딕"/>
          <w:sz w:val="19"/>
        </w:rPr>
        <w:t>서로 다른 기간이나 의미의 수치를 잘못 결합하여 운영성과가 왜곡되는 것을 줄일 수 있다.</w:t>
      </w:r>
    </w:p>
    <w:p>
      <w:pPr>
        <w:pStyle w:val="ListBullet"/>
        <w:spacing w:line="300" w:lineRule="auto" w:after="40"/>
      </w:pPr>
      <w:r>
        <w:rPr>
          <w:rFonts w:ascii="맑은 고딕" w:hAnsi="맑은 고딕" w:eastAsia="맑은 고딕"/>
          <w:sz w:val="19"/>
        </w:rPr>
        <w:t>객실수 분모를 대상 시설에 맞게 확정하여 OCC를 재계산할 수 있다.</w:t>
      </w:r>
    </w:p>
    <w:p>
      <w:pPr>
        <w:pStyle w:val="ListBullet"/>
        <w:spacing w:line="300" w:lineRule="auto" w:after="40"/>
      </w:pPr>
      <w:r>
        <w:rPr>
          <w:rFonts w:ascii="맑은 고딕" w:hAnsi="맑은 고딕" w:eastAsia="맑은 고딕"/>
          <w:sz w:val="19"/>
        </w:rPr>
        <w:t>공식 지역 기준선과 대상 실적의 상대적 위치를 ADR과 OCC 양쪽에서 설명할 수 있다.</w:t>
      </w:r>
    </w:p>
    <w:p>
      <w:pPr>
        <w:pStyle w:val="ListBullet"/>
        <w:spacing w:line="300" w:lineRule="auto" w:after="40"/>
      </w:pPr>
      <w:r>
        <w:rPr>
          <w:rFonts w:ascii="맑은 고딕" w:hAnsi="맑은 고딕" w:eastAsia="맑은 고딕"/>
          <w:sz w:val="19"/>
        </w:rPr>
        <w:t>충돌 자료를 억지로 추정하지 않고 부족사유를 표시하여 분석의 신뢰성과 감사가능성을 높일 수 있다.</w:t>
      </w:r>
    </w:p>
    <w:p>
      <w:pPr>
        <w:spacing w:before="120" w:after="80"/>
      </w:pPr>
      <w:r>
        <w:rPr>
          <w:rFonts w:ascii="맑은 고딕" w:hAnsi="맑은 고딕" w:eastAsia="맑은 고딕"/>
          <w:b/>
          <w:color w:val="3E3E3E"/>
          <w:sz w:val="24"/>
        </w:rPr>
        <w:t>자. 도면 제안</w:t>
      </w:r>
    </w:p>
    <w:p>
      <w:pPr>
        <w:pStyle w:val="ListBullet"/>
        <w:spacing w:line="300" w:lineRule="auto" w:after="40"/>
      </w:pPr>
      <w:r>
        <w:rPr>
          <w:rFonts w:ascii="맑은 고딕" w:hAnsi="맑은 고딕" w:eastAsia="맑은 고딕"/>
          <w:sz w:val="19"/>
        </w:rPr>
        <w:t>도 1: 숙박시설 운영성과 분석 시스템 구성도</w:t>
      </w:r>
    </w:p>
    <w:p>
      <w:pPr>
        <w:pStyle w:val="ListBullet"/>
        <w:spacing w:line="300" w:lineRule="auto" w:after="40"/>
      </w:pPr>
      <w:r>
        <w:rPr>
          <w:rFonts w:ascii="맑은 고딕" w:hAnsi="맑은 고딕" w:eastAsia="맑은 고딕"/>
          <w:sz w:val="19"/>
        </w:rPr>
        <w:t>도 2: 비신뢰 운영문서 격리 분석 및 제한 처리도</w:t>
      </w:r>
    </w:p>
    <w:p>
      <w:pPr>
        <w:pStyle w:val="ListBullet"/>
        <w:spacing w:line="300" w:lineRule="auto" w:after="40"/>
      </w:pPr>
      <w:r>
        <w:rPr>
          <w:rFonts w:ascii="맑은 고딕" w:hAnsi="맑은 고딕" w:eastAsia="맑은 고딕"/>
          <w:sz w:val="19"/>
        </w:rPr>
        <w:t>도 3: 동일기간 객실매출·판매객실 수 정합 검증도</w:t>
      </w:r>
    </w:p>
    <w:p>
      <w:pPr>
        <w:pStyle w:val="ListBullet"/>
        <w:spacing w:line="300" w:lineRule="auto" w:after="40"/>
      </w:pPr>
      <w:r>
        <w:rPr>
          <w:rFonts w:ascii="맑은 고딕" w:hAnsi="맑은 고딕" w:eastAsia="맑은 고딕"/>
          <w:sz w:val="19"/>
        </w:rPr>
        <w:t>도 4: 적용 객실수 확정에 따른 OCC 재계산 흐름도</w:t>
      </w:r>
    </w:p>
    <w:p>
      <w:pPr>
        <w:pStyle w:val="ListBullet"/>
        <w:spacing w:line="300" w:lineRule="auto" w:after="40"/>
      </w:pPr>
      <w:r>
        <w:rPr>
          <w:rFonts w:ascii="맑은 고딕" w:hAnsi="맑은 고딕" w:eastAsia="맑은 고딕"/>
          <w:sz w:val="19"/>
        </w:rPr>
        <w:t>도 5: 공식 운영통계 기준선 선택 및 ADR×OCC 4사분면 출력도</w:t>
      </w:r>
    </w:p>
    <w:p>
      <w:pPr>
        <w:spacing w:before="120" w:after="80"/>
      </w:pPr>
      <w:r>
        <w:rPr>
          <w:rFonts w:ascii="맑은 고딕" w:hAnsi="맑은 고딕" w:eastAsia="맑은 고딕"/>
          <w:b/>
          <w:color w:val="3E3E3E"/>
          <w:sz w:val="24"/>
        </w:rPr>
        <w:t>차. 요약서 초안</w:t>
      </w:r>
    </w:p>
    <w:p>
      <w:pPr>
        <w:spacing w:line="324" w:lineRule="auto" w:after="80"/>
      </w:pPr>
      <w:r>
        <w:rPr>
          <w:rFonts w:ascii="맑은 고딕" w:hAnsi="맑은 고딕" w:eastAsia="맑은 고딕"/>
          <w:sz w:val="20"/>
        </w:rPr>
        <w:t>본 발명은 복수 형식의 숙박시설 운영문서를 분석하여 공식 지역 기준선과 비교하는 운영성과 진단 시스템 및 방법에 관한 것이다. 시스템은 이미지, PDF 및 스프레드시트 문서를 제한된 격리 프로세스에서 일시 파싱하고 분석기간, 객실매출, 판매객실 수, ADR 및 OCC 후보값을 추출한다. 기간 중복·충돌, 분자와 분모의 기간 불일치 및 상충값을 검사하여 호환되지 않는 값은 병합하지 않으며, 동일기간 객실매출과 판매객실 수로 ADR을 계산하고 적용 객실수와 분석일수로 OCC를 계산한다. 신고 객실수를 기본값으로 제시하되 사용자 확정 객실수에 따라 OCC를 재계산한다. 대상 ADR·OCC를 최신 승인 지역 운영통계와 비교하여 사분면과 RevPAR를 생성하고, 기준선 보완경로, 자료기간, 출처 및 판정보류 사유를 함께 제공한다.</w:t>
      </w:r>
    </w:p>
    <w:p>
      <w:r>
        <w:br w:type="page"/>
      </w:r>
    </w:p>
    <w:p>
      <w:pPr>
        <w:spacing w:before="200" w:after="80"/>
      </w:pPr>
      <w:r>
        <w:rPr>
          <w:rFonts w:ascii="맑은 고딕" w:hAnsi="맑은 고딕" w:eastAsia="맑은 고딕"/>
          <w:b/>
          <w:color w:val="1F4E5F"/>
          <w:sz w:val="30"/>
        </w:rPr>
        <w:t>3. 기출원 특허와의 비중복 포인트</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1F4E5F"/>
          </w:tcPr>
          <w:p>
            <w:r/>
            <w:r>
              <w:rPr>
                <w:rFonts w:ascii="맑은 고딕" w:hAnsi="맑은 고딕" w:eastAsia="맑은 고딕"/>
                <w:b/>
                <w:color w:val="FFFFFF"/>
                <w:sz w:val="18"/>
              </w:rPr>
              <w:t>구분</w:t>
            </w:r>
          </w:p>
        </w:tc>
        <w:tc>
          <w:tcPr>
            <w:tcW w:type="dxa" w:w="3137"/>
            <w:vAlign w:val="center"/>
            <w:shd w:fill="1F4E5F"/>
          </w:tcPr>
          <w:p>
            <w:r/>
            <w:r>
              <w:rPr>
                <w:rFonts w:ascii="맑은 고딕" w:hAnsi="맑은 고딕" w:eastAsia="맑은 고딕"/>
                <w:b/>
                <w:color w:val="FFFFFF"/>
                <w:sz w:val="18"/>
              </w:rPr>
              <w:t>기출원 발명</w:t>
            </w:r>
          </w:p>
        </w:tc>
        <w:tc>
          <w:tcPr>
            <w:tcW w:type="dxa" w:w="3137"/>
            <w:vAlign w:val="center"/>
            <w:shd w:fill="1F4E5F"/>
          </w:tcPr>
          <w:p>
            <w:r/>
            <w:r>
              <w:rPr>
                <w:rFonts w:ascii="맑은 고딕" w:hAnsi="맑은 고딕" w:eastAsia="맑은 고딕"/>
                <w:b/>
                <w:color w:val="FFFFFF"/>
                <w:sz w:val="18"/>
              </w:rPr>
              <w:t>이번 3대 분석 발명</w:t>
            </w:r>
          </w:p>
        </w:tc>
      </w:tr>
      <w:tr>
        <w:tc>
          <w:tcPr>
            <w:tcW w:type="dxa" w:w="3137"/>
            <w:vAlign w:val="center"/>
          </w:tcPr>
          <w:p>
            <w:r/>
            <w:r>
              <w:rPr>
                <w:rFonts w:ascii="맑은 고딕" w:hAnsi="맑은 고딕" w:eastAsia="맑은 고딕"/>
                <w:b w:val="0"/>
                <w:sz w:val="17"/>
              </w:rPr>
              <w:t>주된 과제</w:t>
            </w:r>
          </w:p>
        </w:tc>
        <w:tc>
          <w:tcPr>
            <w:tcW w:type="dxa" w:w="3137"/>
            <w:vAlign w:val="center"/>
          </w:tcPr>
          <w:p>
            <w:r/>
            <w:r>
              <w:rPr>
                <w:rFonts w:ascii="맑은 고딕" w:hAnsi="맑은 고딕" w:eastAsia="맑은 고딕"/>
                <w:b w:val="0"/>
                <w:sz w:val="17"/>
              </w:rPr>
              <w:t>흩어진 공공데이터를 건물 단위로 통합하고 거래요청을 파트너에게 자동배정</w:t>
            </w:r>
          </w:p>
        </w:tc>
        <w:tc>
          <w:tcPr>
            <w:tcW w:type="dxa" w:w="3137"/>
            <w:vAlign w:val="center"/>
          </w:tcPr>
          <w:p>
            <w:r/>
            <w:r>
              <w:rPr>
                <w:rFonts w:ascii="맑은 고딕" w:hAnsi="맑은 고딕" w:eastAsia="맑은 고딕"/>
                <w:b w:val="0"/>
                <w:sz w:val="17"/>
              </w:rPr>
              <w:t>대상 자산의 투자·임대·운영 상태를 검증된 기준선과 비교하여 설명가능한 진단을 생성</w:t>
            </w:r>
          </w:p>
        </w:tc>
      </w:tr>
      <w:tr>
        <w:tc>
          <w:tcPr>
            <w:tcW w:type="dxa" w:w="3137"/>
            <w:vAlign w:val="center"/>
          </w:tcPr>
          <w:p>
            <w:r/>
            <w:r>
              <w:rPr>
                <w:rFonts w:ascii="맑은 고딕" w:hAnsi="맑은 고딕" w:eastAsia="맑은 고딕"/>
                <w:b w:val="0"/>
                <w:sz w:val="17"/>
              </w:rPr>
              <w:t>핵심 입력</w:t>
            </w:r>
          </w:p>
        </w:tc>
        <w:tc>
          <w:tcPr>
            <w:tcW w:type="dxa" w:w="3137"/>
            <w:vAlign w:val="center"/>
          </w:tcPr>
          <w:p>
            <w:r/>
            <w:r>
              <w:rPr>
                <w:rFonts w:ascii="맑은 고딕" w:hAnsi="맑은 고딕" w:eastAsia="맑은 고딕"/>
                <w:b w:val="0"/>
                <w:sz w:val="17"/>
              </w:rPr>
              <w:t>실거래·영업신고·건축물대장·중개업소 및 거래요청</w:t>
            </w:r>
          </w:p>
        </w:tc>
        <w:tc>
          <w:tcPr>
            <w:tcW w:type="dxa" w:w="3137"/>
            <w:vAlign w:val="center"/>
          </w:tcPr>
          <w:p>
            <w:r/>
            <w:r>
              <w:rPr>
                <w:rFonts w:ascii="맑은 고딕" w:hAnsi="맑은 고딕" w:eastAsia="맑은 고딕"/>
                <w:b w:val="0"/>
                <w:sz w:val="17"/>
              </w:rPr>
              <w:t>관광수요·유사자산 가격 / 임대·대출조건과 R-ONE / 운영문서와 호텔 운영통계</w:t>
            </w:r>
          </w:p>
        </w:tc>
      </w:tr>
      <w:tr>
        <w:tc>
          <w:tcPr>
            <w:tcW w:type="dxa" w:w="3137"/>
            <w:vAlign w:val="center"/>
          </w:tcPr>
          <w:p>
            <w:r/>
            <w:r>
              <w:rPr>
                <w:rFonts w:ascii="맑은 고딕" w:hAnsi="맑은 고딕" w:eastAsia="맑은 고딕"/>
                <w:b w:val="0"/>
                <w:sz w:val="17"/>
              </w:rPr>
              <w:t>핵심 처리</w:t>
            </w:r>
          </w:p>
        </w:tc>
        <w:tc>
          <w:tcPr>
            <w:tcW w:type="dxa" w:w="3137"/>
            <w:vAlign w:val="center"/>
          </w:tcPr>
          <w:p>
            <w:r/>
            <w:r>
              <w:rPr>
                <w:rFonts w:ascii="맑은 고딕" w:hAnsi="맑은 고딕" w:eastAsia="맑은 고딕"/>
                <w:b w:val="0"/>
                <w:sz w:val="17"/>
              </w:rPr>
              <w:t>주소 정규화 키 매칭, 건물 DB, 전속→지역→기본 배정</w:t>
            </w:r>
          </w:p>
        </w:tc>
        <w:tc>
          <w:tcPr>
            <w:tcW w:type="dxa" w:w="3137"/>
            <w:vAlign w:val="center"/>
          </w:tcPr>
          <w:p>
            <w:r/>
            <w:r>
              <w:rPr>
                <w:rFonts w:ascii="맑은 고딕" w:hAnsi="맑은 고딕" w:eastAsia="맑은 고딕"/>
                <w:b w:val="0"/>
                <w:sz w:val="17"/>
              </w:rPr>
              <w:t>표본·기간·출처 검증, 기준선 계층보완, 지표 산출, 판정보류, 사분면 및 후보·근거 출력</w:t>
            </w:r>
          </w:p>
        </w:tc>
      </w:tr>
      <w:tr>
        <w:tc>
          <w:tcPr>
            <w:tcW w:type="dxa" w:w="3137"/>
            <w:vAlign w:val="center"/>
          </w:tcPr>
          <w:p>
            <w:r/>
            <w:r>
              <w:rPr>
                <w:rFonts w:ascii="맑은 고딕" w:hAnsi="맑은 고딕" w:eastAsia="맑은 고딕"/>
                <w:b w:val="0"/>
                <w:sz w:val="17"/>
              </w:rPr>
              <w:t>핵심 결과</w:t>
            </w:r>
          </w:p>
        </w:tc>
        <w:tc>
          <w:tcPr>
            <w:tcW w:type="dxa" w:w="3137"/>
            <w:vAlign w:val="center"/>
          </w:tcPr>
          <w:p>
            <w:r/>
            <w:r>
              <w:rPr>
                <w:rFonts w:ascii="맑은 고딕" w:hAnsi="맑은 고딕" w:eastAsia="맑은 고딕"/>
                <w:b w:val="0"/>
                <w:sz w:val="17"/>
              </w:rPr>
              <w:t>건물별 실거래가 조회, 거래요청 배정 및 권한제어</w:t>
            </w:r>
          </w:p>
        </w:tc>
        <w:tc>
          <w:tcPr>
            <w:tcW w:type="dxa" w:w="3137"/>
            <w:vAlign w:val="center"/>
          </w:tcPr>
          <w:p>
            <w:r/>
            <w:r>
              <w:rPr>
                <w:rFonts w:ascii="맑은 고딕" w:hAnsi="맑은 고딕" w:eastAsia="맑은 고딕"/>
                <w:b w:val="0"/>
                <w:sz w:val="17"/>
              </w:rPr>
              <w:t>투자후보, 임대수익·DSCR 진단, 운영 ADR·OCC·RevPAR 진단</w:t>
            </w:r>
          </w:p>
        </w:tc>
      </w:tr>
      <w:tr>
        <w:tc>
          <w:tcPr>
            <w:tcW w:type="dxa" w:w="3137"/>
            <w:vAlign w:val="center"/>
          </w:tcPr>
          <w:p>
            <w:r/>
            <w:r>
              <w:rPr>
                <w:rFonts w:ascii="맑은 고딕" w:hAnsi="맑은 고딕" w:eastAsia="맑은 고딕"/>
                <w:b w:val="0"/>
                <w:sz w:val="17"/>
              </w:rPr>
              <w:t>중복 회피</w:t>
            </w:r>
          </w:p>
        </w:tc>
        <w:tc>
          <w:tcPr>
            <w:tcW w:type="dxa" w:w="3137"/>
            <w:vAlign w:val="center"/>
          </w:tcPr>
          <w:p>
            <w:r/>
            <w:r>
              <w:rPr>
                <w:rFonts w:ascii="맑은 고딕" w:hAnsi="맑은 고딕" w:eastAsia="맑은 고딕"/>
                <w:b w:val="0"/>
                <w:sz w:val="17"/>
              </w:rPr>
              <w:t>건물 통합 DB 자체를 다시 독립 핵심으로 청구하지 않음</w:t>
            </w:r>
          </w:p>
        </w:tc>
        <w:tc>
          <w:tcPr>
            <w:tcW w:type="dxa" w:w="3137"/>
            <w:vAlign w:val="center"/>
          </w:tcPr>
          <w:p>
            <w:r/>
            <w:r>
              <w:rPr>
                <w:rFonts w:ascii="맑은 고딕" w:hAnsi="맑은 고딕" w:eastAsia="맑은 고딕"/>
                <w:b w:val="0"/>
                <w:sz w:val="17"/>
              </w:rPr>
              <w:t>통합 DB는 선택적 데이터 공급원으로 두고 분석 변환과 검증 순서를 독립 핵심으로 청구</w:t>
            </w:r>
          </w:p>
        </w:tc>
      </w:tr>
    </w:tbl>
    <w:p/>
    <w:p>
      <w:pPr>
        <w:spacing w:before="200" w:after="80"/>
      </w:pPr>
      <w:r>
        <w:rPr>
          <w:rFonts w:ascii="맑은 고딕" w:hAnsi="맑은 고딕" w:eastAsia="맑은 고딕"/>
          <w:b/>
          <w:color w:val="1F4E5F"/>
          <w:sz w:val="30"/>
        </w:rPr>
        <w:t>4. 변리사 전달 시 우선 확인사항</w:t>
      </w:r>
    </w:p>
    <w:p>
      <w:pPr>
        <w:pStyle w:val="ListNumber"/>
        <w:spacing w:line="300" w:lineRule="auto" w:after="40"/>
      </w:pPr>
      <w:r>
        <w:rPr>
          <w:rFonts w:ascii="맑은 고딕" w:hAnsi="맑은 고딕" w:eastAsia="맑은 고딕"/>
          <w:sz w:val="19"/>
        </w:rPr>
        <w:t>세 발명의 단일 출원, 3건 분리출원 또는 공통 플랫폼 출원 후 분할출원 중 비용·심사일정·단일성 요건에 적합한 구조</w:t>
      </w:r>
    </w:p>
    <w:p>
      <w:pPr>
        <w:pStyle w:val="ListNumber"/>
        <w:spacing w:line="300" w:lineRule="auto" w:after="40"/>
      </w:pPr>
      <w:r>
        <w:rPr>
          <w:rFonts w:ascii="맑은 고딕" w:hAnsi="맑은 고딕" w:eastAsia="맑은 고딕"/>
          <w:sz w:val="19"/>
        </w:rPr>
        <w:t>기출원 명세서의 청구범위 및 우선권 관계와 이번 분석 발명의 중복 여부</w:t>
      </w:r>
    </w:p>
    <w:p>
      <w:pPr>
        <w:pStyle w:val="ListNumber"/>
        <w:spacing w:line="300" w:lineRule="auto" w:after="40"/>
      </w:pPr>
      <w:r>
        <w:rPr>
          <w:rFonts w:ascii="맑은 고딕" w:hAnsi="맑은 고딕" w:eastAsia="맑은 고딕"/>
          <w:sz w:val="19"/>
        </w:rPr>
        <w:t>부동산 투자진단, 호텔 성과분석, 자동 문서분석 및 사분면 시각화 분야의 국내외 선행특허·논문·상용서비스 조사</w:t>
      </w:r>
    </w:p>
    <w:p>
      <w:pPr>
        <w:pStyle w:val="ListNumber"/>
        <w:spacing w:line="300" w:lineRule="auto" w:after="40"/>
      </w:pPr>
      <w:r>
        <w:rPr>
          <w:rFonts w:ascii="맑은 고딕" w:hAnsi="맑은 고딕" w:eastAsia="맑은 고딕"/>
          <w:sz w:val="19"/>
        </w:rPr>
        <w:t>HS-PI의 계층형 비교군과 건물별 중앙값 1회 반영, HS-RI의 기준선 계보와 판정보류, HS-OI의 기간정합 문서병합 및 분모 재확정 중 어느 조합을 독립항 필수구성으로 둘지</w:t>
      </w:r>
    </w:p>
    <w:p>
      <w:pPr>
        <w:pStyle w:val="ListNumber"/>
        <w:spacing w:line="300" w:lineRule="auto" w:after="40"/>
      </w:pPr>
      <w:r>
        <w:rPr>
          <w:rFonts w:ascii="맑은 고딕" w:hAnsi="맑은 고딕" w:eastAsia="맑은 고딕"/>
          <w:sz w:val="19"/>
        </w:rPr>
        <w:t>서버·방법·컴퓨터 판독가능 기록매체 청구항 병렬 작성 여부</w:t>
      </w:r>
    </w:p>
    <w:p>
      <w:pPr>
        <w:pStyle w:val="ListNumber"/>
        <w:spacing w:line="300" w:lineRule="auto" w:after="40"/>
      </w:pPr>
      <w:r>
        <w:rPr>
          <w:rFonts w:ascii="맑은 고딕" w:hAnsi="맑은 고딕" w:eastAsia="맑은 고딕"/>
          <w:sz w:val="19"/>
        </w:rPr>
        <w:t>출원 전 외부 공개일, 서비스 공개 화면, 제안서·홍보자료 배포일을 확인하여 신규성 관련 일정을 정리할 것</w:t>
      </w:r>
    </w:p>
    <w:p>
      <w:pPr>
        <w:pStyle w:val="ListNumber"/>
        <w:spacing w:line="300" w:lineRule="auto" w:after="40"/>
      </w:pPr>
      <w:r>
        <w:rPr>
          <w:rFonts w:ascii="맑은 고딕" w:hAnsi="맑은 고딕" w:eastAsia="맑은 고딕"/>
          <w:sz w:val="19"/>
        </w:rPr>
        <w:t>실제 화면 캡처, API 응답 예시, 산식 검증자료, 기준원장 버전 및 오류·판정보류 사례를 실시예 증거자료로 보존할 것</w:t>
      </w:r>
    </w:p>
    <w:p>
      <w:pPr>
        <w:spacing w:before="200" w:after="80"/>
      </w:pPr>
      <w:r>
        <w:rPr>
          <w:rFonts w:ascii="맑은 고딕" w:hAnsi="맑은 고딕" w:eastAsia="맑은 고딕"/>
          <w:b/>
          <w:color w:val="1F4E5F"/>
          <w:sz w:val="30"/>
        </w:rPr>
        <w:t>5. 초안 사용 안내</w:t>
      </w:r>
    </w:p>
    <w:p>
      <w:pPr>
        <w:spacing w:line="324" w:lineRule="auto" w:after="80"/>
      </w:pPr>
      <w:r>
        <w:rPr>
          <w:rFonts w:ascii="맑은 고딕" w:hAnsi="맑은 고딕" w:eastAsia="맑은 고딕"/>
          <w:sz w:val="20"/>
        </w:rPr>
        <w:t>이 문서는 정식 특허명세서가 아니라 발명자 인터뷰와 변리사 초안 작성을 위한 요약형 신청자료이다. 최종 출원본에는 선행기술 대비표, 구체적 실시예, 도면, 부호의 설명, 청구범위 및 요약서를 특허법·시행규칙 형식에 맞게 보완해야 한다.</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변리사 검토용 초안 · 법률의견 아님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홈앤스테이 3대 포지셔닝 분석시스템 | 특허출원 요약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