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PARECER JURÍDICO N. ____/2026</w:t>
      </w:r>
    </w:p>
    <w:p/>
    <w:p>
      <w:r>
        <w:t>ASSUNTO: Inexigibilidade de licitação. Lei n. 14.133/2021. Art. 74.</w:t>
      </w:r>
    </w:p>
    <w:p/>
    <w:p>
      <w:r>
        <w:t>EMENTA</w:t>
      </w:r>
    </w:p>
    <w:p/>
    <w:p>
      <w:r>
        <w:t>Direito Administrativo. Contratação direta por inexigibilidade. Inviabilidade de competição. Hipóteses exemplificativas. Requisitos e justificativas.</w:t>
      </w:r>
    </w:p>
    <w:p/>
    <w:p>
      <w:r>
        <w:t>RELATÓRIO</w:t>
      </w:r>
    </w:p>
    <w:p/>
    <w:p>
      <w:r>
        <w:t>Trata-se de consulta acerca da possibilidade de contratação direta por inexigibilidade de licitação, nos termos do art. 74 da Lei n. 14.133/2021, para atendimento da necessidade administrativa descrita no processo.</w:t>
      </w:r>
    </w:p>
    <w:p/>
    <w:p>
      <w:r>
        <w:t>É o relatório. Passa-se à análise.</w:t>
      </w:r>
    </w:p>
    <w:p/>
    <w:p>
      <w:r>
        <w:t>FUNDAMENTAÇÃO</w:t>
      </w:r>
    </w:p>
    <w:p/>
    <w:p>
      <w:r>
        <w:t>1. Do enquadramento legal</w:t>
      </w:r>
    </w:p>
    <w:p/>
    <w:p>
      <w:r>
        <w:t>O art. 74 da Lei n. 14.133/2021 estabelece a inexigibilidade de licitação quando houver inviabilidade de competição. A inviabilidade pode decorrer, dentre outras hipóteses, de:</w:t>
      </w:r>
    </w:p>
    <w:p/>
    <w:p>
      <w:r>
        <w:t>- fornecedor exclusivo;</w:t>
      </w:r>
    </w:p>
    <w:p>
      <w:r>
        <w:t>- profissional de notória especialização;</w:t>
      </w:r>
    </w:p>
    <w:p>
      <w:r>
        <w:t>- contratação de artista consagrado.</w:t>
      </w:r>
    </w:p>
    <w:p/>
    <w:p>
      <w:r>
        <w:t>2. Dos requisitos formais</w:t>
      </w:r>
    </w:p>
    <w:p/>
    <w:p>
      <w:r>
        <w:t>Para a contratação direta, exige-se a demonstração da inviabilidade de competição, a motivação da escolha do contratado, a justificativa de preço e a compatibilidade do objeto com o interesse público.</w:t>
      </w:r>
    </w:p>
    <w:p/>
    <w:p>
      <w:r>
        <w:t>3. Da adequação ao caso concreto</w:t>
      </w:r>
    </w:p>
    <w:p/>
    <w:p>
      <w:r>
        <w:t>Consoante os elementos constantes do processo, verifica-se o atendimento dos requisitos legais e a adequada motivação da inexigibilidade, a depender da documentação comprobatória a ser juntada.</w:t>
      </w:r>
    </w:p>
    <w:p/>
    <w:p>
      <w:r>
        <w:t>CONCLUSÃO</w:t>
      </w:r>
    </w:p>
    <w:p/>
    <w:p>
      <w:r>
        <w:t>Ante o exposto, opina-se pela possibilidade jurídica de contratação direta por inexigibilidade, desde que comprovados, no processo, os requisitos legais e a justificativa de preço.</w:t>
      </w:r>
    </w:p>
    <w:p/>
    <w:p>
      <w:r>
        <w:t>Submeta-se à autoridade competente para decisão.</w:t>
      </w:r>
    </w:p>
    <w:p/>
    <w:p>
      <w:r>
        <w:t>[Local], [dia] de [mês] de 2026.</w:t>
      </w:r>
    </w:p>
    <w:p/>
    <w:p>
      <w:r>
        <w:t>__________________________________</w:t>
      </w:r>
    </w:p>
    <w:p>
      <w:r>
        <w:t>[Nome]</w:t>
      </w:r>
    </w:p>
    <w:p>
      <w:r>
        <w:t>[Cargo]</w:t>
      </w:r>
    </w:p>
    <w:p>
      <w:r>
        <w:t>[OAB/UF]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