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EMENTA</w:t>
      </w:r>
    </w:p>
    <w:p/>
    <w:p>
      <w:r>
        <w:t>Inexigibilidade de licitação. Lei nº 14.133/2021. Art. 74.</w:t>
      </w:r>
    </w:p>
    <w:p/>
    <w:p>
      <w:r>
        <w:t>RELATÓRIO</w:t>
      </w:r>
    </w:p>
    <w:p/>
    <w:p>
      <w:r>
        <w:t>Análise jurídica de contratação direta por inexigibilidade.</w:t>
      </w:r>
    </w:p>
    <w:p/>
    <w:p>
      <w:r>
        <w:t>FUNDAMENTAÇÃO</w:t>
      </w:r>
    </w:p>
    <w:p/>
    <w:p>
      <w:r>
        <w:t>Nos termos do art. 74 da Lei nº 14.133/2021, a licitação é inexigível quando houver inviabilidade de competição.</w:t>
      </w:r>
    </w:p>
    <w:p/>
    <w:p>
      <w:r>
        <w:t>Hipóteses comuns:</w:t>
      </w:r>
    </w:p>
    <w:p/>
    <w:p>
      <w:r>
        <w:t>- fornecedor exclusivo</w:t>
      </w:r>
    </w:p>
    <w:p>
      <w:r>
        <w:t>- notória especialização</w:t>
      </w:r>
    </w:p>
    <w:p>
      <w:r>
        <w:t>- contratação artística</w:t>
      </w:r>
    </w:p>
    <w:p/>
    <w:p>
      <w:r>
        <w:t>CONCLUSÃO</w:t>
      </w:r>
    </w:p>
    <w:p/>
    <w:p>
      <w:r>
        <w:t>Caracterizada a inviabilidade de competição, a contratação direta é juridicamente possível.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