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D55CE" w14:textId="7A12C20E" w:rsidR="005A6E1D" w:rsidRDefault="005A6E1D" w:rsidP="00AE08E2">
      <w:r w:rsidRPr="00203D66">
        <w:t>This is a list of use cases supported by this specification</w:t>
      </w:r>
      <w:r w:rsidR="00331801" w:rsidRPr="00203D66">
        <w:t>. These use cases will be further detailed.</w:t>
      </w:r>
    </w:p>
    <w:p w14:paraId="28703D3E" w14:textId="5710B77E" w:rsidR="00DA1B38" w:rsidRPr="00203D66" w:rsidRDefault="002F74FE" w:rsidP="00AE08E2">
      <w:r>
        <w:br/>
      </w:r>
      <w:r>
        <w:br/>
      </w:r>
    </w:p>
    <w:p w14:paraId="310299C1" w14:textId="42CC3DA3" w:rsidR="00AC5865" w:rsidRPr="00203D66" w:rsidRDefault="00035EB0" w:rsidP="00AC5865">
      <w:pPr>
        <w:pStyle w:val="Heading3"/>
      </w:pPr>
      <w:r w:rsidRPr="00203D66">
        <w:t xml:space="preserve">Patient </w:t>
      </w:r>
      <w:r w:rsidR="00030825" w:rsidRPr="00203D66">
        <w:t>Privacy considerations and requirements (WIP)</w:t>
      </w:r>
    </w:p>
    <w:p w14:paraId="3D328A26" w14:textId="17E634DE" w:rsidR="00101845" w:rsidRDefault="00101845" w:rsidP="008A189A"/>
    <w:p w14:paraId="02C413C0" w14:textId="69686288" w:rsidR="00101845" w:rsidRDefault="002F74FE" w:rsidP="008A189A">
      <w:r>
        <w:br/>
      </w:r>
      <w:r>
        <w:br/>
      </w:r>
    </w:p>
    <w:p w14:paraId="0CA525CF" w14:textId="56EAA4E0" w:rsidR="00576446" w:rsidRDefault="008A189A" w:rsidP="008A189A">
      <w:r w:rsidRPr="00203D66">
        <w:t>Access to read or change FHIR resources, or elements, or a set of elements, must depend on a set of rules and criteria (Requirement 1). Therefore, the actors (patients themselves, regulators, or practitioners) must have their access based on those rules, and must be able to consult those rules (Requirement 2). These access rules are managed by other actors, and access to these access rules is itself depending on the rules defined by the actors</w:t>
      </w:r>
      <w:r w:rsidR="00576446">
        <w:t>.</w:t>
      </w:r>
    </w:p>
    <w:p w14:paraId="41725F36" w14:textId="578CD44C" w:rsidR="00A00618" w:rsidRDefault="002F74FE" w:rsidP="00030825">
      <w:r>
        <w:br/>
      </w:r>
      <w:r>
        <w:br/>
      </w:r>
      <w:r w:rsidR="00C92731">
        <w:br/>
      </w:r>
      <w:r w:rsidR="008A189A" w:rsidRPr="00203D66">
        <w:t>There are different justifications for data exchange, namely those in GDPR. When addressing health data, which is sensitive information, special safeguards are to be put in place, and the consent by the patient has to be considered in the context – in a context of care, patients are usually not in a position to give explicit, specific and free consent.</w:t>
      </w:r>
    </w:p>
    <w:p w14:paraId="23650B77" w14:textId="6FDC95C1" w:rsidR="00087E2C" w:rsidRDefault="002F74FE" w:rsidP="00030825">
      <w:r>
        <w:br/>
      </w:r>
      <w:r>
        <w:br/>
      </w:r>
      <w:bookmarkStart w:id="0" w:name="_GoBack"/>
      <w:bookmarkEnd w:id="0"/>
    </w:p>
    <w:p w14:paraId="19173792" w14:textId="2ABB9DE7" w:rsidR="00087E2C" w:rsidRDefault="00087E2C" w:rsidP="00030825"/>
    <w:p w14:paraId="26FE5030" w14:textId="77777777" w:rsidR="00087E2C" w:rsidRPr="00203D66" w:rsidRDefault="00087E2C" w:rsidP="00030825"/>
    <w:p w14:paraId="44C253DC" w14:textId="19E76831" w:rsidR="00030825" w:rsidRPr="00203D66" w:rsidRDefault="00030825" w:rsidP="00030825">
      <w:pPr>
        <w:pStyle w:val="Heading4"/>
      </w:pPr>
      <w:r w:rsidRPr="00203D66">
        <w:t>Story map</w:t>
      </w:r>
    </w:p>
    <w:p w14:paraId="6E17F6CF" w14:textId="77777777" w:rsidR="00030825" w:rsidRPr="00203D66" w:rsidRDefault="00030825" w:rsidP="00030825">
      <w:pPr>
        <w:pStyle w:val="Heading5"/>
      </w:pPr>
      <w:r w:rsidRPr="00203D66">
        <w:t>R01</w:t>
      </w:r>
    </w:p>
    <w:p w14:paraId="286465E0" w14:textId="6F623A23" w:rsidR="00030825" w:rsidRPr="00203D66" w:rsidRDefault="00203D66" w:rsidP="00030825">
      <w:r w:rsidRPr="00203D66">
        <w:t>Different access permissions to data</w:t>
      </w:r>
      <w:r w:rsidR="00030825" w:rsidRPr="00203D66">
        <w:t>:</w:t>
      </w:r>
    </w:p>
    <w:p w14:paraId="2EA513D3" w14:textId="3D68DFD6" w:rsidR="00030825" w:rsidRDefault="00203D66" w:rsidP="00203D66">
      <w:pPr>
        <w:pStyle w:val="ListParagraph"/>
        <w:numPr>
          <w:ilvl w:val="0"/>
          <w:numId w:val="12"/>
        </w:numPr>
      </w:pPr>
      <w:r>
        <w:t>Patient roles can access their demographics and personal data</w:t>
      </w:r>
    </w:p>
    <w:p w14:paraId="2F8C1F41" w14:textId="113E580E" w:rsidR="00203D66" w:rsidRDefault="00203D66" w:rsidP="00203D66">
      <w:pPr>
        <w:pStyle w:val="ListParagraph"/>
        <w:numPr>
          <w:ilvl w:val="0"/>
          <w:numId w:val="13"/>
        </w:numPr>
      </w:pPr>
      <w:r>
        <w:t xml:space="preserve">Setting of simple access rules </w:t>
      </w:r>
    </w:p>
    <w:p w14:paraId="1FC4C9BC" w14:textId="6DD36008" w:rsidR="00203D66" w:rsidRDefault="00203D66" w:rsidP="00203D66">
      <w:pPr>
        <w:pStyle w:val="ListParagraph"/>
        <w:numPr>
          <w:ilvl w:val="0"/>
          <w:numId w:val="13"/>
        </w:numPr>
      </w:pPr>
      <w:r>
        <w:t>Grant access to certain roles</w:t>
      </w:r>
    </w:p>
    <w:p w14:paraId="61181308" w14:textId="2BF87EEC" w:rsidR="00203D66" w:rsidRDefault="00203D66" w:rsidP="00203D66">
      <w:pPr>
        <w:pStyle w:val="ListParagraph"/>
        <w:numPr>
          <w:ilvl w:val="0"/>
          <w:numId w:val="13"/>
        </w:numPr>
      </w:pPr>
      <w:r>
        <w:t>Remove access to any role*</w:t>
      </w:r>
    </w:p>
    <w:p w14:paraId="1BE42624" w14:textId="517E3637" w:rsidR="002E09DC" w:rsidRDefault="00203D66" w:rsidP="002E09DC">
      <w:pPr>
        <w:pStyle w:val="ListParagraph"/>
        <w:numPr>
          <w:ilvl w:val="0"/>
          <w:numId w:val="13"/>
        </w:numPr>
      </w:pPr>
      <w:r>
        <w:t>Evaluate impact of my consented access</w:t>
      </w:r>
      <w:r w:rsidR="002E09DC">
        <w:br/>
      </w:r>
    </w:p>
    <w:p w14:paraId="1A523B51" w14:textId="6D3571F8" w:rsidR="00203D66" w:rsidRDefault="00203D66" w:rsidP="00203D66">
      <w:pPr>
        <w:pStyle w:val="ListParagraph"/>
        <w:numPr>
          <w:ilvl w:val="0"/>
          <w:numId w:val="12"/>
        </w:numPr>
      </w:pPr>
      <w:r>
        <w:t xml:space="preserve">Patients roles have access to clinical data (e.g. </w:t>
      </w:r>
      <w:proofErr w:type="spellStart"/>
      <w:r w:rsidRPr="00203D66">
        <w:t>AllergyIntolerance</w:t>
      </w:r>
      <w:proofErr w:type="spellEnd"/>
      <w:r>
        <w:t>)</w:t>
      </w:r>
    </w:p>
    <w:p w14:paraId="6AA54912" w14:textId="3774E6C5" w:rsidR="00203D66" w:rsidRDefault="00531504" w:rsidP="00203D66">
      <w:pPr>
        <w:pStyle w:val="ListParagraph"/>
        <w:numPr>
          <w:ilvl w:val="1"/>
          <w:numId w:val="12"/>
        </w:numPr>
      </w:pPr>
      <w:r>
        <w:t>Rules apply to different resource types, a</w:t>
      </w:r>
      <w:r w:rsidR="00203D66">
        <w:t xml:space="preserve">s determined by the roles and purposes – </w:t>
      </w:r>
      <w:r>
        <w:t xml:space="preserve">must distinguish between </w:t>
      </w:r>
      <w:r w:rsidR="00203D66">
        <w:t xml:space="preserve">primary </w:t>
      </w:r>
      <w:r>
        <w:t xml:space="preserve">and secondary </w:t>
      </w:r>
      <w:r w:rsidR="00203D66">
        <w:t>data.</w:t>
      </w:r>
    </w:p>
    <w:p w14:paraId="5AE0F18C" w14:textId="37C6D916" w:rsidR="00531504" w:rsidRDefault="00531504" w:rsidP="00531504">
      <w:pPr>
        <w:pStyle w:val="ListParagraph"/>
        <w:numPr>
          <w:ilvl w:val="0"/>
          <w:numId w:val="12"/>
        </w:numPr>
      </w:pPr>
      <w:r>
        <w:t xml:space="preserve">Rules should be dependent on profile or transaction, because the same resource (e.g. </w:t>
      </w:r>
      <w:proofErr w:type="spellStart"/>
      <w:r>
        <w:t>CarePlan</w:t>
      </w:r>
      <w:proofErr w:type="spellEnd"/>
      <w:r>
        <w:t>, Observations) can be used in different contexts with different sensitivity constraints</w:t>
      </w:r>
    </w:p>
    <w:p w14:paraId="0C4768FE" w14:textId="15D919F2" w:rsidR="006C79B1" w:rsidRDefault="006C79B1" w:rsidP="006C79B1">
      <w:pPr>
        <w:pStyle w:val="ListParagraph"/>
        <w:numPr>
          <w:ilvl w:val="0"/>
          <w:numId w:val="12"/>
        </w:numPr>
      </w:pPr>
      <w:r>
        <w:t>Patients can grant access for specific purposes only</w:t>
      </w:r>
    </w:p>
    <w:p w14:paraId="6282FE5A" w14:textId="39CBB01B" w:rsidR="00531504" w:rsidRDefault="00531504" w:rsidP="00531504">
      <w:pPr>
        <w:pStyle w:val="ListParagraph"/>
        <w:numPr>
          <w:ilvl w:val="0"/>
          <w:numId w:val="12"/>
        </w:numPr>
      </w:pPr>
      <w:r>
        <w:t>GPs can see the access</w:t>
      </w:r>
      <w:r w:rsidR="00AD32CC">
        <w:t xml:space="preserve"> the data but of patients only if they are their family doctors</w:t>
      </w:r>
    </w:p>
    <w:p w14:paraId="1CF8AB18" w14:textId="2B605144" w:rsidR="00531504" w:rsidRDefault="00531504" w:rsidP="00531504">
      <w:pPr>
        <w:pStyle w:val="ListParagraph"/>
        <w:numPr>
          <w:ilvl w:val="1"/>
          <w:numId w:val="12"/>
        </w:numPr>
      </w:pPr>
      <w:r>
        <w:t>Access control must be extended to sub-roles and relations</w:t>
      </w:r>
    </w:p>
    <w:p w14:paraId="291A6D5B" w14:textId="1D1F85C3" w:rsidR="00AD32CC" w:rsidRDefault="00AD32CC" w:rsidP="00AD32CC">
      <w:pPr>
        <w:pStyle w:val="ListParagraph"/>
        <w:numPr>
          <w:ilvl w:val="0"/>
          <w:numId w:val="12"/>
        </w:numPr>
      </w:pPr>
      <w:r>
        <w:t>As care giver I cannot access the NISS number of the patient, only the name</w:t>
      </w:r>
    </w:p>
    <w:p w14:paraId="5D5B5BBC" w14:textId="12CE78C8" w:rsidR="00AD32CC" w:rsidRDefault="00AD32CC" w:rsidP="00AD32CC">
      <w:pPr>
        <w:pStyle w:val="ListParagraph"/>
        <w:numPr>
          <w:ilvl w:val="1"/>
          <w:numId w:val="12"/>
        </w:numPr>
      </w:pPr>
      <w:r>
        <w:t>Access to some fields may be restricted</w:t>
      </w:r>
    </w:p>
    <w:p w14:paraId="15FC54D8" w14:textId="51AEBE72" w:rsidR="00AD32CC" w:rsidRDefault="00AD32CC" w:rsidP="00AD32CC">
      <w:pPr>
        <w:pStyle w:val="ListParagraph"/>
        <w:numPr>
          <w:ilvl w:val="0"/>
          <w:numId w:val="12"/>
        </w:numPr>
      </w:pPr>
      <w:r>
        <w:t xml:space="preserve">As a care giver I cannot access patient health data marked as “private” </w:t>
      </w:r>
    </w:p>
    <w:p w14:paraId="37CD007E" w14:textId="2F99F3F3" w:rsidR="00AD32CC" w:rsidRDefault="00AD32CC" w:rsidP="00AD32CC">
      <w:pPr>
        <w:pStyle w:val="ListParagraph"/>
        <w:numPr>
          <w:ilvl w:val="1"/>
          <w:numId w:val="12"/>
        </w:numPr>
      </w:pPr>
      <w:r>
        <w:t>Need to classify the data elements, sets of elements, or resources</w:t>
      </w:r>
    </w:p>
    <w:p w14:paraId="2136B16B" w14:textId="498B5511" w:rsidR="00AD32CC" w:rsidRDefault="00AD32CC" w:rsidP="00AD32CC">
      <w:pPr>
        <w:pStyle w:val="ListParagraph"/>
        <w:numPr>
          <w:ilvl w:val="0"/>
          <w:numId w:val="12"/>
        </w:numPr>
      </w:pPr>
      <w:r>
        <w:t>As a care giver I can search for data, but I cannot obtain data that is beyond my access level</w:t>
      </w:r>
    </w:p>
    <w:p w14:paraId="014B36E9" w14:textId="07212D35" w:rsidR="00AD32CC" w:rsidRDefault="00AD32CC" w:rsidP="00AD32CC">
      <w:pPr>
        <w:pStyle w:val="ListParagraph"/>
        <w:numPr>
          <w:ilvl w:val="1"/>
          <w:numId w:val="12"/>
        </w:numPr>
      </w:pPr>
      <w:r>
        <w:t>Not allowed:</w:t>
      </w:r>
    </w:p>
    <w:p w14:paraId="1FD32941" w14:textId="1C61C8AC" w:rsidR="00AD32CC" w:rsidRDefault="00AD32CC" w:rsidP="00AD32CC">
      <w:pPr>
        <w:pStyle w:val="ListParagraph"/>
        <w:numPr>
          <w:ilvl w:val="2"/>
          <w:numId w:val="12"/>
        </w:numPr>
      </w:pPr>
      <w:proofErr w:type="spellStart"/>
      <w:r w:rsidRPr="00203D66">
        <w:t>AllergyIntolerance?</w:t>
      </w:r>
      <w:proofErr w:type="gramStart"/>
      <w:r w:rsidRPr="00203D66">
        <w:t>subject.address</w:t>
      </w:r>
      <w:proofErr w:type="spellEnd"/>
      <w:proofErr w:type="gramEnd"/>
      <w:r w:rsidRPr="00203D66">
        <w:t>=</w:t>
      </w:r>
      <w:proofErr w:type="spellStart"/>
      <w:r w:rsidRPr="00203D66">
        <w:t>Privéstraa</w:t>
      </w:r>
      <w:r>
        <w:t>t</w:t>
      </w:r>
      <w:proofErr w:type="spellEnd"/>
    </w:p>
    <w:p w14:paraId="4BCF289F" w14:textId="2463B2E8" w:rsidR="00AD32CC" w:rsidRPr="00203D66" w:rsidRDefault="00AD32CC" w:rsidP="00AD32CC">
      <w:pPr>
        <w:pStyle w:val="ListParagraph"/>
        <w:numPr>
          <w:ilvl w:val="2"/>
          <w:numId w:val="12"/>
        </w:numPr>
      </w:pPr>
      <w:proofErr w:type="spellStart"/>
      <w:r w:rsidRPr="00203D66">
        <w:t>AllergyIntolerance?</w:t>
      </w:r>
      <w:proofErr w:type="gramStart"/>
      <w:r w:rsidRPr="00203D66">
        <w:t>subject.SSIN</w:t>
      </w:r>
      <w:proofErr w:type="spellEnd"/>
      <w:proofErr w:type="gramEnd"/>
      <w:r w:rsidRPr="00203D66">
        <w:t xml:space="preserve">=123456789 </w:t>
      </w:r>
    </w:p>
    <w:p w14:paraId="487608DF" w14:textId="77777777" w:rsidR="00AD32CC" w:rsidRDefault="00AD32CC" w:rsidP="00030825">
      <w:pPr>
        <w:pStyle w:val="ListParagraph"/>
        <w:numPr>
          <w:ilvl w:val="1"/>
          <w:numId w:val="12"/>
        </w:numPr>
      </w:pPr>
      <w:r>
        <w:t>Allowed</w:t>
      </w:r>
    </w:p>
    <w:p w14:paraId="72D3A8A3" w14:textId="77777777" w:rsidR="00AD32CC" w:rsidRDefault="00030825" w:rsidP="00030825">
      <w:pPr>
        <w:pStyle w:val="ListParagraph"/>
        <w:numPr>
          <w:ilvl w:val="2"/>
          <w:numId w:val="12"/>
        </w:numPr>
      </w:pPr>
      <w:r w:rsidRPr="00203D66">
        <w:t>/</w:t>
      </w:r>
      <w:proofErr w:type="spellStart"/>
      <w:r w:rsidRPr="00203D66">
        <w:t>AllergyIntolerance?code</w:t>
      </w:r>
      <w:proofErr w:type="spellEnd"/>
      <w:r w:rsidRPr="00203D66">
        <w:t xml:space="preserve">=Hay fever </w:t>
      </w:r>
    </w:p>
    <w:p w14:paraId="70E9255D" w14:textId="607C5367" w:rsidR="00030825" w:rsidRDefault="00030825" w:rsidP="00030825">
      <w:pPr>
        <w:pStyle w:val="ListParagraph"/>
        <w:numPr>
          <w:ilvl w:val="2"/>
          <w:numId w:val="12"/>
        </w:numPr>
      </w:pPr>
      <w:r w:rsidRPr="00203D66">
        <w:t>/</w:t>
      </w:r>
      <w:proofErr w:type="spellStart"/>
      <w:r w:rsidRPr="00203D66">
        <w:t>AllergyIntolerance?</w:t>
      </w:r>
      <w:proofErr w:type="gramStart"/>
      <w:r w:rsidRPr="00203D66">
        <w:t>subject.family</w:t>
      </w:r>
      <w:proofErr w:type="spellEnd"/>
      <w:proofErr w:type="gramEnd"/>
      <w:r w:rsidRPr="00203D66">
        <w:t>=Janssens</w:t>
      </w:r>
    </w:p>
    <w:p w14:paraId="1C9891C1" w14:textId="77777777" w:rsidR="00576446" w:rsidRPr="00203D66" w:rsidRDefault="00576446" w:rsidP="00576446"/>
    <w:p w14:paraId="3B4B46D7" w14:textId="501AAF2C" w:rsidR="00030825" w:rsidRDefault="00030825" w:rsidP="00030825">
      <w:pPr>
        <w:pStyle w:val="Heading5"/>
      </w:pPr>
      <w:r w:rsidRPr="00203D66">
        <w:t>R02</w:t>
      </w:r>
      <w:r w:rsidR="00AD32CC">
        <w:t xml:space="preserve"> </w:t>
      </w:r>
    </w:p>
    <w:p w14:paraId="2ABF001B" w14:textId="517A6B45" w:rsidR="00AD32CC" w:rsidRDefault="00AD32CC" w:rsidP="00AD32CC">
      <w:r>
        <w:t>Access to system and access managers:</w:t>
      </w:r>
    </w:p>
    <w:p w14:paraId="60721F90" w14:textId="533771A0" w:rsidR="00AD32CC" w:rsidRDefault="006C79B1" w:rsidP="00AD32CC">
      <w:pPr>
        <w:pStyle w:val="ListParagraph"/>
        <w:numPr>
          <w:ilvl w:val="0"/>
          <w:numId w:val="14"/>
        </w:numPr>
      </w:pPr>
      <w:r>
        <w:t>A</w:t>
      </w:r>
      <w:r w:rsidR="00AD32CC">
        <w:t>ccess manager</w:t>
      </w:r>
      <w:r>
        <w:t>s</w:t>
      </w:r>
      <w:r w:rsidR="00AD32CC">
        <w:t xml:space="preserve"> can see the content of the </w:t>
      </w:r>
      <w:r>
        <w:t>P</w:t>
      </w:r>
      <w:r w:rsidR="00AD32CC">
        <w:t xml:space="preserve">ersonal </w:t>
      </w:r>
      <w:r>
        <w:t>D</w:t>
      </w:r>
      <w:r w:rsidR="00AD32CC">
        <w:t xml:space="preserve">ata </w:t>
      </w:r>
      <w:r>
        <w:t>A</w:t>
      </w:r>
      <w:r w:rsidR="00AD32CC">
        <w:t xml:space="preserve">ccess </w:t>
      </w:r>
      <w:r>
        <w:t>R</w:t>
      </w:r>
      <w:r w:rsidR="00AD32CC">
        <w:t>ules</w:t>
      </w:r>
    </w:p>
    <w:p w14:paraId="3C00083E" w14:textId="2FC4ED32" w:rsidR="00AD32CC" w:rsidRDefault="00AD32CC" w:rsidP="00AD32CC">
      <w:pPr>
        <w:pStyle w:val="ListParagraph"/>
        <w:numPr>
          <w:ilvl w:val="0"/>
          <w:numId w:val="14"/>
        </w:numPr>
      </w:pPr>
      <w:r>
        <w:t>Some rules are enabled but not visible to the patient - e.g. if the law requires some data to be shared with or without consent, the patient may not see that.</w:t>
      </w:r>
    </w:p>
    <w:p w14:paraId="56B45CE6" w14:textId="77777777" w:rsidR="00AD32CC" w:rsidRDefault="00AD32CC" w:rsidP="00AD32CC">
      <w:pPr>
        <w:pStyle w:val="ListParagraph"/>
        <w:numPr>
          <w:ilvl w:val="1"/>
          <w:numId w:val="14"/>
        </w:numPr>
      </w:pPr>
      <w:r>
        <w:t xml:space="preserve">Example cases: </w:t>
      </w:r>
    </w:p>
    <w:p w14:paraId="58E33034" w14:textId="081B4C69" w:rsidR="00AD32CC" w:rsidRDefault="00AD32CC" w:rsidP="00AD32CC">
      <w:pPr>
        <w:pStyle w:val="ListParagraph"/>
        <w:numPr>
          <w:ilvl w:val="2"/>
          <w:numId w:val="14"/>
        </w:numPr>
      </w:pPr>
      <w:r>
        <w:t>Mandatory reporting of infectious diseases</w:t>
      </w:r>
    </w:p>
    <w:p w14:paraId="1A4F01A8" w14:textId="7143A076" w:rsidR="00AD32CC" w:rsidRDefault="00AD32CC" w:rsidP="00AD32CC">
      <w:pPr>
        <w:pStyle w:val="ListParagraph"/>
        <w:numPr>
          <w:ilvl w:val="2"/>
          <w:numId w:val="14"/>
        </w:numPr>
      </w:pPr>
      <w:r>
        <w:t>Court-ordered access to data</w:t>
      </w:r>
    </w:p>
    <w:p w14:paraId="52EE09B7" w14:textId="718202AC" w:rsidR="00AD32CC" w:rsidRDefault="006C79B1" w:rsidP="00AD32CC">
      <w:pPr>
        <w:pStyle w:val="ListParagraph"/>
        <w:numPr>
          <w:ilvl w:val="0"/>
          <w:numId w:val="14"/>
        </w:numPr>
      </w:pPr>
      <w:r>
        <w:t>P</w:t>
      </w:r>
      <w:r w:rsidR="00AD32CC">
        <w:t>atient</w:t>
      </w:r>
      <w:r>
        <w:t>s</w:t>
      </w:r>
      <w:r w:rsidR="00AD32CC">
        <w:t xml:space="preserve"> can see the content of the personal data access rules (</w:t>
      </w:r>
      <w:r>
        <w:t xml:space="preserve">the rules </w:t>
      </w:r>
      <w:r w:rsidR="00AD32CC">
        <w:t xml:space="preserve">that </w:t>
      </w:r>
      <w:r>
        <w:t xml:space="preserve">they are </w:t>
      </w:r>
      <w:r w:rsidR="00AD32CC">
        <w:t>allowed to see)</w:t>
      </w:r>
    </w:p>
    <w:p w14:paraId="2AC5AD0E" w14:textId="3B949348" w:rsidR="00AD32CC" w:rsidRDefault="006C79B1" w:rsidP="00AD32CC">
      <w:pPr>
        <w:pStyle w:val="ListParagraph"/>
        <w:numPr>
          <w:ilvl w:val="0"/>
          <w:numId w:val="14"/>
        </w:numPr>
      </w:pPr>
      <w:r>
        <w:t>P</w:t>
      </w:r>
      <w:r w:rsidR="00AD32CC">
        <w:t>atient</w:t>
      </w:r>
      <w:r>
        <w:t>s</w:t>
      </w:r>
      <w:r w:rsidR="00AD32CC">
        <w:t xml:space="preserve"> can see wh</w:t>
      </w:r>
      <w:r>
        <w:t xml:space="preserve">ich individuals </w:t>
      </w:r>
      <w:r w:rsidR="00AD32CC">
        <w:t xml:space="preserve">(not only roles) has access to </w:t>
      </w:r>
      <w:r>
        <w:t xml:space="preserve">their </w:t>
      </w:r>
      <w:r w:rsidR="00AD32CC">
        <w:t>data</w:t>
      </w:r>
    </w:p>
    <w:p w14:paraId="14D4A279" w14:textId="0D88B560" w:rsidR="00AD32CC" w:rsidRDefault="006C79B1" w:rsidP="00AD32CC">
      <w:pPr>
        <w:pStyle w:val="ListParagraph"/>
        <w:numPr>
          <w:ilvl w:val="0"/>
          <w:numId w:val="14"/>
        </w:numPr>
      </w:pPr>
      <w:r>
        <w:t>P</w:t>
      </w:r>
      <w:r w:rsidR="00AD32CC">
        <w:t>atient</w:t>
      </w:r>
      <w:r>
        <w:t>s</w:t>
      </w:r>
      <w:r w:rsidR="00AD32CC">
        <w:t xml:space="preserve"> can refuse consent to data by some users (note that refusing consent is not the same as blocking access)</w:t>
      </w:r>
    </w:p>
    <w:p w14:paraId="75DFDCE9" w14:textId="68EE3E45" w:rsidR="00AD32CC" w:rsidRDefault="006C79B1" w:rsidP="00AD32CC">
      <w:pPr>
        <w:pStyle w:val="ListParagraph"/>
        <w:numPr>
          <w:ilvl w:val="0"/>
          <w:numId w:val="14"/>
        </w:numPr>
      </w:pPr>
      <w:r>
        <w:t>Access managers’ access to the Personal Data Access Rules is itself limited by a set of rules (Access Control Rules)</w:t>
      </w:r>
    </w:p>
    <w:p w14:paraId="16D7CFC9" w14:textId="3E575C1C" w:rsidR="006C79B1" w:rsidRDefault="006C79B1" w:rsidP="00AD32CC">
      <w:pPr>
        <w:pStyle w:val="ListParagraph"/>
        <w:numPr>
          <w:ilvl w:val="0"/>
          <w:numId w:val="14"/>
        </w:numPr>
      </w:pPr>
      <w:r>
        <w:t>Any change of access (from the any of the actors) must be checked for errors – if a user tries to change a rule outside their permissions, or a conflicting rule, this will be logged</w:t>
      </w:r>
    </w:p>
    <w:p w14:paraId="38757218" w14:textId="7D958DF6" w:rsidR="006C79B1" w:rsidRDefault="006C79B1" w:rsidP="00AD32CC">
      <w:pPr>
        <w:pStyle w:val="ListParagraph"/>
        <w:numPr>
          <w:ilvl w:val="0"/>
          <w:numId w:val="14"/>
        </w:numPr>
      </w:pPr>
      <w:r>
        <w:t>Users and access managers must have a User Interface to monitor their permissions (in the scope of their visibility to them)</w:t>
      </w:r>
    </w:p>
    <w:p w14:paraId="75D3503C" w14:textId="743DE0F1" w:rsidR="006C79B1" w:rsidRPr="00576446" w:rsidRDefault="002E09DC" w:rsidP="006C79B1">
      <w:pPr>
        <w:ind w:left="360"/>
        <w:rPr>
          <w:lang w:val="pt-PT"/>
        </w:rPr>
      </w:pPr>
      <w:r>
        <w:br/>
      </w:r>
    </w:p>
    <w:p w14:paraId="6E842018" w14:textId="6D742421" w:rsidR="00030825" w:rsidRPr="00203D66" w:rsidRDefault="00030825" w:rsidP="00030825"/>
    <w:sectPr w:rsidR="00030825" w:rsidRPr="00203D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480CA3"/>
    <w:multiLevelType w:val="multilevel"/>
    <w:tmpl w:val="E0805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0E6059"/>
    <w:multiLevelType w:val="multilevel"/>
    <w:tmpl w:val="F1F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F7F49"/>
    <w:multiLevelType w:val="hybridMultilevel"/>
    <w:tmpl w:val="A99A0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B676E9"/>
    <w:multiLevelType w:val="hybridMultilevel"/>
    <w:tmpl w:val="290067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136A5C"/>
    <w:multiLevelType w:val="multilevel"/>
    <w:tmpl w:val="492C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50606"/>
    <w:multiLevelType w:val="hybridMultilevel"/>
    <w:tmpl w:val="63DAF994"/>
    <w:lvl w:ilvl="0" w:tplc="08090001">
      <w:start w:val="1"/>
      <w:numFmt w:val="bullet"/>
      <w:lvlText w:val=""/>
      <w:lvlJc w:val="left"/>
      <w:pPr>
        <w:ind w:left="1493" w:hanging="360"/>
      </w:pPr>
      <w:rPr>
        <w:rFonts w:ascii="Symbol" w:hAnsi="Symbol" w:hint="default"/>
      </w:rPr>
    </w:lvl>
    <w:lvl w:ilvl="1" w:tplc="08090003" w:tentative="1">
      <w:start w:val="1"/>
      <w:numFmt w:val="bullet"/>
      <w:lvlText w:val="o"/>
      <w:lvlJc w:val="left"/>
      <w:pPr>
        <w:ind w:left="2213" w:hanging="360"/>
      </w:pPr>
      <w:rPr>
        <w:rFonts w:ascii="Courier New" w:hAnsi="Courier New" w:cs="Courier New" w:hint="default"/>
      </w:rPr>
    </w:lvl>
    <w:lvl w:ilvl="2" w:tplc="08090005" w:tentative="1">
      <w:start w:val="1"/>
      <w:numFmt w:val="bullet"/>
      <w:lvlText w:val=""/>
      <w:lvlJc w:val="left"/>
      <w:pPr>
        <w:ind w:left="2933" w:hanging="360"/>
      </w:pPr>
      <w:rPr>
        <w:rFonts w:ascii="Wingdings" w:hAnsi="Wingdings" w:hint="default"/>
      </w:rPr>
    </w:lvl>
    <w:lvl w:ilvl="3" w:tplc="08090001" w:tentative="1">
      <w:start w:val="1"/>
      <w:numFmt w:val="bullet"/>
      <w:lvlText w:val=""/>
      <w:lvlJc w:val="left"/>
      <w:pPr>
        <w:ind w:left="3653" w:hanging="360"/>
      </w:pPr>
      <w:rPr>
        <w:rFonts w:ascii="Symbol" w:hAnsi="Symbol" w:hint="default"/>
      </w:rPr>
    </w:lvl>
    <w:lvl w:ilvl="4" w:tplc="08090003" w:tentative="1">
      <w:start w:val="1"/>
      <w:numFmt w:val="bullet"/>
      <w:lvlText w:val="o"/>
      <w:lvlJc w:val="left"/>
      <w:pPr>
        <w:ind w:left="4373" w:hanging="360"/>
      </w:pPr>
      <w:rPr>
        <w:rFonts w:ascii="Courier New" w:hAnsi="Courier New" w:cs="Courier New" w:hint="default"/>
      </w:rPr>
    </w:lvl>
    <w:lvl w:ilvl="5" w:tplc="08090005" w:tentative="1">
      <w:start w:val="1"/>
      <w:numFmt w:val="bullet"/>
      <w:lvlText w:val=""/>
      <w:lvlJc w:val="left"/>
      <w:pPr>
        <w:ind w:left="5093" w:hanging="360"/>
      </w:pPr>
      <w:rPr>
        <w:rFonts w:ascii="Wingdings" w:hAnsi="Wingdings" w:hint="default"/>
      </w:rPr>
    </w:lvl>
    <w:lvl w:ilvl="6" w:tplc="08090001" w:tentative="1">
      <w:start w:val="1"/>
      <w:numFmt w:val="bullet"/>
      <w:lvlText w:val=""/>
      <w:lvlJc w:val="left"/>
      <w:pPr>
        <w:ind w:left="5813" w:hanging="360"/>
      </w:pPr>
      <w:rPr>
        <w:rFonts w:ascii="Symbol" w:hAnsi="Symbol" w:hint="default"/>
      </w:rPr>
    </w:lvl>
    <w:lvl w:ilvl="7" w:tplc="08090003" w:tentative="1">
      <w:start w:val="1"/>
      <w:numFmt w:val="bullet"/>
      <w:lvlText w:val="o"/>
      <w:lvlJc w:val="left"/>
      <w:pPr>
        <w:ind w:left="6533" w:hanging="360"/>
      </w:pPr>
      <w:rPr>
        <w:rFonts w:ascii="Courier New" w:hAnsi="Courier New" w:cs="Courier New" w:hint="default"/>
      </w:rPr>
    </w:lvl>
    <w:lvl w:ilvl="8" w:tplc="08090005" w:tentative="1">
      <w:start w:val="1"/>
      <w:numFmt w:val="bullet"/>
      <w:lvlText w:val=""/>
      <w:lvlJc w:val="left"/>
      <w:pPr>
        <w:ind w:left="7253" w:hanging="360"/>
      </w:pPr>
      <w:rPr>
        <w:rFonts w:ascii="Wingdings" w:hAnsi="Wingdings" w:hint="default"/>
      </w:rPr>
    </w:lvl>
  </w:abstractNum>
  <w:abstractNum w:abstractNumId="6" w15:restartNumberingAfterBreak="0">
    <w:nsid w:val="4B762467"/>
    <w:multiLevelType w:val="hybridMultilevel"/>
    <w:tmpl w:val="5786120E"/>
    <w:lvl w:ilvl="0" w:tplc="4686DD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A80B74"/>
    <w:multiLevelType w:val="hybridMultilevel"/>
    <w:tmpl w:val="0A9EA4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277ED1"/>
    <w:multiLevelType w:val="multilevel"/>
    <w:tmpl w:val="F5E4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85366"/>
    <w:multiLevelType w:val="multilevel"/>
    <w:tmpl w:val="5816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146A17"/>
    <w:multiLevelType w:val="hybridMultilevel"/>
    <w:tmpl w:val="5D32D1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1"/>
  </w:num>
  <w:num w:numId="5">
    <w:abstractNumId w:val="7"/>
  </w:num>
  <w:num w:numId="6">
    <w:abstractNumId w:val="6"/>
  </w:num>
  <w:num w:numId="7">
    <w:abstractNumId w:val="0"/>
  </w:num>
  <w:num w:numId="8">
    <w:abstractNumId w:val="0"/>
    <w:lvlOverride w:ilvl="1">
      <w:lvl w:ilvl="1">
        <w:numFmt w:val="lowerLetter"/>
        <w:lvlText w:val="%2."/>
        <w:lvlJc w:val="left"/>
      </w:lvl>
    </w:lvlOverride>
  </w:num>
  <w:num w:numId="9">
    <w:abstractNumId w:val="0"/>
    <w:lvlOverride w:ilvl="1">
      <w:lvl w:ilvl="1">
        <w:numFmt w:val="lowerLetter"/>
        <w:lvlText w:val="%2."/>
        <w:lvlJc w:val="left"/>
      </w:lvl>
    </w:lvlOverride>
  </w:num>
  <w:num w:numId="10">
    <w:abstractNumId w:val="0"/>
    <w:lvlOverride w:ilvl="1">
      <w:lvl w:ilvl="1">
        <w:numFmt w:val="lowerLetter"/>
        <w:lvlText w:val="%2."/>
        <w:lvlJc w:val="left"/>
      </w:lvl>
    </w:lvlOverride>
  </w:num>
  <w:num w:numId="11">
    <w:abstractNumId w:val="2"/>
  </w:num>
  <w:num w:numId="12">
    <w:abstractNumId w:val="3"/>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35E"/>
    <w:rsid w:val="00030825"/>
    <w:rsid w:val="00035EB0"/>
    <w:rsid w:val="000461DA"/>
    <w:rsid w:val="00087E2C"/>
    <w:rsid w:val="00101845"/>
    <w:rsid w:val="00203D66"/>
    <w:rsid w:val="002E09DC"/>
    <w:rsid w:val="002F74FE"/>
    <w:rsid w:val="00331801"/>
    <w:rsid w:val="0042535E"/>
    <w:rsid w:val="00452A87"/>
    <w:rsid w:val="00531504"/>
    <w:rsid w:val="005352A9"/>
    <w:rsid w:val="00576446"/>
    <w:rsid w:val="005A6E1D"/>
    <w:rsid w:val="005E7E35"/>
    <w:rsid w:val="00601A6D"/>
    <w:rsid w:val="00622FE3"/>
    <w:rsid w:val="00694DDF"/>
    <w:rsid w:val="006C79B1"/>
    <w:rsid w:val="00827BBD"/>
    <w:rsid w:val="008A189A"/>
    <w:rsid w:val="008C36D3"/>
    <w:rsid w:val="008F4B4B"/>
    <w:rsid w:val="00A00618"/>
    <w:rsid w:val="00A35004"/>
    <w:rsid w:val="00AC5865"/>
    <w:rsid w:val="00AD32CC"/>
    <w:rsid w:val="00AE08E2"/>
    <w:rsid w:val="00B56405"/>
    <w:rsid w:val="00BE3252"/>
    <w:rsid w:val="00C92731"/>
    <w:rsid w:val="00D42CB3"/>
    <w:rsid w:val="00DA1B38"/>
    <w:rsid w:val="00DD0291"/>
    <w:rsid w:val="00F22938"/>
    <w:rsid w:val="00F510C0"/>
    <w:rsid w:val="00F55264"/>
    <w:rsid w:val="00FF0682"/>
    <w:rsid w:val="00FF1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9685D"/>
  <w15:chartTrackingRefBased/>
  <w15:docId w15:val="{AFF9196E-44C6-4A62-9CA1-3548BE87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5E"/>
  </w:style>
  <w:style w:type="paragraph" w:styleId="Heading3">
    <w:name w:val="heading 3"/>
    <w:basedOn w:val="Normal"/>
    <w:link w:val="Heading3Char"/>
    <w:uiPriority w:val="9"/>
    <w:qFormat/>
    <w:rsid w:val="0042535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03082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3082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535E"/>
    <w:rPr>
      <w:rFonts w:ascii="Times New Roman" w:eastAsia="Times New Roman" w:hAnsi="Times New Roman" w:cs="Times New Roman"/>
      <w:b/>
      <w:bCs/>
      <w:sz w:val="27"/>
      <w:szCs w:val="27"/>
      <w:lang w:eastAsia="en-GB"/>
    </w:rPr>
  </w:style>
  <w:style w:type="table" w:styleId="TableGrid">
    <w:name w:val="Table Grid"/>
    <w:basedOn w:val="TableNormal"/>
    <w:uiPriority w:val="39"/>
    <w:rsid w:val="005E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0291"/>
    <w:pPr>
      <w:ind w:left="720"/>
      <w:contextualSpacing/>
    </w:pPr>
  </w:style>
  <w:style w:type="paragraph" w:styleId="NormalWeb">
    <w:name w:val="Normal (Web)"/>
    <w:basedOn w:val="Normal"/>
    <w:uiPriority w:val="99"/>
    <w:semiHidden/>
    <w:unhideWhenUsed/>
    <w:rsid w:val="00035E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4Char">
    <w:name w:val="Heading 4 Char"/>
    <w:basedOn w:val="DefaultParagraphFont"/>
    <w:link w:val="Heading4"/>
    <w:uiPriority w:val="9"/>
    <w:rsid w:val="0003082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3082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19789">
      <w:bodyDiv w:val="1"/>
      <w:marLeft w:val="0"/>
      <w:marRight w:val="0"/>
      <w:marTop w:val="0"/>
      <w:marBottom w:val="0"/>
      <w:divBdr>
        <w:top w:val="none" w:sz="0" w:space="0" w:color="auto"/>
        <w:left w:val="none" w:sz="0" w:space="0" w:color="auto"/>
        <w:bottom w:val="none" w:sz="0" w:space="0" w:color="auto"/>
        <w:right w:val="none" w:sz="0" w:space="0" w:color="auto"/>
      </w:divBdr>
    </w:div>
    <w:div w:id="565146767">
      <w:bodyDiv w:val="1"/>
      <w:marLeft w:val="0"/>
      <w:marRight w:val="0"/>
      <w:marTop w:val="0"/>
      <w:marBottom w:val="0"/>
      <w:divBdr>
        <w:top w:val="none" w:sz="0" w:space="0" w:color="auto"/>
        <w:left w:val="none" w:sz="0" w:space="0" w:color="auto"/>
        <w:bottom w:val="none" w:sz="0" w:space="0" w:color="auto"/>
        <w:right w:val="none" w:sz="0" w:space="0" w:color="auto"/>
      </w:divBdr>
    </w:div>
    <w:div w:id="922303843">
      <w:bodyDiv w:val="1"/>
      <w:marLeft w:val="0"/>
      <w:marRight w:val="0"/>
      <w:marTop w:val="0"/>
      <w:marBottom w:val="0"/>
      <w:divBdr>
        <w:top w:val="none" w:sz="0" w:space="0" w:color="auto"/>
        <w:left w:val="none" w:sz="0" w:space="0" w:color="auto"/>
        <w:bottom w:val="none" w:sz="0" w:space="0" w:color="auto"/>
        <w:right w:val="none" w:sz="0" w:space="0" w:color="auto"/>
      </w:divBdr>
    </w:div>
    <w:div w:id="942876919">
      <w:bodyDiv w:val="1"/>
      <w:marLeft w:val="0"/>
      <w:marRight w:val="0"/>
      <w:marTop w:val="0"/>
      <w:marBottom w:val="0"/>
      <w:divBdr>
        <w:top w:val="none" w:sz="0" w:space="0" w:color="auto"/>
        <w:left w:val="none" w:sz="0" w:space="0" w:color="auto"/>
        <w:bottom w:val="none" w:sz="0" w:space="0" w:color="auto"/>
        <w:right w:val="none" w:sz="0" w:space="0" w:color="auto"/>
      </w:divBdr>
    </w:div>
    <w:div w:id="1459567155">
      <w:bodyDiv w:val="1"/>
      <w:marLeft w:val="0"/>
      <w:marRight w:val="0"/>
      <w:marTop w:val="0"/>
      <w:marBottom w:val="0"/>
      <w:divBdr>
        <w:top w:val="none" w:sz="0" w:space="0" w:color="auto"/>
        <w:left w:val="none" w:sz="0" w:space="0" w:color="auto"/>
        <w:bottom w:val="none" w:sz="0" w:space="0" w:color="auto"/>
        <w:right w:val="none" w:sz="0" w:space="0" w:color="auto"/>
      </w:divBdr>
    </w:div>
    <w:div w:id="209100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AC04D-68C1-4E62-BFED-41416515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Costa Teixeira</dc:creator>
  <cp:keywords/>
  <dc:description/>
  <cp:lastModifiedBy>Jose Costa Teixeira</cp:lastModifiedBy>
  <cp:revision>20</cp:revision>
  <dcterms:created xsi:type="dcterms:W3CDTF">2020-02-23T19:35:00Z</dcterms:created>
  <dcterms:modified xsi:type="dcterms:W3CDTF">2020-02-26T19:07:00Z</dcterms:modified>
</cp:coreProperties>
</file>