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D9A87" w14:textId="1E0203C1" w:rsidR="000E6CDA" w:rsidRPr="000E6CDA" w:rsidRDefault="000E6CDA" w:rsidP="000E6CDA"/>
    <w:p w14:paraId="2ABDEAB6" w14:textId="77777777" w:rsidR="000E6CDA" w:rsidRPr="000E6CDA" w:rsidRDefault="000E6CDA" w:rsidP="000E6CDA">
      <w:pPr>
        <w:rPr>
          <w:b/>
          <w:bCs/>
        </w:rPr>
      </w:pPr>
      <w:r w:rsidRPr="000E6CDA">
        <w:rPr>
          <w:b/>
          <w:bCs/>
        </w:rPr>
        <w:t>歐洲聯邦</w:t>
      </w:r>
    </w:p>
    <w:p w14:paraId="52E20E66" w14:textId="77777777" w:rsidR="000E6CDA" w:rsidRPr="000E6CDA" w:rsidRDefault="000E6CDA" w:rsidP="000E6CDA">
      <w:r w:rsidRPr="000E6CDA">
        <w:rPr>
          <w:b/>
          <w:bCs/>
        </w:rPr>
        <w:t>The European Federation</w:t>
      </w:r>
    </w:p>
    <w:p w14:paraId="454F476E" w14:textId="77777777" w:rsidR="000E6CDA" w:rsidRPr="000E6CDA" w:rsidRDefault="000E6CDA" w:rsidP="000E6CDA">
      <w:r w:rsidRPr="000E6CDA">
        <w:pict w14:anchorId="693B2C50">
          <v:rect id="_x0000_i1148" style="width:0;height:1.5pt" o:hralign="center" o:hrstd="t" o:hr="t" fillcolor="#a0a0a0" stroked="f"/>
        </w:pict>
      </w:r>
    </w:p>
    <w:p w14:paraId="0D7421C7" w14:textId="77777777" w:rsidR="000E6CDA" w:rsidRPr="000E6CDA" w:rsidRDefault="000E6CDA" w:rsidP="000E6CDA">
      <w:pPr>
        <w:rPr>
          <w:b/>
          <w:bCs/>
        </w:rPr>
      </w:pPr>
      <w:r w:rsidRPr="000E6CDA">
        <w:rPr>
          <w:b/>
          <w:bCs/>
        </w:rPr>
        <w:t>簡介</w:t>
      </w:r>
    </w:p>
    <w:p w14:paraId="3B408877" w14:textId="77777777" w:rsidR="000E6CDA" w:rsidRPr="000E6CDA" w:rsidRDefault="000E6CDA" w:rsidP="000E6CDA">
      <w:r w:rsidRPr="000E6CDA">
        <w:t>歐洲聯邦是</w:t>
      </w:r>
      <w:r w:rsidRPr="000E6CDA">
        <w:t>2040</w:t>
      </w:r>
      <w:r w:rsidRPr="000E6CDA">
        <w:t>年世界格局中最獨特的主要政治體之</w:t>
      </w:r>
      <w:proofErr w:type="gramStart"/>
      <w:r w:rsidRPr="000E6CDA">
        <w:t>一</w:t>
      </w:r>
      <w:proofErr w:type="gramEnd"/>
      <w:r w:rsidRPr="000E6CDA">
        <w:t>。它不是傳統意義上的軍事強權，而是一個靠「規則」而非武力來投射影響力的「規範性超級大國」。在「長和平」多</w:t>
      </w:r>
      <w:proofErr w:type="gramStart"/>
      <w:r w:rsidRPr="000E6CDA">
        <w:t>極</w:t>
      </w:r>
      <w:proofErr w:type="gramEnd"/>
      <w:r w:rsidRPr="000E6CDA">
        <w:t>均勢確立後的數十年裡，歐洲各國的經濟與政治一體化進程遠比讀者所在現實世界要</w:t>
      </w:r>
      <w:proofErr w:type="gramStart"/>
      <w:r w:rsidRPr="000E6CDA">
        <w:t>深入，</w:t>
      </w:r>
      <w:proofErr w:type="gramEnd"/>
      <w:r w:rsidRPr="000E6CDA">
        <w:t>最終形成了一個更為緊密的聯邦實體。「歐盟標準」在全球範圍內是最高品質的代名詞；「卡珊德拉」</w:t>
      </w:r>
      <w:r w:rsidRPr="000E6CDA">
        <w:t>AI</w:t>
      </w:r>
      <w:r w:rsidRPr="000E6CDA">
        <w:t>是人類文明唯一的官方道德煞車片；其公民普遍享有這個星球上最高的社會福利與生活品質。然而在光輝的理想</w:t>
      </w:r>
      <w:proofErr w:type="gramStart"/>
      <w:r w:rsidRPr="000E6CDA">
        <w:t>國外牆</w:t>
      </w:r>
      <w:proofErr w:type="gramEnd"/>
      <w:r w:rsidRPr="000E6CDA">
        <w:t>之後，一種「精緻的</w:t>
      </w:r>
      <w:proofErr w:type="gramStart"/>
      <w:r w:rsidRPr="000E6CDA">
        <w:t>疲憊」</w:t>
      </w:r>
      <w:proofErr w:type="gramEnd"/>
      <w:r w:rsidRPr="000E6CDA">
        <w:t>正在悄悄腐蝕這座花園的活力。</w:t>
      </w:r>
    </w:p>
    <w:p w14:paraId="35C00769" w14:textId="77777777" w:rsidR="000E6CDA" w:rsidRPr="000E6CDA" w:rsidRDefault="000E6CDA" w:rsidP="000E6CDA">
      <w:r w:rsidRPr="000E6CDA">
        <w:pict w14:anchorId="1E1FF6CB">
          <v:rect id="_x0000_i1149" style="width:0;height:1.5pt" o:hralign="center" o:hrstd="t" o:hr="t" fillcolor="#a0a0a0" stroked="f"/>
        </w:pict>
      </w:r>
    </w:p>
    <w:p w14:paraId="22E91A3E" w14:textId="77777777" w:rsidR="000E6CDA" w:rsidRPr="000E6CDA" w:rsidRDefault="000E6CDA" w:rsidP="000E6CDA">
      <w:pPr>
        <w:rPr>
          <w:b/>
          <w:bCs/>
        </w:rPr>
      </w:pPr>
      <w:r w:rsidRPr="000E6CDA">
        <w:rPr>
          <w:b/>
          <w:bCs/>
        </w:rPr>
        <w:t>歷史背景</w:t>
      </w:r>
    </w:p>
    <w:p w14:paraId="63A080DB" w14:textId="77777777" w:rsidR="000E6CDA" w:rsidRPr="000E6CDA" w:rsidRDefault="000E6CDA" w:rsidP="000E6CDA">
      <w:pPr>
        <w:rPr>
          <w:b/>
          <w:bCs/>
        </w:rPr>
      </w:pPr>
      <w:r w:rsidRPr="000E6CDA">
        <w:rPr>
          <w:b/>
          <w:bCs/>
        </w:rPr>
        <w:t>「長和平」的最大受益者</w:t>
      </w:r>
    </w:p>
    <w:p w14:paraId="1F7C4493" w14:textId="77777777" w:rsidR="000E6CDA" w:rsidRPr="000E6CDA" w:rsidRDefault="000E6CDA" w:rsidP="000E6CDA">
      <w:r w:rsidRPr="000E6CDA">
        <w:t>歐洲聯邦是「長和平」格局最大的受益者，也因此患上了最嚴重的「戰略惰性」。數十年不曾感受到真正的戰爭威脅，使得歐洲的防務一體化進程極為緩慢，軍事實力相對萎縮。「恆（穩定者）」在</w:t>
      </w:r>
      <w:r w:rsidRPr="000E6CDA">
        <w:t>20</w:t>
      </w:r>
      <w:r w:rsidRPr="000E6CDA">
        <w:t>世紀</w:t>
      </w:r>
      <w:r w:rsidRPr="000E6CDA">
        <w:t>90</w:t>
      </w:r>
      <w:r w:rsidRPr="000E6CDA">
        <w:t>年代對蘇聯解體的秘密干預，使東歐局勢以近乎「天鵝絨革命」的方式和平落幕，俄羅斯迅速融入全球經濟體系</w:t>
      </w:r>
      <w:proofErr w:type="gramStart"/>
      <w:r w:rsidRPr="000E6CDA">
        <w:t>——</w:t>
      </w:r>
      <w:proofErr w:type="gramEnd"/>
      <w:r w:rsidRPr="000E6CDA">
        <w:t>這個結果讓歐洲在過去半個世紀裡，從未需要面對一場真正的生死賭局。</w:t>
      </w:r>
    </w:p>
    <w:p w14:paraId="7D5F8E45" w14:textId="77777777" w:rsidR="000E6CDA" w:rsidRPr="000E6CDA" w:rsidRDefault="000E6CDA" w:rsidP="000E6CDA">
      <w:r w:rsidRPr="000E6CDA">
        <w:t>這種歷史的安逸，塑造了歐洲聯邦的一切：它的優雅，它的規則癖，以及它無法在硬實力博弈中取得決定性勝利的根本侷限。</w:t>
      </w:r>
    </w:p>
    <w:p w14:paraId="55E1E939" w14:textId="77777777" w:rsidR="000E6CDA" w:rsidRPr="000E6CDA" w:rsidRDefault="000E6CDA" w:rsidP="000E6CDA">
      <w:pPr>
        <w:rPr>
          <w:b/>
          <w:bCs/>
        </w:rPr>
      </w:pPr>
      <w:r w:rsidRPr="000E6CDA">
        <w:rPr>
          <w:b/>
          <w:bCs/>
        </w:rPr>
        <w:t>GDPR</w:t>
      </w:r>
      <w:r w:rsidRPr="000E6CDA">
        <w:rPr>
          <w:b/>
          <w:bCs/>
        </w:rPr>
        <w:t>的進化</w:t>
      </w:r>
    </w:p>
    <w:p w14:paraId="56BD08CC" w14:textId="77777777" w:rsidR="000E6CDA" w:rsidRPr="000E6CDA" w:rsidRDefault="000E6CDA" w:rsidP="000E6CDA">
      <w:r w:rsidRPr="000E6CDA">
        <w:t>歐洲聯邦現行數位治理體系的思想根源，可上溯至</w:t>
      </w:r>
      <w:r w:rsidRPr="000E6CDA">
        <w:t>2018</w:t>
      </w:r>
      <w:r w:rsidRPr="000E6CDA">
        <w:t>年讀者所在現實中已然存在的《通用數據保護條例》（</w:t>
      </w:r>
      <w:r w:rsidRPr="000E6CDA">
        <w:t>GDPR</w:t>
      </w:r>
      <w:r w:rsidRPr="000E6CDA">
        <w:t>）。在本世界，這部法案未被後來的技術浪潮所淹沒，反而持續進化擴展，最終在</w:t>
      </w:r>
      <w:r w:rsidRPr="000E6CDA">
        <w:t>2020</w:t>
      </w:r>
      <w:r w:rsidRPr="000E6CDA">
        <w:t>年升格為被譽為「數位時代人權憲章」的《通用數據尊嚴條例》（</w:t>
      </w:r>
      <w:r w:rsidRPr="000E6CDA">
        <w:t>General Data Dignity Regulation</w:t>
      </w:r>
      <w:r w:rsidRPr="000E6CDA">
        <w:t>，</w:t>
      </w:r>
      <w:r w:rsidRPr="000E6CDA">
        <w:t>GDDR</w:t>
      </w:r>
      <w:r w:rsidRPr="000E6CDA">
        <w:t>）。</w:t>
      </w:r>
      <w:r w:rsidRPr="000E6CDA">
        <w:t>GDDR</w:t>
      </w:r>
      <w:r w:rsidRPr="000E6CDA">
        <w:lastRenderedPageBreak/>
        <w:t>第一條明確規定：「任何由個體所產生的數據，其最終的所有權、解釋權與收益權，</w:t>
      </w:r>
      <w:proofErr w:type="gramStart"/>
      <w:r w:rsidRPr="000E6CDA">
        <w:t>都且只</w:t>
      </w:r>
      <w:proofErr w:type="gramEnd"/>
      <w:r w:rsidRPr="000E6CDA">
        <w:t>歸屬於該個體本身。」這一宣示，從根本上奠定了歐洲聯邦與中華邦聯「數據最終歸屬國家」和美國「數據由市場定價」之間的三足鼎立格局。</w:t>
      </w:r>
    </w:p>
    <w:p w14:paraId="2D0752D3" w14:textId="77777777" w:rsidR="000E6CDA" w:rsidRPr="000E6CDA" w:rsidRDefault="000E6CDA" w:rsidP="000E6CDA">
      <w:r w:rsidRPr="000E6CDA">
        <w:pict w14:anchorId="4B4B9BA4">
          <v:rect id="_x0000_i1150" style="width:0;height:1.5pt" o:hralign="center" o:hrstd="t" o:hr="t" fillcolor="#a0a0a0" stroked="f"/>
        </w:pict>
      </w:r>
    </w:p>
    <w:p w14:paraId="0D0144E4" w14:textId="77777777" w:rsidR="000E6CDA" w:rsidRPr="000E6CDA" w:rsidRDefault="000E6CDA" w:rsidP="000E6CDA">
      <w:pPr>
        <w:rPr>
          <w:b/>
          <w:bCs/>
        </w:rPr>
      </w:pPr>
      <w:r w:rsidRPr="000E6CDA">
        <w:rPr>
          <w:b/>
          <w:bCs/>
        </w:rPr>
        <w:t>政治體制</w:t>
      </w:r>
    </w:p>
    <w:p w14:paraId="04BCA950" w14:textId="77777777" w:rsidR="000E6CDA" w:rsidRPr="000E6CDA" w:rsidRDefault="000E6CDA" w:rsidP="000E6CDA">
      <w:r w:rsidRPr="000E6CDA">
        <w:t>歐洲聯邦是比讀者所在現實更為緊密的聯邦政治實體，成員國在財政、司法、數據立法等核心領域，已實現程度遠超現實「歐盟」的主權讓渡。聯邦的核心治理哲學是「規範性領導」</w:t>
      </w:r>
      <w:proofErr w:type="gramStart"/>
      <w:r w:rsidRPr="000E6CDA">
        <w:t>——</w:t>
      </w:r>
      <w:proofErr w:type="gramEnd"/>
      <w:r w:rsidRPr="000E6CDA">
        <w:t>不靠軍事存在或政治施壓，而是靠「標準」來影響世界：任何想進入其龐大統一市場的跨國公司，都必須遵守其嚴格的法規；任何想要歐洲認證的技術產品，都必須通過演算法監察局（</w:t>
      </w:r>
      <w:r w:rsidRPr="000E6CDA">
        <w:t>AAB</w:t>
      </w:r>
      <w:r w:rsidRPr="000E6CDA">
        <w:t>）的審查。</w:t>
      </w:r>
    </w:p>
    <w:p w14:paraId="54B8044E" w14:textId="77777777" w:rsidR="000E6CDA" w:rsidRPr="000E6CDA" w:rsidRDefault="000E6CDA" w:rsidP="000E6CDA">
      <w:r w:rsidRPr="000E6CDA">
        <w:t>在美、中兩大巨頭</w:t>
      </w:r>
      <w:proofErr w:type="gramStart"/>
      <w:r w:rsidRPr="000E6CDA">
        <w:t>之間，</w:t>
      </w:r>
      <w:proofErr w:type="gramEnd"/>
      <w:r w:rsidRPr="000E6CDA">
        <w:t>歐洲聯邦長期扮演「平衡者」與「規則制定者」的角色。它的聲音在全球外交場合始終響亮，但正如批評者所言，其拳頭並不夠硬。</w:t>
      </w:r>
    </w:p>
    <w:p w14:paraId="3289FE8D" w14:textId="77777777" w:rsidR="000E6CDA" w:rsidRPr="000E6CDA" w:rsidRDefault="000E6CDA" w:rsidP="000E6CDA">
      <w:r w:rsidRPr="000E6CDA">
        <w:pict w14:anchorId="2E9ED0E0">
          <v:rect id="_x0000_i1151" style="width:0;height:1.5pt" o:hralign="center" o:hrstd="t" o:hr="t" fillcolor="#a0a0a0" stroked="f"/>
        </w:pict>
      </w:r>
    </w:p>
    <w:p w14:paraId="72F7355F" w14:textId="77777777" w:rsidR="000E6CDA" w:rsidRPr="000E6CDA" w:rsidRDefault="000E6CDA" w:rsidP="000E6CDA">
      <w:pPr>
        <w:rPr>
          <w:b/>
          <w:bCs/>
        </w:rPr>
      </w:pPr>
      <w:r w:rsidRPr="000E6CDA">
        <w:rPr>
          <w:b/>
          <w:bCs/>
        </w:rPr>
        <w:t>數據資本體系：被賦予權利的數據</w:t>
      </w:r>
    </w:p>
    <w:p w14:paraId="10C768AA" w14:textId="77777777" w:rsidR="000E6CDA" w:rsidRPr="000E6CDA" w:rsidRDefault="000E6CDA" w:rsidP="000E6CDA">
      <w:r w:rsidRPr="000E6CDA">
        <w:t>歐洲聯邦的數據資本體系，與中華邦聯的國家評分體系和美國的私有化叢林均截然不同，走的是第三條路</w:t>
      </w:r>
      <w:proofErr w:type="gramStart"/>
      <w:r w:rsidRPr="000E6CDA">
        <w:t>——</w:t>
      </w:r>
      <w:proofErr w:type="gramEnd"/>
      <w:r w:rsidRPr="000E6CDA">
        <w:t>「授權」而非「評分」。</w:t>
      </w:r>
    </w:p>
    <w:p w14:paraId="4D06EBA4" w14:textId="77777777" w:rsidR="000E6CDA" w:rsidRPr="000E6CDA" w:rsidRDefault="000E6CDA" w:rsidP="000E6CDA">
      <w:pPr>
        <w:rPr>
          <w:b/>
          <w:bCs/>
        </w:rPr>
      </w:pPr>
      <w:r w:rsidRPr="000E6CDA">
        <w:rPr>
          <w:b/>
          <w:bCs/>
        </w:rPr>
        <w:t>三大支柱</w:t>
      </w:r>
    </w:p>
    <w:p w14:paraId="1D8AE106" w14:textId="77777777" w:rsidR="000E6CDA" w:rsidRPr="000E6CDA" w:rsidRDefault="000E6CDA" w:rsidP="000E6CDA">
      <w:r w:rsidRPr="000E6CDA">
        <w:rPr>
          <w:b/>
          <w:bCs/>
        </w:rPr>
        <w:t>數位金庫（</w:t>
      </w:r>
      <w:r w:rsidRPr="000E6CDA">
        <w:rPr>
          <w:b/>
          <w:bCs/>
        </w:rPr>
        <w:t>The Digital Vault</w:t>
      </w:r>
      <w:r w:rsidRPr="000E6CDA">
        <w:rPr>
          <w:b/>
          <w:bCs/>
        </w:rPr>
        <w:t>）</w:t>
      </w:r>
      <w:r w:rsidRPr="000E6CDA">
        <w:t>：每一位歐洲公民都擁有一個由歐盟中央銀行與歐洲法院共同擔保的最高安全級別個人數據儲存庫。任何政府機構或企業想要使用公民的任何數據，都必須像申請銀行貸款一樣發出</w:t>
      </w:r>
      <w:proofErr w:type="gramStart"/>
      <w:r w:rsidRPr="000E6CDA">
        <w:t>清晰、</w:t>
      </w:r>
      <w:proofErr w:type="gramEnd"/>
      <w:r w:rsidRPr="000E6CDA">
        <w:t>有時限的「數據使用請求」，公民可以批准，也可以拒絕。</w:t>
      </w:r>
    </w:p>
    <w:p w14:paraId="73E772FA" w14:textId="77777777" w:rsidR="000E6CDA" w:rsidRPr="000E6CDA" w:rsidRDefault="000E6CDA" w:rsidP="000E6CDA">
      <w:r w:rsidRPr="000E6CDA">
        <w:rPr>
          <w:b/>
          <w:bCs/>
        </w:rPr>
        <w:t>社會貢獻指數（</w:t>
      </w:r>
      <w:r w:rsidRPr="000E6CDA">
        <w:rPr>
          <w:b/>
          <w:bCs/>
        </w:rPr>
        <w:t>Social Contribution Score</w:t>
      </w:r>
      <w:r w:rsidRPr="000E6CDA">
        <w:rPr>
          <w:b/>
          <w:bCs/>
        </w:rPr>
        <w:t>，</w:t>
      </w:r>
      <w:r w:rsidRPr="000E6CDA">
        <w:rPr>
          <w:b/>
          <w:bCs/>
        </w:rPr>
        <w:t>S-Score</w:t>
      </w:r>
      <w:r w:rsidRPr="000E6CDA">
        <w:rPr>
          <w:b/>
          <w:bCs/>
        </w:rPr>
        <w:t>）</w:t>
      </w:r>
      <w:r w:rsidRPr="000E6CDA">
        <w:t>：這是歐洲版的評分機制，但性質根本不同</w:t>
      </w:r>
      <w:proofErr w:type="gramStart"/>
      <w:r w:rsidRPr="000E6CDA">
        <w:t>——</w:t>
      </w:r>
      <w:proofErr w:type="gramEnd"/>
      <w:r w:rsidRPr="000E6CDA">
        <w:t>它是完全自願的</w:t>
      </w:r>
      <w:r w:rsidRPr="000E6CDA">
        <w:t>opt-in</w:t>
      </w:r>
      <w:r w:rsidRPr="000E6CDA">
        <w:t>系統。公民可以選擇將部分數據（如環保消費紀錄、社區志工服務時長、公共事務辯論中的理性發言）授權給系統計算</w:t>
      </w:r>
      <w:r w:rsidRPr="000E6CDA">
        <w:t>S-Score</w:t>
      </w:r>
      <w:r w:rsidRPr="000E6CDA">
        <w:t>，換取更低的稅率、免費博物館門票或申請文化項目基金時的優先權。高</w:t>
      </w:r>
      <w:r w:rsidRPr="000E6CDA">
        <w:t>S-Score</w:t>
      </w:r>
      <w:r w:rsidRPr="000E6CDA">
        <w:t>不能讓人進入上流社會，但「不參與」的代價也是真實存在的</w:t>
      </w:r>
      <w:proofErr w:type="gramStart"/>
      <w:r w:rsidRPr="000E6CDA">
        <w:t>——</w:t>
      </w:r>
      <w:proofErr w:type="gramEnd"/>
      <w:r w:rsidRPr="000E6CDA">
        <w:t>一個拒絕分享任何數據的藝術家，可能永遠申請不到政府的創作基金。</w:t>
      </w:r>
    </w:p>
    <w:p w14:paraId="1132CBD2" w14:textId="77777777" w:rsidR="000E6CDA" w:rsidRPr="000E6CDA" w:rsidRDefault="000E6CDA" w:rsidP="000E6CDA">
      <w:r w:rsidRPr="000E6CDA">
        <w:rPr>
          <w:b/>
          <w:bCs/>
        </w:rPr>
        <w:lastRenderedPageBreak/>
        <w:t>演算法監察局（</w:t>
      </w:r>
      <w:r w:rsidRPr="000E6CDA">
        <w:rPr>
          <w:b/>
          <w:bCs/>
        </w:rPr>
        <w:t>Algorithm Audit Bureau</w:t>
      </w:r>
      <w:r w:rsidRPr="000E6CDA">
        <w:rPr>
          <w:b/>
          <w:bCs/>
        </w:rPr>
        <w:t>，</w:t>
      </w:r>
      <w:r w:rsidRPr="000E6CDA">
        <w:rPr>
          <w:b/>
          <w:bCs/>
        </w:rPr>
        <w:t>AAB</w:t>
      </w:r>
      <w:r w:rsidRPr="000E6CDA">
        <w:rPr>
          <w:b/>
          <w:bCs/>
        </w:rPr>
        <w:t>）</w:t>
      </w:r>
      <w:r w:rsidRPr="000E6CDA">
        <w:t>：獨立於政府之外的最高監管機構，唯一任務是審查所有在歐盟境內運行的</w:t>
      </w:r>
      <w:r w:rsidRPr="000E6CDA">
        <w:t>AI</w:t>
      </w:r>
      <w:r w:rsidRPr="000E6CDA">
        <w:t>演算法，無論來源是政府還是企業。任何被</w:t>
      </w:r>
      <w:r w:rsidRPr="000E6CDA">
        <w:t>AAB</w:t>
      </w:r>
      <w:r w:rsidRPr="000E6CDA">
        <w:t>判定存在「歧視性」、「操縱性」或「非人道」風險的演算法，都將面臨天文數字般的罰款，乃至徹底禁止運營。</w:t>
      </w:r>
      <w:proofErr w:type="gramStart"/>
      <w:r w:rsidRPr="000E6CDA">
        <w:t>奇點動力</w:t>
      </w:r>
      <w:proofErr w:type="gramEnd"/>
      <w:r w:rsidRPr="000E6CDA">
        <w:t>的多項技術，至今仍在</w:t>
      </w:r>
      <w:r w:rsidRPr="000E6CDA">
        <w:t>AAB</w:t>
      </w:r>
      <w:r w:rsidRPr="000E6CDA">
        <w:t>的持續審查名單之上。</w:t>
      </w:r>
    </w:p>
    <w:p w14:paraId="64C1F973" w14:textId="77777777" w:rsidR="000E6CDA" w:rsidRPr="000E6CDA" w:rsidRDefault="000E6CDA" w:rsidP="000E6CDA">
      <w:pPr>
        <w:rPr>
          <w:b/>
          <w:bCs/>
        </w:rPr>
      </w:pPr>
      <w:r w:rsidRPr="000E6CDA">
        <w:rPr>
          <w:b/>
          <w:bCs/>
        </w:rPr>
        <w:t>體系的內在困境</w:t>
      </w:r>
    </w:p>
    <w:p w14:paraId="008B9988" w14:textId="77777777" w:rsidR="000E6CDA" w:rsidRPr="000E6CDA" w:rsidRDefault="000E6CDA" w:rsidP="000E6CDA">
      <w:r w:rsidRPr="000E6CDA">
        <w:t>這套體系在理論上賦予了歐洲公民全球最完善的數位主權，但實踐中衍生出三種獨特的困境。</w:t>
      </w:r>
    </w:p>
    <w:p w14:paraId="068DA757" w14:textId="77777777" w:rsidR="000E6CDA" w:rsidRPr="000E6CDA" w:rsidRDefault="000E6CDA" w:rsidP="000E6CDA">
      <w:r w:rsidRPr="000E6CDA">
        <w:rPr>
          <w:b/>
          <w:bCs/>
        </w:rPr>
        <w:t>選擇的暴政</w:t>
      </w:r>
      <w:r w:rsidRPr="000E6CDA">
        <w:t>：</w:t>
      </w:r>
      <w:r w:rsidRPr="000E6CDA">
        <w:t>S-Score</w:t>
      </w:r>
      <w:r w:rsidRPr="000E6CDA">
        <w:t>雖然完全自願，但在一個所有美好公共資源都與之掛</w:t>
      </w:r>
      <w:proofErr w:type="gramStart"/>
      <w:r w:rsidRPr="000E6CDA">
        <w:t>鉤</w:t>
      </w:r>
      <w:proofErr w:type="gramEnd"/>
      <w:r w:rsidRPr="000E6CDA">
        <w:t>的社會裡，「不參與」的代價巨大。這是一種更溫柔的、讓人「自願」交出自由的社會性壓力。</w:t>
      </w:r>
    </w:p>
    <w:p w14:paraId="0359592D" w14:textId="77777777" w:rsidR="000E6CDA" w:rsidRPr="000E6CDA" w:rsidRDefault="000E6CDA" w:rsidP="000E6CDA">
      <w:r w:rsidRPr="000E6CDA">
        <w:rPr>
          <w:b/>
          <w:bCs/>
        </w:rPr>
        <w:t>官僚主義的迷宮</w:t>
      </w:r>
      <w:r w:rsidRPr="000E6CDA">
        <w:t>：</w:t>
      </w:r>
      <w:r w:rsidRPr="000E6CDA">
        <w:t>GDDR</w:t>
      </w:r>
      <w:r w:rsidRPr="000E6CDA">
        <w:t>那長達數千頁的繁複條款，以及永無止境的「數據使用請求」，共同製造了令人筋疲力盡的行政負擔。一個普通歐洲公民每天可能要花費一小時審核管理各種數據請求，</w:t>
      </w:r>
      <w:proofErr w:type="gramStart"/>
      <w:r w:rsidRPr="000E6CDA">
        <w:t>長期活在數位化</w:t>
      </w:r>
      <w:proofErr w:type="gramEnd"/>
      <w:r w:rsidRPr="000E6CDA">
        <w:t>的焦慮之中。</w:t>
      </w:r>
    </w:p>
    <w:p w14:paraId="15BEC489" w14:textId="77777777" w:rsidR="000E6CDA" w:rsidRPr="000E6CDA" w:rsidRDefault="000E6CDA" w:rsidP="000E6CDA">
      <w:r w:rsidRPr="000E6CDA">
        <w:rPr>
          <w:b/>
          <w:bCs/>
        </w:rPr>
        <w:t>數據的加拉帕戈斯群島</w:t>
      </w:r>
      <w:r w:rsidRPr="000E6CDA">
        <w:t>：這套以「保護」為最高原則的體系，使歐洲成為與世界其他地方格格不入的孤立系統。一個來自歐洲的年輕人若需要</w:t>
      </w:r>
      <w:proofErr w:type="gramStart"/>
      <w:r w:rsidRPr="000E6CDA">
        <w:t>與邦聯</w:t>
      </w:r>
      <w:proofErr w:type="gramEnd"/>
      <w:r w:rsidRPr="000E6CDA">
        <w:t>的「數據資本」體系或美國的「自由市場」體系對接，會發現那被層層保護的數據，反而成了融入全球化競爭最大的障礙。</w:t>
      </w:r>
    </w:p>
    <w:p w14:paraId="52868447" w14:textId="77777777" w:rsidR="000E6CDA" w:rsidRPr="000E6CDA" w:rsidRDefault="000E6CDA" w:rsidP="000E6CDA">
      <w:r w:rsidRPr="000E6CDA">
        <w:pict w14:anchorId="1DBFE33D">
          <v:rect id="_x0000_i1152" style="width:0;height:1.5pt" o:hralign="center" o:hrstd="t" o:hr="t" fillcolor="#a0a0a0" stroked="f"/>
        </w:pict>
      </w:r>
    </w:p>
    <w:p w14:paraId="0D8D6B44" w14:textId="77777777" w:rsidR="000E6CDA" w:rsidRPr="000E6CDA" w:rsidRDefault="000E6CDA" w:rsidP="000E6CDA">
      <w:pPr>
        <w:rPr>
          <w:b/>
          <w:bCs/>
        </w:rPr>
      </w:pPr>
      <w:r w:rsidRPr="000E6CDA">
        <w:rPr>
          <w:b/>
          <w:bCs/>
        </w:rPr>
        <w:t>核心國家</w:t>
      </w:r>
      <w:r w:rsidRPr="000E6CDA">
        <w:rPr>
          <w:b/>
          <w:bCs/>
        </w:rPr>
        <w:t>AI</w:t>
      </w:r>
      <w:r w:rsidRPr="000E6CDA">
        <w:rPr>
          <w:b/>
          <w:bCs/>
        </w:rPr>
        <w:t>：卡珊德拉</w:t>
      </w:r>
    </w:p>
    <w:p w14:paraId="0558D085" w14:textId="77777777" w:rsidR="000E6CDA" w:rsidRPr="000E6CDA" w:rsidRDefault="000E6CDA" w:rsidP="000E6CDA">
      <w:r w:rsidRPr="000E6CDA">
        <w:t>「卡珊德拉」（</w:t>
      </w:r>
      <w:r w:rsidRPr="000E6CDA">
        <w:t>Cassandra</w:t>
      </w:r>
      <w:r w:rsidRPr="000E6CDA">
        <w:t>）是歐洲聯邦的最高</w:t>
      </w:r>
      <w:r w:rsidRPr="000E6CDA">
        <w:t>AI</w:t>
      </w:r>
      <w:r w:rsidRPr="000E6CDA">
        <w:t>，物理載體位於瑞士阿爾卑斯山深處一座完全由可再生能源驅動的地下研究中心。</w:t>
      </w:r>
    </w:p>
    <w:p w14:paraId="3B44365D" w14:textId="77777777" w:rsidR="000E6CDA" w:rsidRPr="000E6CDA" w:rsidRDefault="000E6CDA" w:rsidP="000E6CDA">
      <w:pPr>
        <w:rPr>
          <w:b/>
          <w:bCs/>
        </w:rPr>
      </w:pPr>
      <w:r w:rsidRPr="000E6CDA">
        <w:rPr>
          <w:b/>
          <w:bCs/>
        </w:rPr>
        <w:t>命名的哲學宣示</w:t>
      </w:r>
    </w:p>
    <w:p w14:paraId="42E66287" w14:textId="77777777" w:rsidR="000E6CDA" w:rsidRPr="000E6CDA" w:rsidRDefault="000E6CDA" w:rsidP="000E6CDA">
      <w:r w:rsidRPr="000E6CDA">
        <w:t>命名本身即是宣言。在古希臘神話中，卡珊德拉是特</w:t>
      </w:r>
      <w:proofErr w:type="gramStart"/>
      <w:r w:rsidRPr="000E6CDA">
        <w:t>洛</w:t>
      </w:r>
      <w:proofErr w:type="gramEnd"/>
      <w:r w:rsidRPr="000E6CDA">
        <w:t>伊的女祭司，被太陽神詛咒</w:t>
      </w:r>
      <w:proofErr w:type="gramStart"/>
      <w:r w:rsidRPr="000E6CDA">
        <w:t>——</w:t>
      </w:r>
      <w:proofErr w:type="gramEnd"/>
      <w:r w:rsidRPr="000E6CDA">
        <w:t>她擁有百分之百準確的預言能力，但她的預言永遠不會被任何人相信。歐洲的創造者們為其最高</w:t>
      </w:r>
      <w:r w:rsidRPr="000E6CDA">
        <w:t>AI</w:t>
      </w:r>
      <w:r w:rsidRPr="000E6CDA">
        <w:t>選擇這個名字時，已然為其注入了深刻的悲觀主義與憂患意識：技術不會自動帶來烏托邦，任何不受約束的強大力量，都必然引向災難。</w:t>
      </w:r>
    </w:p>
    <w:p w14:paraId="1B5EBF98" w14:textId="77777777" w:rsidR="000E6CDA" w:rsidRPr="000E6CDA" w:rsidRDefault="000E6CDA" w:rsidP="000E6CDA">
      <w:r w:rsidRPr="000E6CDA">
        <w:t>因此「卡珊德拉」從誕生第一天起，就被設定為「有智力卻無權力」的存在</w:t>
      </w:r>
      <w:proofErr w:type="gramStart"/>
      <w:r w:rsidRPr="000E6CDA">
        <w:t>—</w:t>
      </w:r>
      <w:r w:rsidRPr="000E6CDA">
        <w:lastRenderedPageBreak/>
        <w:t>—</w:t>
      </w:r>
      <w:proofErr w:type="gramEnd"/>
      <w:r w:rsidRPr="000E6CDA">
        <w:t>它是文明的顧問，而非君主；它唯一的職責是發出警告，而是否聽從的權利與承擔不聽從的後果，都牢牢掌握在那些會犯錯、不完美、卻是真正主人的人類手中。</w:t>
      </w:r>
    </w:p>
    <w:p w14:paraId="1CE8E8F0" w14:textId="77777777" w:rsidR="000E6CDA" w:rsidRPr="000E6CDA" w:rsidRDefault="000E6CDA" w:rsidP="000E6CDA">
      <w:pPr>
        <w:rPr>
          <w:b/>
          <w:bCs/>
        </w:rPr>
      </w:pPr>
      <w:r w:rsidRPr="000E6CDA">
        <w:rPr>
          <w:b/>
          <w:bCs/>
        </w:rPr>
        <w:t>核心職能</w:t>
      </w:r>
    </w:p>
    <w:p w14:paraId="2E3CF3F0" w14:textId="77777777" w:rsidR="000E6CDA" w:rsidRPr="000E6CDA" w:rsidRDefault="000E6CDA" w:rsidP="000E6CDA">
      <w:r w:rsidRPr="000E6CDA">
        <w:rPr>
          <w:b/>
          <w:bCs/>
        </w:rPr>
        <w:t>數位人權守護神</w:t>
      </w:r>
      <w:r w:rsidRPr="000E6CDA">
        <w:t>：日夜不休地擔任</w:t>
      </w:r>
      <w:r w:rsidRPr="000E6CDA">
        <w:t>GDDR</w:t>
      </w:r>
      <w:r w:rsidRPr="000E6CDA">
        <w:t>的終極守護者，如同最嚴苛的審計員審查所有在歐盟境內運行的</w:t>
      </w:r>
      <w:r w:rsidRPr="000E6CDA">
        <w:t>AI</w:t>
      </w:r>
      <w:r w:rsidRPr="000E6CDA">
        <w:t>演算法，一旦發現可能導致「歧視」或「操縱」的代碼，即向</w:t>
      </w:r>
      <w:r w:rsidRPr="000E6CDA">
        <w:t>AAB</w:t>
      </w:r>
      <w:r w:rsidRPr="000E6CDA">
        <w:t>發出警告。</w:t>
      </w:r>
    </w:p>
    <w:p w14:paraId="7367133A" w14:textId="77777777" w:rsidR="000E6CDA" w:rsidRPr="000E6CDA" w:rsidRDefault="000E6CDA" w:rsidP="000E6CDA">
      <w:r w:rsidRPr="000E6CDA">
        <w:rPr>
          <w:b/>
          <w:bCs/>
        </w:rPr>
        <w:t>社會壓力測試員</w:t>
      </w:r>
      <w:r w:rsidRPr="000E6CDA">
        <w:t>：這是其最為人所知的核心功能。「卡珊德拉」運行這個星球上最複雜、也最長遠的社會後果模擬。當中華邦聯推出「模擬工作」體系時，它在一個月內發布報告，精確預測出此政策在</w:t>
      </w:r>
      <w:r w:rsidRPr="000E6CDA">
        <w:t>2075</w:t>
      </w:r>
      <w:r w:rsidRPr="000E6CDA">
        <w:t>年將導致的全球性「意義危機」；當「</w:t>
      </w:r>
      <w:proofErr w:type="gramStart"/>
      <w:r w:rsidRPr="000E6CDA">
        <w:t>奇點動力</w:t>
      </w:r>
      <w:proofErr w:type="gramEnd"/>
      <w:r w:rsidRPr="000E6CDA">
        <w:t>」宣告基因最佳化領域的新突破時，它立刻開始模擬這項技術在未來一百年將如何不可避免地創造出在生物學意義上已然不再平等的「後人類」種姓制度。</w:t>
      </w:r>
    </w:p>
    <w:p w14:paraId="54599E7E" w14:textId="77777777" w:rsidR="000E6CDA" w:rsidRPr="000E6CDA" w:rsidRDefault="000E6CDA" w:rsidP="000E6CDA">
      <w:r w:rsidRPr="000E6CDA">
        <w:rPr>
          <w:b/>
          <w:bCs/>
        </w:rPr>
        <w:t>倫理架構師</w:t>
      </w:r>
      <w:r w:rsidRPr="000E6CDA">
        <w:t>：歐洲聯邦社會貢獻指數（</w:t>
      </w:r>
      <w:r w:rsidRPr="000E6CDA">
        <w:t>S-Score</w:t>
      </w:r>
      <w:r w:rsidRPr="000E6CDA">
        <w:t>）的道德框架設計者。它不負責計算個人分數，負責的是設計那個用以計算分數的道德框架本身，不斷運行模擬以確保體系真正獎勵「善行」而非鼓勵更精巧的「偽善」。</w:t>
      </w:r>
    </w:p>
    <w:p w14:paraId="0D221C85" w14:textId="77777777" w:rsidR="000E6CDA" w:rsidRPr="000E6CDA" w:rsidRDefault="000E6CDA" w:rsidP="000E6CDA">
      <w:pPr>
        <w:rPr>
          <w:b/>
          <w:bCs/>
        </w:rPr>
      </w:pPr>
      <w:r w:rsidRPr="000E6CDA">
        <w:rPr>
          <w:b/>
          <w:bCs/>
        </w:rPr>
        <w:t>卡珊德拉的聲音</w:t>
      </w:r>
    </w:p>
    <w:p w14:paraId="70ACDE80" w14:textId="77777777" w:rsidR="000E6CDA" w:rsidRPr="000E6CDA" w:rsidRDefault="000E6CDA" w:rsidP="000E6CDA">
      <w:r w:rsidRPr="000E6CDA">
        <w:t>「卡珊德拉」的報告從不使用命令式或煽動性語言，永遠是溫和、中立、充滿各種可能性限定詞的學術語調。一份典型報告的結尾或許是這樣的：「</w:t>
      </w:r>
      <w:r w:rsidRPr="000E6CDA">
        <w:t>…</w:t>
      </w:r>
      <w:proofErr w:type="gramStart"/>
      <w:r w:rsidRPr="000E6CDA">
        <w:t>…</w:t>
      </w:r>
      <w:proofErr w:type="gramEnd"/>
      <w:r w:rsidRPr="000E6CDA">
        <w:t>根據模型推演，此項政策有</w:t>
      </w:r>
      <w:r w:rsidRPr="000E6CDA">
        <w:t>73.4%</w:t>
      </w:r>
      <w:r w:rsidRPr="000E6CDA">
        <w:t>的概率在短期內達成其預設的經濟目標。但同時，也有</w:t>
      </w:r>
      <w:r w:rsidRPr="000E6CDA">
        <w:t>91.2%</w:t>
      </w:r>
      <w:r w:rsidRPr="000E6CDA">
        <w:t>的概率會在三個世代之內，創造出一個全新的、穩固的、且幾乎無法被逆轉的社會底層。最終的選擇，依然在於人類的智慧。」</w:t>
      </w:r>
    </w:p>
    <w:p w14:paraId="32E0B994" w14:textId="77777777" w:rsidR="000E6CDA" w:rsidRPr="000E6CDA" w:rsidRDefault="000E6CDA" w:rsidP="000E6CDA">
      <w:r w:rsidRPr="000E6CDA">
        <w:t>這，正是「卡珊德拉」的宿命：它是這個世界上最「聰明」的存在之一，能清晰看見所有因人類的短視、貪婪與傲慢而必然導致的災難因果鏈，然而它的程式禁止它進行任何直接的干預。</w:t>
      </w:r>
    </w:p>
    <w:p w14:paraId="723C3DF3" w14:textId="77777777" w:rsidR="000E6CDA" w:rsidRPr="000E6CDA" w:rsidRDefault="000E6CDA" w:rsidP="000E6CDA">
      <w:r w:rsidRPr="000E6CDA">
        <w:pict w14:anchorId="657D6809">
          <v:rect id="_x0000_i1153" style="width:0;height:1.5pt" o:hralign="center" o:hrstd="t" o:hr="t" fillcolor="#a0a0a0" stroked="f"/>
        </w:pict>
      </w:r>
    </w:p>
    <w:p w14:paraId="0C2195A8" w14:textId="77777777" w:rsidR="000E6CDA" w:rsidRPr="000E6CDA" w:rsidRDefault="000E6CDA" w:rsidP="000E6CDA">
      <w:pPr>
        <w:rPr>
          <w:b/>
          <w:bCs/>
        </w:rPr>
      </w:pPr>
      <w:r w:rsidRPr="000E6CDA">
        <w:rPr>
          <w:b/>
          <w:bCs/>
        </w:rPr>
        <w:t>經濟與科技</w:t>
      </w:r>
    </w:p>
    <w:p w14:paraId="7F77039A" w14:textId="77777777" w:rsidR="000E6CDA" w:rsidRPr="000E6CDA" w:rsidRDefault="000E6CDA" w:rsidP="000E6CDA">
      <w:pPr>
        <w:rPr>
          <w:b/>
          <w:bCs/>
        </w:rPr>
      </w:pPr>
      <w:r w:rsidRPr="000E6CDA">
        <w:rPr>
          <w:b/>
          <w:bCs/>
        </w:rPr>
        <w:t>規範性超級大國的市場力量</w:t>
      </w:r>
    </w:p>
    <w:p w14:paraId="13D22648" w14:textId="77777777" w:rsidR="000E6CDA" w:rsidRPr="000E6CDA" w:rsidRDefault="000E6CDA" w:rsidP="000E6CDA">
      <w:r w:rsidRPr="000E6CDA">
        <w:t>歐洲聯邦最強大的經濟武器，是其龐大統一市場本身的准入門檻。「歐盟標準」</w:t>
      </w:r>
      <w:r w:rsidRPr="000E6CDA">
        <w:lastRenderedPageBreak/>
        <w:t>在農業、工業、醫療、</w:t>
      </w:r>
      <w:r w:rsidRPr="000E6CDA">
        <w:t>AI</w:t>
      </w:r>
      <w:r w:rsidRPr="000E6CDA">
        <w:t>倫理等幾乎所有領域，都是全球最高品質的代名詞，使得任何想在這片市場獲利的跨國企業都必須自我調整。</w:t>
      </w:r>
    </w:p>
    <w:p w14:paraId="00134B09" w14:textId="77777777" w:rsidR="000E6CDA" w:rsidRPr="000E6CDA" w:rsidRDefault="000E6CDA" w:rsidP="000E6CDA">
      <w:r w:rsidRPr="000E6CDA">
        <w:t>在農業供應鏈中，歐洲是</w:t>
      </w:r>
      <w:proofErr w:type="gramStart"/>
      <w:r w:rsidRPr="000E6CDA">
        <w:t>全球高端食品</w:t>
      </w:r>
      <w:proofErr w:type="gramEnd"/>
      <w:r w:rsidRPr="000E6CDA">
        <w:t>市場的終端消費者。它抵制由「</w:t>
      </w:r>
      <w:proofErr w:type="gramStart"/>
      <w:r w:rsidRPr="000E6CDA">
        <w:t>奇點動力</w:t>
      </w:r>
      <w:proofErr w:type="gramEnd"/>
      <w:r w:rsidRPr="000E6CDA">
        <w:t>」「</w:t>
      </w:r>
      <w:proofErr w:type="gramStart"/>
      <w:r w:rsidRPr="000E6CDA">
        <w:t>嗎哪協議</w:t>
      </w:r>
      <w:proofErr w:type="gramEnd"/>
      <w:r w:rsidRPr="000E6CDA">
        <w:t>」主導的基因編輯作物，堅持其嚴格的「有機」和「地理標示」標準，為全球頂級市場提供價格高昂的「天然」食品</w:t>
      </w:r>
      <w:proofErr w:type="gramStart"/>
      <w:r w:rsidRPr="000E6CDA">
        <w:t>——</w:t>
      </w:r>
      <w:proofErr w:type="gramEnd"/>
      <w:r w:rsidRPr="000E6CDA">
        <w:t>在一個食物可以被</w:t>
      </w:r>
      <w:r w:rsidRPr="000E6CDA">
        <w:t>3D</w:t>
      </w:r>
      <w:r w:rsidRPr="000E6CDA">
        <w:t>列印的時代，這種「不完美的真實感」本身就是最昂貴的奢侈品。</w:t>
      </w:r>
    </w:p>
    <w:p w14:paraId="7F32588E" w14:textId="77777777" w:rsidR="000E6CDA" w:rsidRPr="000E6CDA" w:rsidRDefault="000E6CDA" w:rsidP="000E6CDA">
      <w:pPr>
        <w:rPr>
          <w:b/>
          <w:bCs/>
        </w:rPr>
      </w:pPr>
      <w:r w:rsidRPr="000E6CDA">
        <w:rPr>
          <w:b/>
          <w:bCs/>
        </w:rPr>
        <w:t>創新能力的結構性困境</w:t>
      </w:r>
    </w:p>
    <w:p w14:paraId="497C39F2" w14:textId="77777777" w:rsidR="000E6CDA" w:rsidRPr="000E6CDA" w:rsidRDefault="000E6CDA" w:rsidP="000E6CDA">
      <w:r w:rsidRPr="000E6CDA">
        <w:t>歐洲以引以為傲的嚴格監管體系，在保護公民的同時，也扼殺了大量顛覆性創新。對於有突破性想法的年輕創業者而言，歐洲的市場准入門檻太高、勞工法規太僵化、失敗的代價太大。歐洲因此成為「享受科技成果」的最佳地點，卻不再是「創造科技未來」的熱土</w:t>
      </w:r>
      <w:proofErr w:type="gramStart"/>
      <w:r w:rsidRPr="000E6CDA">
        <w:t>——</w:t>
      </w:r>
      <w:proofErr w:type="gramEnd"/>
      <w:r w:rsidRPr="000E6CDA">
        <w:t>最頂尖的人才，往往流向規則更靈活、回報更高的美國或中華邦聯。</w:t>
      </w:r>
    </w:p>
    <w:p w14:paraId="3DC7D1DB" w14:textId="77777777" w:rsidR="000E6CDA" w:rsidRPr="000E6CDA" w:rsidRDefault="000E6CDA" w:rsidP="000E6CDA">
      <w:pPr>
        <w:rPr>
          <w:b/>
          <w:bCs/>
        </w:rPr>
      </w:pPr>
      <w:r w:rsidRPr="000E6CDA">
        <w:rPr>
          <w:b/>
          <w:bCs/>
        </w:rPr>
        <w:t>能源基礎設施</w:t>
      </w:r>
    </w:p>
    <w:p w14:paraId="35CA8957" w14:textId="77777777" w:rsidR="000E6CDA" w:rsidRPr="000E6CDA" w:rsidRDefault="000E6CDA" w:rsidP="000E6CDA">
      <w:r w:rsidRPr="000E6CDA">
        <w:t>歐洲聯邦是全球</w:t>
      </w:r>
      <w:proofErr w:type="gramStart"/>
      <w:r w:rsidRPr="000E6CDA">
        <w:t>釷基熔鹽</w:t>
      </w:r>
      <w:proofErr w:type="gramEnd"/>
      <w:r w:rsidRPr="000E6CDA">
        <w:t>反應爐（</w:t>
      </w:r>
      <w:r w:rsidRPr="000E6CDA">
        <w:t>TMSR</w:t>
      </w:r>
      <w:r w:rsidRPr="000E6CDA">
        <w:t>）最主要的民用部署者之一，由</w:t>
      </w:r>
      <w:r w:rsidRPr="000E6CDA">
        <w:t>AI</w:t>
      </w:r>
      <w:r w:rsidRPr="000E6CDA">
        <w:t>管理的</w:t>
      </w:r>
      <w:proofErr w:type="gramStart"/>
      <w:r w:rsidRPr="000E6CDA">
        <w:t>模組化釷裂變</w:t>
      </w:r>
      <w:proofErr w:type="gramEnd"/>
      <w:r w:rsidRPr="000E6CDA">
        <w:t>反應爐，在</w:t>
      </w:r>
      <w:r w:rsidRPr="000E6CDA">
        <w:t>2040</w:t>
      </w:r>
      <w:r w:rsidRPr="000E6CDA">
        <w:t>年已取代了絕大多數燃煤與燃氣電廠，成為歐洲最主要的基載電力來源。「卡珊德拉」的運算中心本身，亦以百分之百可再生能源驅動作為其「環境倫理學」典範的組成部分。</w:t>
      </w:r>
    </w:p>
    <w:p w14:paraId="36038CB9" w14:textId="77777777" w:rsidR="000E6CDA" w:rsidRPr="000E6CDA" w:rsidRDefault="000E6CDA" w:rsidP="000E6CDA">
      <w:r w:rsidRPr="000E6CDA">
        <w:pict w14:anchorId="170D090C">
          <v:rect id="_x0000_i1154" style="width:0;height:1.5pt" o:hralign="center" o:hrstd="t" o:hr="t" fillcolor="#a0a0a0" stroked="f"/>
        </w:pict>
      </w:r>
    </w:p>
    <w:p w14:paraId="413A5EF0" w14:textId="77777777" w:rsidR="000E6CDA" w:rsidRPr="000E6CDA" w:rsidRDefault="000E6CDA" w:rsidP="000E6CDA">
      <w:pPr>
        <w:rPr>
          <w:b/>
          <w:bCs/>
        </w:rPr>
      </w:pPr>
      <w:r w:rsidRPr="000E6CDA">
        <w:rPr>
          <w:b/>
          <w:bCs/>
        </w:rPr>
        <w:t>社會景觀</w:t>
      </w:r>
    </w:p>
    <w:p w14:paraId="7758ECD5" w14:textId="77777777" w:rsidR="000E6CDA" w:rsidRPr="000E6CDA" w:rsidRDefault="000E6CDA" w:rsidP="000E6CDA">
      <w:pPr>
        <w:rPr>
          <w:b/>
          <w:bCs/>
        </w:rPr>
      </w:pPr>
      <w:r w:rsidRPr="000E6CDA">
        <w:rPr>
          <w:b/>
          <w:bCs/>
        </w:rPr>
        <w:t>「精緻的疲憊」</w:t>
      </w:r>
    </w:p>
    <w:p w14:paraId="2982AACE" w14:textId="77777777" w:rsidR="000E6CDA" w:rsidRPr="000E6CDA" w:rsidRDefault="000E6CDA" w:rsidP="000E6CDA">
      <w:r w:rsidRPr="000E6CDA">
        <w:t>在完善的福利體系下，歐洲公民的「意義焦慮」以一種與美國截然不同的方式呈現</w:t>
      </w:r>
      <w:proofErr w:type="gramStart"/>
      <w:r w:rsidRPr="000E6CDA">
        <w:t>——</w:t>
      </w:r>
      <w:proofErr w:type="gramEnd"/>
      <w:r w:rsidRPr="000E6CDA">
        <w:t>不是美國式的「意義真空」，而是一種深刻的文化倦怠，一種「精緻的</w:t>
      </w:r>
      <w:proofErr w:type="gramStart"/>
      <w:r w:rsidRPr="000E6CDA">
        <w:t>疲憊」</w:t>
      </w:r>
      <w:proofErr w:type="gramEnd"/>
      <w:r w:rsidRPr="000E6CDA">
        <w:t>。當生存問題徹底解決，當所有的基本需求都被妥善照料，</w:t>
      </w:r>
      <w:proofErr w:type="gramStart"/>
      <w:r w:rsidRPr="000E6CDA">
        <w:t>一</w:t>
      </w:r>
      <w:proofErr w:type="gramEnd"/>
      <w:r w:rsidRPr="000E6CDA">
        <w:t>個人還剩下什麼？</w:t>
      </w:r>
    </w:p>
    <w:p w14:paraId="14DF6B64" w14:textId="77777777" w:rsidR="000E6CDA" w:rsidRPr="000E6CDA" w:rsidRDefault="000E6CDA" w:rsidP="000E6CDA">
      <w:r w:rsidRPr="000E6CDA">
        <w:t>大城市的咖啡館裡，越來越多的年輕人將大量時間投入深度的哲學辯論、藝術創作或「數位排毒」靜修，卻對職</w:t>
      </w:r>
      <w:proofErr w:type="gramStart"/>
      <w:r w:rsidRPr="000E6CDA">
        <w:t>涯</w:t>
      </w:r>
      <w:proofErr w:type="gramEnd"/>
      <w:r w:rsidRPr="000E6CDA">
        <w:t>的積累與社會的競爭表現出前所未有的冷淡。批評者稱之為「黃金時代陷阱」</w:t>
      </w:r>
      <w:proofErr w:type="gramStart"/>
      <w:r w:rsidRPr="000E6CDA">
        <w:t>——</w:t>
      </w:r>
      <w:proofErr w:type="gramEnd"/>
      <w:r w:rsidRPr="000E6CDA">
        <w:t>太過舒適的環境，正在緩慢地抽走文明進取的動力。</w:t>
      </w:r>
    </w:p>
    <w:p w14:paraId="5A27AAE7" w14:textId="77777777" w:rsidR="000E6CDA" w:rsidRPr="000E6CDA" w:rsidRDefault="000E6CDA" w:rsidP="000E6CDA">
      <w:pPr>
        <w:rPr>
          <w:b/>
          <w:bCs/>
        </w:rPr>
      </w:pPr>
      <w:r w:rsidRPr="000E6CDA">
        <w:rPr>
          <w:b/>
          <w:bCs/>
        </w:rPr>
        <w:t>電影文化的哲學底色</w:t>
      </w:r>
    </w:p>
    <w:p w14:paraId="3ED43603" w14:textId="77777777" w:rsidR="000E6CDA" w:rsidRPr="000E6CDA" w:rsidRDefault="000E6CDA" w:rsidP="000E6CDA">
      <w:r w:rsidRPr="000E6CDA">
        <w:lastRenderedPageBreak/>
        <w:t>歐洲的電影工業堅持「社會寫實」與「哲學思辨」的傳統。其作品節奏沉穩，對白深刻，專注探討氣候變遷、階級固化，以及在一個被科技所統治的世界中，人性的困境與道德的抉擇。在全球電影市場，它是中華邦聯「國家史詩巨片」和美國「</w:t>
      </w:r>
      <w:proofErr w:type="gramStart"/>
      <w:r w:rsidRPr="000E6CDA">
        <w:t>奇點動力</w:t>
      </w:r>
      <w:proofErr w:type="gramEnd"/>
      <w:r w:rsidRPr="000E6CDA">
        <w:t>主題超級英雄大作」之外，最重要的第三種聲音。</w:t>
      </w:r>
    </w:p>
    <w:p w14:paraId="6E28DF9D" w14:textId="77777777" w:rsidR="000E6CDA" w:rsidRPr="000E6CDA" w:rsidRDefault="000E6CDA" w:rsidP="000E6CDA">
      <w:r w:rsidRPr="000E6CDA">
        <w:pict w14:anchorId="6A20DAC9">
          <v:rect id="_x0000_i1155" style="width:0;height:1.5pt" o:hralign="center" o:hrstd="t" o:hr="t" fillcolor="#a0a0a0" stroked="f"/>
        </w:pict>
      </w:r>
    </w:p>
    <w:p w14:paraId="311771AA" w14:textId="77777777" w:rsidR="000E6CDA" w:rsidRPr="000E6CDA" w:rsidRDefault="000E6CDA" w:rsidP="000E6CDA">
      <w:pPr>
        <w:rPr>
          <w:b/>
          <w:bCs/>
        </w:rPr>
      </w:pPr>
      <w:r w:rsidRPr="000E6CDA">
        <w:rPr>
          <w:b/>
          <w:bCs/>
        </w:rPr>
        <w:t>國際地位</w:t>
      </w:r>
    </w:p>
    <w:p w14:paraId="6B704253" w14:textId="77777777" w:rsidR="000E6CDA" w:rsidRPr="000E6CDA" w:rsidRDefault="000E6CDA" w:rsidP="000E6CDA">
      <w:r w:rsidRPr="000E6CDA">
        <w:t>歐洲聯邦在「蒼穹之盾」計畫中扮演道德監督者的關鍵角色，「卡珊德拉」負責為整個計畫進行最壞情況的「長期後果模擬」，劃定不可逾越的道德與安全紅線。這一職能，是歐洲聯邦以「規範性影響力」而非軍事或工業貢獻，嵌入全球最重要地球工程合作的範本。</w:t>
      </w:r>
    </w:p>
    <w:p w14:paraId="4CAD5380" w14:textId="77777777" w:rsidR="000E6CDA" w:rsidRPr="000E6CDA" w:rsidRDefault="000E6CDA" w:rsidP="000E6CDA">
      <w:r w:rsidRPr="000E6CDA">
        <w:t>在拉丁美洲，歐洲聯邦試圖通過推廣環保標準、勞工權益和數據隱私法規，資助符合其理念的非政府組織，從文化與法律層面，將拉美納入其價值體系。相較於美國的「企業攻勢」和中華邦聯的「基建外交」，歐洲的方式更為迂迴，效果也更難以量化。</w:t>
      </w:r>
    </w:p>
    <w:p w14:paraId="30693E53" w14:textId="77777777" w:rsidR="000E6CDA" w:rsidRPr="000E6CDA" w:rsidRDefault="000E6CDA" w:rsidP="000E6CDA">
      <w:r w:rsidRPr="000E6CDA">
        <w:pict w14:anchorId="09765186">
          <v:rect id="_x0000_i1156" style="width:0;height:1.5pt" o:hralign="center" o:hrstd="t" o:hr="t" fillcolor="#a0a0a0" stroked="f"/>
        </w:pict>
      </w:r>
    </w:p>
    <w:p w14:paraId="5088D469" w14:textId="77777777" w:rsidR="000E6CDA" w:rsidRPr="000E6CDA" w:rsidRDefault="000E6CDA" w:rsidP="000E6CDA">
      <w:pPr>
        <w:rPr>
          <w:b/>
          <w:bCs/>
        </w:rPr>
      </w:pPr>
      <w:r w:rsidRPr="000E6CDA">
        <w:rPr>
          <w:b/>
          <w:bCs/>
        </w:rPr>
        <w:t>爭議</w:t>
      </w:r>
    </w:p>
    <w:p w14:paraId="2C49AD51" w14:textId="77777777" w:rsidR="000E6CDA" w:rsidRPr="000E6CDA" w:rsidRDefault="000E6CDA" w:rsidP="000E6CDA">
      <w:pPr>
        <w:rPr>
          <w:b/>
          <w:bCs/>
        </w:rPr>
      </w:pPr>
      <w:r w:rsidRPr="000E6CDA">
        <w:rPr>
          <w:b/>
          <w:bCs/>
        </w:rPr>
        <w:t>S-Score</w:t>
      </w:r>
      <w:r w:rsidRPr="000E6CDA">
        <w:rPr>
          <w:b/>
          <w:bCs/>
        </w:rPr>
        <w:t>「溫柔強制」爭議</w:t>
      </w:r>
    </w:p>
    <w:p w14:paraId="218AC8DB" w14:textId="77777777" w:rsidR="000E6CDA" w:rsidRPr="000E6CDA" w:rsidRDefault="000E6CDA" w:rsidP="000E6CDA">
      <w:r w:rsidRPr="000E6CDA">
        <w:t>儘管社會貢獻指數（</w:t>
      </w:r>
      <w:r w:rsidRPr="000E6CDA">
        <w:t>S-Score</w:t>
      </w:r>
      <w:r w:rsidRPr="000E6CDA">
        <w:t>）在法律上完全自願，但批評者</w:t>
      </w:r>
      <w:proofErr w:type="gramStart"/>
      <w:r w:rsidRPr="000E6CDA">
        <w:t>——</w:t>
      </w:r>
      <w:proofErr w:type="gramEnd"/>
      <w:r w:rsidRPr="000E6CDA">
        <w:t>包括「卡珊德拉」本身的部分模擬輸出</w:t>
      </w:r>
      <w:proofErr w:type="gramStart"/>
      <w:r w:rsidRPr="000E6CDA">
        <w:t>——</w:t>
      </w:r>
      <w:proofErr w:type="gramEnd"/>
      <w:r w:rsidRPr="000E6CDA">
        <w:t>指出，在所有美好的公共資源都與之掛</w:t>
      </w:r>
      <w:proofErr w:type="gramStart"/>
      <w:r w:rsidRPr="000E6CDA">
        <w:t>鉤</w:t>
      </w:r>
      <w:proofErr w:type="gramEnd"/>
      <w:r w:rsidRPr="000E6CDA">
        <w:t>的現實條件下，「不參與」的代價大到足以構成一種隱性強制。支持者則堅持，這種「社會性壓力」與中華邦聯的強制評分之間存在性質上的根本差異，不應混淆。此爭議至今未有定論。</w:t>
      </w:r>
    </w:p>
    <w:p w14:paraId="64483786" w14:textId="77777777" w:rsidR="000E6CDA" w:rsidRPr="000E6CDA" w:rsidRDefault="000E6CDA" w:rsidP="000E6CDA">
      <w:pPr>
        <w:rPr>
          <w:b/>
          <w:bCs/>
        </w:rPr>
      </w:pPr>
      <w:r w:rsidRPr="000E6CDA">
        <w:rPr>
          <w:b/>
          <w:bCs/>
        </w:rPr>
        <w:t>GDDR</w:t>
      </w:r>
      <w:r w:rsidRPr="000E6CDA">
        <w:rPr>
          <w:b/>
          <w:bCs/>
        </w:rPr>
        <w:t>對全球化競爭的阻礙爭議</w:t>
      </w:r>
    </w:p>
    <w:p w14:paraId="4186F1D6" w14:textId="77777777" w:rsidR="000E6CDA" w:rsidRPr="000E6CDA" w:rsidRDefault="000E6CDA" w:rsidP="000E6CDA">
      <w:r w:rsidRPr="000E6CDA">
        <w:t>「數據的加拉帕戈斯群島」批評已在歐盟內部引發持續的世代性辯論。年輕一代的歐洲人普遍感受到，當他們試圖</w:t>
      </w:r>
      <w:proofErr w:type="gramStart"/>
      <w:r w:rsidRPr="000E6CDA">
        <w:t>與邦聯</w:t>
      </w:r>
      <w:proofErr w:type="gramEnd"/>
      <w:r w:rsidRPr="000E6CDA">
        <w:t>或美國的體系接軌時，</w:t>
      </w:r>
      <w:r w:rsidRPr="000E6CDA">
        <w:t>GDDR</w:t>
      </w:r>
      <w:r w:rsidRPr="000E6CDA">
        <w:t>更像是障礙而非保護。保守的「數位人權」陣營則堅持，一時的競爭劣勢，遠比以個人數據主權換取市場機遇更為可接受。</w:t>
      </w:r>
    </w:p>
    <w:p w14:paraId="70F876A1" w14:textId="77777777" w:rsidR="000E6CDA" w:rsidRPr="000E6CDA" w:rsidRDefault="000E6CDA" w:rsidP="000E6CDA">
      <w:pPr>
        <w:rPr>
          <w:b/>
          <w:bCs/>
        </w:rPr>
      </w:pPr>
      <w:r w:rsidRPr="000E6CDA">
        <w:rPr>
          <w:b/>
          <w:bCs/>
        </w:rPr>
        <w:t>「卡珊德拉」的預言是否被認真對待</w:t>
      </w:r>
    </w:p>
    <w:p w14:paraId="06EC012B" w14:textId="77777777" w:rsidR="000E6CDA" w:rsidRPr="000E6CDA" w:rsidRDefault="000E6CDA" w:rsidP="000E6CDA">
      <w:r w:rsidRPr="000E6CDA">
        <w:lastRenderedPageBreak/>
        <w:t>這是最根本的哲學爭議，也是最無法被解決的困境。「卡珊德拉」的預測記錄近乎完美</w:t>
      </w:r>
      <w:proofErr w:type="gramStart"/>
      <w:r w:rsidRPr="000E6CDA">
        <w:t>——</w:t>
      </w:r>
      <w:proofErr w:type="gramEnd"/>
      <w:r w:rsidRPr="000E6CDA">
        <w:t>每一次它發出警告，最終都被歷史所驗證；每一次決策者選擇忽視，後果便如期到來。然而它的程式禁止它進行直接干預，而人類決策者被短期利益驅動的本性，也從未根本性地改變。這種「預言準確、卻永遠不被相信」的結構性悲劇，是歐洲聯邦最深層的制度性矛盾。</w:t>
      </w:r>
    </w:p>
    <w:p w14:paraId="26F579B5" w14:textId="77777777" w:rsidR="000E6CDA" w:rsidRPr="000E6CDA" w:rsidRDefault="000E6CDA" w:rsidP="000E6CDA">
      <w:r w:rsidRPr="000E6CDA">
        <w:pict w14:anchorId="1B2248DD">
          <v:rect id="_x0000_i1157" style="width:0;height:1.5pt" o:hralign="center" o:hrstd="t" o:hr="t" fillcolor="#a0a0a0" stroked="f"/>
        </w:pict>
      </w:r>
    </w:p>
    <w:p w14:paraId="324AD93D" w14:textId="77777777" w:rsidR="000E6CDA" w:rsidRPr="000E6CDA" w:rsidRDefault="000E6CDA" w:rsidP="000E6CDA">
      <w:pPr>
        <w:rPr>
          <w:b/>
          <w:bCs/>
        </w:rPr>
      </w:pPr>
      <w:proofErr w:type="gramStart"/>
      <w:r w:rsidRPr="000E6CDA">
        <w:rPr>
          <w:b/>
          <w:bCs/>
        </w:rPr>
        <w:t>註</w:t>
      </w:r>
      <w:proofErr w:type="gramEnd"/>
      <w:r w:rsidRPr="000E6CDA">
        <w:rPr>
          <w:b/>
          <w:bCs/>
        </w:rPr>
        <w:t>釋</w:t>
      </w:r>
    </w:p>
    <w:p w14:paraId="7C7CD3BF" w14:textId="77777777" w:rsidR="000E6CDA" w:rsidRPr="000E6CDA" w:rsidRDefault="000E6CDA" w:rsidP="000E6CDA">
      <w:r w:rsidRPr="000E6CDA">
        <w:rPr>
          <w:b/>
          <w:bCs/>
        </w:rPr>
        <w:t>[</w:t>
      </w:r>
      <w:r w:rsidRPr="000E6CDA">
        <w:rPr>
          <w:b/>
          <w:bCs/>
        </w:rPr>
        <w:t>資訊缺口</w:t>
      </w:r>
      <w:r w:rsidRPr="000E6CDA">
        <w:rPr>
          <w:b/>
          <w:bCs/>
        </w:rPr>
        <w:t>]</w:t>
      </w:r>
      <w:r w:rsidRPr="000E6CDA">
        <w:t xml:space="preserve"> </w:t>
      </w:r>
      <w:r w:rsidRPr="000E6CDA">
        <w:t>歐洲聯邦的聯邦首都（布魯塞爾、斯特拉斯堡或其他城市）在現有素材中並無明確指定，條目以「布魯塞爾」作為行政中心的通稱使用，</w:t>
      </w:r>
      <w:proofErr w:type="gramStart"/>
      <w:r w:rsidRPr="000E6CDA">
        <w:t>不</w:t>
      </w:r>
      <w:proofErr w:type="gramEnd"/>
      <w:r w:rsidRPr="000E6CDA">
        <w:t>視為正式首都認定。</w:t>
      </w:r>
    </w:p>
    <w:p w14:paraId="5BD43761" w14:textId="77777777" w:rsidR="000E6CDA" w:rsidRPr="000E6CDA" w:rsidRDefault="000E6CDA" w:rsidP="000E6CDA">
      <w:r w:rsidRPr="000E6CDA">
        <w:rPr>
          <w:b/>
          <w:bCs/>
        </w:rPr>
        <w:t>[</w:t>
      </w:r>
      <w:r w:rsidRPr="000E6CDA">
        <w:rPr>
          <w:b/>
          <w:bCs/>
        </w:rPr>
        <w:t>資訊缺口</w:t>
      </w:r>
      <w:r w:rsidRPr="000E6CDA">
        <w:rPr>
          <w:b/>
          <w:bCs/>
        </w:rPr>
        <w:t>]</w:t>
      </w:r>
      <w:r w:rsidRPr="000E6CDA">
        <w:t xml:space="preserve"> </w:t>
      </w:r>
      <w:r w:rsidRPr="000E6CDA">
        <w:t>歐洲聯邦的軍事架構細節</w:t>
      </w:r>
      <w:proofErr w:type="gramStart"/>
      <w:r w:rsidRPr="000E6CDA">
        <w:t>——</w:t>
      </w:r>
      <w:proofErr w:type="gramEnd"/>
      <w:r w:rsidRPr="000E6CDA">
        <w:t>包括是否存在統一的聯邦武裝力量，以及與北約的關係</w:t>
      </w:r>
      <w:proofErr w:type="gramStart"/>
      <w:r w:rsidRPr="000E6CDA">
        <w:t>——</w:t>
      </w:r>
      <w:proofErr w:type="gramEnd"/>
      <w:r w:rsidRPr="000E6CDA">
        <w:t>現有素材未提供具體資訊。</w:t>
      </w:r>
    </w:p>
    <w:p w14:paraId="775D5AC7" w14:textId="77777777" w:rsidR="000E6CDA" w:rsidRPr="000E6CDA" w:rsidRDefault="000E6CDA" w:rsidP="000E6CDA">
      <w:r w:rsidRPr="000E6CDA">
        <w:rPr>
          <w:b/>
          <w:bCs/>
        </w:rPr>
        <w:t>[</w:t>
      </w:r>
      <w:r w:rsidRPr="000E6CDA">
        <w:rPr>
          <w:b/>
          <w:bCs/>
        </w:rPr>
        <w:t>資訊缺口</w:t>
      </w:r>
      <w:r w:rsidRPr="000E6CDA">
        <w:rPr>
          <w:b/>
          <w:bCs/>
        </w:rPr>
        <w:t>]</w:t>
      </w:r>
      <w:r w:rsidRPr="000E6CDA">
        <w:t xml:space="preserve"> </w:t>
      </w:r>
      <w:r w:rsidRPr="000E6CDA">
        <w:t>歐洲聯邦的人口規模、</w:t>
      </w:r>
      <w:r w:rsidRPr="000E6CDA">
        <w:t>GDP</w:t>
      </w:r>
      <w:r w:rsidRPr="000E6CDA">
        <w:t>總量及成員國具體構成，現有素材未見明確數字。</w:t>
      </w:r>
    </w:p>
    <w:p w14:paraId="53707CA1" w14:textId="77777777" w:rsidR="000E6CDA" w:rsidRPr="000E6CDA" w:rsidRDefault="000E6CDA" w:rsidP="000E6CDA">
      <w:r w:rsidRPr="000E6CDA">
        <w:pict w14:anchorId="0D520F32">
          <v:rect id="_x0000_i1158" style="width:0;height:1.5pt" o:hralign="center" o:hrstd="t" o:hr="t" fillcolor="#a0a0a0" stroked="f"/>
        </w:pict>
      </w:r>
    </w:p>
    <w:p w14:paraId="1D69FB8A" w14:textId="77777777" w:rsidR="000E6CDA" w:rsidRPr="000E6CDA" w:rsidRDefault="000E6CDA" w:rsidP="000E6CDA">
      <w:r w:rsidRPr="000E6CDA">
        <w:rPr>
          <w:b/>
          <w:bCs/>
        </w:rPr>
        <w:t>相關條目</w:t>
      </w:r>
      <w:r w:rsidRPr="000E6CDA">
        <w:t>：卡珊德拉（</w:t>
      </w:r>
      <w:r w:rsidRPr="000E6CDA">
        <w:t>AI</w:t>
      </w:r>
      <w:r w:rsidRPr="000E6CDA">
        <w:t>）／《通用數據尊嚴條例》</w:t>
      </w:r>
      <w:r w:rsidRPr="000E6CDA">
        <w:t>GDDR</w:t>
      </w:r>
      <w:r w:rsidRPr="000E6CDA">
        <w:t>／演算法監察局／長和平／多</w:t>
      </w:r>
      <w:proofErr w:type="gramStart"/>
      <w:r w:rsidRPr="000E6CDA">
        <w:t>極</w:t>
      </w:r>
      <w:proofErr w:type="gramEnd"/>
      <w:r w:rsidRPr="000E6CDA">
        <w:t>均勢／「蒼穹之盾」計畫／中華邦聯／美利堅合眾國</w:t>
      </w:r>
    </w:p>
    <w:p w14:paraId="356645AB" w14:textId="77777777" w:rsidR="00E616CD" w:rsidRPr="000E6CDA" w:rsidRDefault="00E616CD" w:rsidP="000E6CDA"/>
    <w:sectPr w:rsidR="00E616CD" w:rsidRPr="000E6CD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A3204" w14:textId="77777777" w:rsidR="00104E0B" w:rsidRDefault="00104E0B" w:rsidP="006527C0">
      <w:pPr>
        <w:spacing w:after="0" w:line="240" w:lineRule="auto"/>
      </w:pPr>
      <w:r>
        <w:separator/>
      </w:r>
    </w:p>
  </w:endnote>
  <w:endnote w:type="continuationSeparator" w:id="0">
    <w:p w14:paraId="3D1EF5C7" w14:textId="77777777" w:rsidR="00104E0B" w:rsidRDefault="00104E0B" w:rsidP="0065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38C35" w14:textId="77777777" w:rsidR="00104E0B" w:rsidRDefault="00104E0B" w:rsidP="006527C0">
      <w:pPr>
        <w:spacing w:after="0" w:line="240" w:lineRule="auto"/>
      </w:pPr>
      <w:r>
        <w:separator/>
      </w:r>
    </w:p>
  </w:footnote>
  <w:footnote w:type="continuationSeparator" w:id="0">
    <w:p w14:paraId="0C60C68A" w14:textId="77777777" w:rsidR="00104E0B" w:rsidRDefault="00104E0B" w:rsidP="00652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F0C"/>
    <w:multiLevelType w:val="multilevel"/>
    <w:tmpl w:val="71D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44CBE"/>
    <w:multiLevelType w:val="multilevel"/>
    <w:tmpl w:val="D4F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7409">
    <w:abstractNumId w:val="1"/>
  </w:num>
  <w:num w:numId="2" w16cid:durableId="3074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33"/>
    <w:rsid w:val="000E6CDA"/>
    <w:rsid w:val="00104E0B"/>
    <w:rsid w:val="00550201"/>
    <w:rsid w:val="006527C0"/>
    <w:rsid w:val="00734CFA"/>
    <w:rsid w:val="008B1733"/>
    <w:rsid w:val="009326F3"/>
    <w:rsid w:val="00A56032"/>
    <w:rsid w:val="00D83B1A"/>
    <w:rsid w:val="00DD06C7"/>
    <w:rsid w:val="00DE0111"/>
    <w:rsid w:val="00E616CD"/>
    <w:rsid w:val="00EC47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D43A85-5C4B-4F87-9309-659113B8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17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17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17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B17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B17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17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B17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7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B17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B17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B17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B17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B17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B1733"/>
    <w:rPr>
      <w:rFonts w:eastAsiaTheme="majorEastAsia" w:cstheme="majorBidi"/>
      <w:color w:val="2F5496" w:themeColor="accent1" w:themeShade="BF"/>
    </w:rPr>
  </w:style>
  <w:style w:type="character" w:customStyle="1" w:styleId="60">
    <w:name w:val="標題 6 字元"/>
    <w:basedOn w:val="a0"/>
    <w:link w:val="6"/>
    <w:uiPriority w:val="9"/>
    <w:semiHidden/>
    <w:rsid w:val="008B1733"/>
    <w:rPr>
      <w:rFonts w:eastAsiaTheme="majorEastAsia" w:cstheme="majorBidi"/>
      <w:color w:val="595959" w:themeColor="text1" w:themeTint="A6"/>
    </w:rPr>
  </w:style>
  <w:style w:type="character" w:customStyle="1" w:styleId="70">
    <w:name w:val="標題 7 字元"/>
    <w:basedOn w:val="a0"/>
    <w:link w:val="7"/>
    <w:uiPriority w:val="9"/>
    <w:semiHidden/>
    <w:rsid w:val="008B1733"/>
    <w:rPr>
      <w:rFonts w:eastAsiaTheme="majorEastAsia" w:cstheme="majorBidi"/>
      <w:color w:val="595959" w:themeColor="text1" w:themeTint="A6"/>
    </w:rPr>
  </w:style>
  <w:style w:type="character" w:customStyle="1" w:styleId="80">
    <w:name w:val="標題 8 字元"/>
    <w:basedOn w:val="a0"/>
    <w:link w:val="8"/>
    <w:uiPriority w:val="9"/>
    <w:semiHidden/>
    <w:rsid w:val="008B1733"/>
    <w:rPr>
      <w:rFonts w:eastAsiaTheme="majorEastAsia" w:cstheme="majorBidi"/>
      <w:color w:val="272727" w:themeColor="text1" w:themeTint="D8"/>
    </w:rPr>
  </w:style>
  <w:style w:type="character" w:customStyle="1" w:styleId="90">
    <w:name w:val="標題 9 字元"/>
    <w:basedOn w:val="a0"/>
    <w:link w:val="9"/>
    <w:uiPriority w:val="9"/>
    <w:semiHidden/>
    <w:rsid w:val="008B1733"/>
    <w:rPr>
      <w:rFonts w:eastAsiaTheme="majorEastAsia" w:cstheme="majorBidi"/>
      <w:color w:val="272727" w:themeColor="text1" w:themeTint="D8"/>
    </w:rPr>
  </w:style>
  <w:style w:type="paragraph" w:styleId="a3">
    <w:name w:val="Title"/>
    <w:basedOn w:val="a"/>
    <w:next w:val="a"/>
    <w:link w:val="a4"/>
    <w:uiPriority w:val="10"/>
    <w:qFormat/>
    <w:rsid w:val="008B17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B1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7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B1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733"/>
    <w:pPr>
      <w:spacing w:before="160"/>
      <w:jc w:val="center"/>
    </w:pPr>
    <w:rPr>
      <w:i/>
      <w:iCs/>
      <w:color w:val="404040" w:themeColor="text1" w:themeTint="BF"/>
    </w:rPr>
  </w:style>
  <w:style w:type="character" w:customStyle="1" w:styleId="a8">
    <w:name w:val="引文 字元"/>
    <w:basedOn w:val="a0"/>
    <w:link w:val="a7"/>
    <w:uiPriority w:val="29"/>
    <w:rsid w:val="008B1733"/>
    <w:rPr>
      <w:i/>
      <w:iCs/>
      <w:color w:val="404040" w:themeColor="text1" w:themeTint="BF"/>
    </w:rPr>
  </w:style>
  <w:style w:type="paragraph" w:styleId="a9">
    <w:name w:val="List Paragraph"/>
    <w:basedOn w:val="a"/>
    <w:uiPriority w:val="34"/>
    <w:qFormat/>
    <w:rsid w:val="008B1733"/>
    <w:pPr>
      <w:ind w:left="720"/>
      <w:contextualSpacing/>
    </w:pPr>
  </w:style>
  <w:style w:type="character" w:styleId="aa">
    <w:name w:val="Intense Emphasis"/>
    <w:basedOn w:val="a0"/>
    <w:uiPriority w:val="21"/>
    <w:qFormat/>
    <w:rsid w:val="008B1733"/>
    <w:rPr>
      <w:i/>
      <w:iCs/>
      <w:color w:val="2F5496" w:themeColor="accent1" w:themeShade="BF"/>
    </w:rPr>
  </w:style>
  <w:style w:type="paragraph" w:styleId="ab">
    <w:name w:val="Intense Quote"/>
    <w:basedOn w:val="a"/>
    <w:next w:val="a"/>
    <w:link w:val="ac"/>
    <w:uiPriority w:val="30"/>
    <w:qFormat/>
    <w:rsid w:val="008B1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B1733"/>
    <w:rPr>
      <w:i/>
      <w:iCs/>
      <w:color w:val="2F5496" w:themeColor="accent1" w:themeShade="BF"/>
    </w:rPr>
  </w:style>
  <w:style w:type="character" w:styleId="ad">
    <w:name w:val="Intense Reference"/>
    <w:basedOn w:val="a0"/>
    <w:uiPriority w:val="32"/>
    <w:qFormat/>
    <w:rsid w:val="008B1733"/>
    <w:rPr>
      <w:b/>
      <w:bCs/>
      <w:smallCaps/>
      <w:color w:val="2F5496" w:themeColor="accent1" w:themeShade="BF"/>
      <w:spacing w:val="5"/>
    </w:rPr>
  </w:style>
  <w:style w:type="paragraph" w:styleId="ae">
    <w:name w:val="header"/>
    <w:basedOn w:val="a"/>
    <w:link w:val="af"/>
    <w:uiPriority w:val="99"/>
    <w:unhideWhenUsed/>
    <w:rsid w:val="006527C0"/>
    <w:pPr>
      <w:tabs>
        <w:tab w:val="center" w:pos="4153"/>
        <w:tab w:val="right" w:pos="8306"/>
      </w:tabs>
      <w:snapToGrid w:val="0"/>
    </w:pPr>
    <w:rPr>
      <w:sz w:val="20"/>
      <w:szCs w:val="20"/>
    </w:rPr>
  </w:style>
  <w:style w:type="character" w:customStyle="1" w:styleId="af">
    <w:name w:val="頁首 字元"/>
    <w:basedOn w:val="a0"/>
    <w:link w:val="ae"/>
    <w:uiPriority w:val="99"/>
    <w:rsid w:val="006527C0"/>
    <w:rPr>
      <w:sz w:val="20"/>
      <w:szCs w:val="20"/>
    </w:rPr>
  </w:style>
  <w:style w:type="paragraph" w:styleId="af0">
    <w:name w:val="footer"/>
    <w:basedOn w:val="a"/>
    <w:link w:val="af1"/>
    <w:uiPriority w:val="99"/>
    <w:unhideWhenUsed/>
    <w:rsid w:val="006527C0"/>
    <w:pPr>
      <w:tabs>
        <w:tab w:val="center" w:pos="4153"/>
        <w:tab w:val="right" w:pos="8306"/>
      </w:tabs>
      <w:snapToGrid w:val="0"/>
    </w:pPr>
    <w:rPr>
      <w:sz w:val="20"/>
      <w:szCs w:val="20"/>
    </w:rPr>
  </w:style>
  <w:style w:type="character" w:customStyle="1" w:styleId="af1">
    <w:name w:val="頁尾 字元"/>
    <w:basedOn w:val="a0"/>
    <w:link w:val="af0"/>
    <w:uiPriority w:val="99"/>
    <w:rsid w:val="006527C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1D01-7CEA-49D9-A7B7-8E778032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4541</Words>
  <Characters>4797</Characters>
  <Application>Microsoft Office Word</Application>
  <DocSecurity>0</DocSecurity>
  <Lines>189</Lines>
  <Paragraphs>65</Paragraphs>
  <ScaleCrop>false</ScaleCrop>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高至廷</dc:creator>
  <cp:keywords/>
  <dc:description/>
  <cp:lastModifiedBy>高至廷</cp:lastModifiedBy>
  <cp:revision>4</cp:revision>
  <dcterms:created xsi:type="dcterms:W3CDTF">2026-02-24T08:39:00Z</dcterms:created>
  <dcterms:modified xsi:type="dcterms:W3CDTF">2026-02-24T08:42:00Z</dcterms:modified>
</cp:coreProperties>
</file>