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6A4B" w14:textId="77777777" w:rsidR="00B73303" w:rsidRDefault="00B73303" w:rsidP="00B73303">
      <w:pPr>
        <w:spacing w:before="68"/>
        <w:ind w:left="2444" w:right="2135"/>
        <w:jc w:val="center"/>
        <w:rPr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577">
        <w:rPr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CASE TEMPLATE FOR SYNERGY ENTERPRISE</w:t>
      </w:r>
    </w:p>
    <w:tbl>
      <w:tblPr>
        <w:tblStyle w:val="GridTable2-Accent1"/>
        <w:tblpPr w:leftFromText="180" w:rightFromText="180" w:vertAnchor="page" w:horzAnchor="margin" w:tblpXSpec="center" w:tblpY="4014"/>
        <w:tblW w:w="9889" w:type="dxa"/>
        <w:tblLook w:val="04A0" w:firstRow="1" w:lastRow="0" w:firstColumn="1" w:lastColumn="0" w:noHBand="0" w:noVBand="1"/>
      </w:tblPr>
      <w:tblGrid>
        <w:gridCol w:w="4503"/>
        <w:gridCol w:w="5386"/>
      </w:tblGrid>
      <w:tr w:rsidR="00691577" w14:paraId="524EB9B2" w14:textId="77777777" w:rsidTr="00E86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bottom w:val="single" w:sz="4" w:space="0" w:color="auto"/>
            </w:tcBorders>
          </w:tcPr>
          <w:p w14:paraId="56398852" w14:textId="77777777" w:rsidR="00691577" w:rsidRDefault="00691577" w:rsidP="00E86F2D">
            <w:pPr>
              <w:spacing w:before="68"/>
              <w:ind w:right="2135"/>
              <w:rPr>
                <w:color w:val="000000" w:themeColor="text1"/>
                <w:sz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5386" w:type="dxa"/>
            <w:tcBorders>
              <w:bottom w:val="single" w:sz="4" w:space="0" w:color="auto"/>
            </w:tcBorders>
          </w:tcPr>
          <w:p w14:paraId="782F86AE" w14:textId="77777777" w:rsidR="00691577" w:rsidRDefault="00691577" w:rsidP="00E86F2D">
            <w:pPr>
              <w:spacing w:before="68"/>
              <w:ind w:right="213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691577" w14:paraId="077B8DCA" w14:textId="77777777" w:rsidTr="00E86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BE80" w14:textId="5BCC8505" w:rsidR="00691577" w:rsidRPr="00691577" w:rsidRDefault="00691577" w:rsidP="00691577">
            <w:pPr>
              <w:spacing w:before="68"/>
              <w:ind w:right="2135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SUBMITTED BY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7105D" w14:textId="0816BA7F" w:rsidR="00691577" w:rsidRPr="00691577" w:rsidRDefault="00691577" w:rsidP="00691577">
            <w:pPr>
              <w:spacing w:before="68"/>
              <w:ind w:right="21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Ebuka Akunedoziobi</w:t>
            </w:r>
          </w:p>
        </w:tc>
      </w:tr>
      <w:tr w:rsidR="00691577" w14:paraId="2162BBB1" w14:textId="77777777" w:rsidTr="00E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353B" w14:textId="1FCDE009" w:rsidR="00691577" w:rsidRPr="00691577" w:rsidRDefault="00691577" w:rsidP="00691577">
            <w:pPr>
              <w:spacing w:before="68"/>
              <w:ind w:right="2135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1577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="00E86F2D"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UBMITTED TO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F0C7" w14:textId="28A6BCB4" w:rsidR="00691577" w:rsidRDefault="00691577" w:rsidP="00691577">
            <w:pPr>
              <w:spacing w:before="68"/>
              <w:ind w:right="2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Synergy Enterprise</w:t>
            </w:r>
          </w:p>
        </w:tc>
      </w:tr>
      <w:tr w:rsidR="00691577" w14:paraId="2D087078" w14:textId="77777777" w:rsidTr="00E86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2E05" w14:textId="1C5F12B4" w:rsidR="00691577" w:rsidRPr="00691577" w:rsidRDefault="00E86F2D" w:rsidP="00691577">
            <w:pPr>
              <w:spacing w:before="68"/>
              <w:ind w:right="2135"/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TO THE ATTENTION OF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62E9" w14:textId="2D5DBAE2" w:rsidR="00691577" w:rsidRPr="00E86F2D" w:rsidRDefault="00E86F2D" w:rsidP="00E86F2D">
            <w:pPr>
              <w:spacing w:before="68"/>
              <w:ind w:right="21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Global Board of Directors</w:t>
            </w:r>
          </w:p>
        </w:tc>
      </w:tr>
    </w:tbl>
    <w:p w14:paraId="25BCE693" w14:textId="77777777" w:rsidR="00B73303" w:rsidRDefault="00B73303">
      <w:pPr>
        <w:pStyle w:val="Heading1"/>
      </w:pPr>
    </w:p>
    <w:p w14:paraId="24E6E936" w14:textId="42C1F410" w:rsidR="002F6DA8" w:rsidRDefault="00E86F2D">
      <w:pPr>
        <w:pStyle w:val="Heading1"/>
      </w:pPr>
      <w:r>
        <w:t>Business Case: Global HR Technology Transformation Initiative</w:t>
      </w:r>
    </w:p>
    <w:p w14:paraId="498D7377" w14:textId="77777777" w:rsidR="002F6DA8" w:rsidRDefault="00E86F2D">
      <w:pPr>
        <w:pStyle w:val="Heading2"/>
      </w:pPr>
      <w:r>
        <w:t>1. Executive Summary</w:t>
      </w:r>
    </w:p>
    <w:p w14:paraId="52937492" w14:textId="77777777" w:rsidR="002F6DA8" w:rsidRDefault="00E86F2D">
      <w:r>
        <w:t>Synergy Enterprises’ fragmented HR systems create inefficiencies, compliance risks, and inconsistent employee experiences. To align with its strategic goal of building a strong global brand and enhancing employee engagement, we propose the implementation of a unified cloud-based Human Capital Management (HCM) system. This transformation will deliver standardized HR processes, global data visibility, improved compliance, and operational efficiency across all regions.</w:t>
      </w:r>
    </w:p>
    <w:p w14:paraId="7DEBE4CB" w14:textId="77777777" w:rsidR="002F6DA8" w:rsidRDefault="00E86F2D">
      <w:pPr>
        <w:pStyle w:val="Heading2"/>
      </w:pPr>
      <w:r>
        <w:t>2. Business Problem</w:t>
      </w:r>
    </w:p>
    <w:p w14:paraId="5DB54531" w14:textId="77777777" w:rsidR="002F6DA8" w:rsidRDefault="00E86F2D">
      <w:r>
        <w:t>The current fragmented HR landscape leads to the following key issues:</w:t>
      </w:r>
    </w:p>
    <w:p w14:paraId="0E2C55FA" w14:textId="77777777" w:rsidR="002F6DA8" w:rsidRDefault="00E86F2D">
      <w:r>
        <w:t>• Redundant and inconsistent employee data.</w:t>
      </w:r>
      <w:r>
        <w:br/>
        <w:t>• Inefficient manual HR processes.</w:t>
      </w:r>
      <w:r>
        <w:br/>
        <w:t>• Lack of global workforce insights.</w:t>
      </w:r>
      <w:r>
        <w:br/>
        <w:t>• Inconsistent employee experience.</w:t>
      </w:r>
      <w:r>
        <w:br/>
        <w:t>• High IT maintenance costs and compliance risks.</w:t>
      </w:r>
    </w:p>
    <w:p w14:paraId="55EAFDE2" w14:textId="77777777" w:rsidR="002F6DA8" w:rsidRDefault="00E86F2D">
      <w:pPr>
        <w:pStyle w:val="Heading2"/>
      </w:pPr>
      <w:r>
        <w:lastRenderedPageBreak/>
        <w:t>3. Strategic Alignment</w:t>
      </w:r>
    </w:p>
    <w:p w14:paraId="331AAB6F" w14:textId="77777777" w:rsidR="002F6DA8" w:rsidRDefault="00E86F2D">
      <w:r>
        <w:t>This initiative supports Synergy’s corporate goals of operational excellence, digital transformation, and global brand consistency. It strengthens the company’s ability to attract, develop, and retain top talent globally.</w:t>
      </w:r>
    </w:p>
    <w:p w14:paraId="212F7D1F" w14:textId="77777777" w:rsidR="002F6DA8" w:rsidRDefault="00E86F2D">
      <w:pPr>
        <w:pStyle w:val="Heading2"/>
      </w:pPr>
      <w:r>
        <w:t>4. Proposed Solution</w:t>
      </w:r>
    </w:p>
    <w:p w14:paraId="35DFBFCA" w14:textId="77777777" w:rsidR="002F6DA8" w:rsidRDefault="00E86F2D">
      <w:r>
        <w:t>Implement a cloud-based global Human Capital Management (HCM) platform (e.g., Workday, SAP SuccessFactors, or Oracle HCM Cloud) that integrates all HR processes and systems across regions. The platform will enable a single source of truth for employee data, automated HR workflows, and standardized reporting globally.</w:t>
      </w:r>
    </w:p>
    <w:p w14:paraId="63CD84B1" w14:textId="77777777" w:rsidR="002F6DA8" w:rsidRDefault="00E86F2D">
      <w:pPr>
        <w:pStyle w:val="Heading2"/>
      </w:pPr>
      <w:r>
        <w:t>5. Scope of the Project</w:t>
      </w:r>
    </w:p>
    <w:p w14:paraId="5E68721C" w14:textId="77777777" w:rsidR="002F6DA8" w:rsidRDefault="00E86F2D">
      <w:r>
        <w:t>The project scope includes:</w:t>
      </w:r>
      <w:r>
        <w:br/>
        <w:t>• Core HR data management</w:t>
      </w:r>
      <w:r>
        <w:br/>
        <w:t>• Recruitment and onboarding</w:t>
      </w:r>
      <w:r>
        <w:br/>
        <w:t>• Payroll and benefits administration</w:t>
      </w:r>
      <w:r>
        <w:br/>
        <w:t>• Performance management and learning</w:t>
      </w:r>
      <w:r>
        <w:br/>
        <w:t>• HR analytics and reporting</w:t>
      </w:r>
      <w:r>
        <w:br/>
        <w:t>• Employee and manager self-service portals</w:t>
      </w:r>
    </w:p>
    <w:p w14:paraId="67EE8704" w14:textId="77777777" w:rsidR="002F6DA8" w:rsidRDefault="00E86F2D">
      <w:pPr>
        <w:pStyle w:val="Heading2"/>
      </w:pPr>
      <w:r>
        <w:t>6. Key Benefits</w:t>
      </w:r>
    </w:p>
    <w:p w14:paraId="44BEA568" w14:textId="77777777" w:rsidR="002F6DA8" w:rsidRDefault="00E86F2D">
      <w:r>
        <w:t>• Streamlined HR operations through automation and standardization.</w:t>
      </w:r>
      <w:r>
        <w:br/>
        <w:t>• 20–30% IT cost reduction by consolidating systems.</w:t>
      </w:r>
      <w:r>
        <w:br/>
        <w:t>• Enhanced workforce analytics and data-driven decisions.</w:t>
      </w:r>
      <w:r>
        <w:br/>
        <w:t>• Consistent and engaging employee experience globally.</w:t>
      </w:r>
      <w:r>
        <w:br/>
        <w:t>• Strengthened compliance with global labor and data privacy laws.</w:t>
      </w:r>
    </w:p>
    <w:p w14:paraId="60DC5168" w14:textId="77777777" w:rsidR="002F6DA8" w:rsidRDefault="00E86F2D">
      <w:pPr>
        <w:pStyle w:val="Heading2"/>
      </w:pPr>
      <w:r>
        <w:t>7. Costs and Investment</w:t>
      </w:r>
    </w:p>
    <w:p w14:paraId="7F2BFFAF" w14:textId="77777777" w:rsidR="002F6DA8" w:rsidRDefault="00E86F2D">
      <w:r>
        <w:t>Estimated investment: $25–35 million (software licensing, implementation, change management, training, and data migration) over three years.</w:t>
      </w:r>
    </w:p>
    <w:p w14:paraId="55FCD4E8" w14:textId="77777777" w:rsidR="002F6DA8" w:rsidRDefault="00E86F2D">
      <w:pPr>
        <w:pStyle w:val="Heading2"/>
      </w:pPr>
      <w:r>
        <w:t>8. Risks and Mitigation</w:t>
      </w:r>
    </w:p>
    <w:p w14:paraId="5F80BDB1" w14:textId="77777777" w:rsidR="002F6DA8" w:rsidRDefault="00E86F2D">
      <w:r>
        <w:t>• Change Resistance: Mitigate through robust global change management, training, and communication.</w:t>
      </w:r>
      <w:r>
        <w:br/>
        <w:t>• Data Migration Complexity: Engage expert data teams and validate data integrity.</w:t>
      </w:r>
      <w:r>
        <w:br/>
        <w:t>• Compliance Challenges: Use vendor with robust global compliance capabilities.</w:t>
      </w:r>
    </w:p>
    <w:p w14:paraId="68FA2157" w14:textId="77777777" w:rsidR="002F6DA8" w:rsidRDefault="00E86F2D">
      <w:pPr>
        <w:pStyle w:val="Heading2"/>
      </w:pPr>
      <w:r>
        <w:t>9. Implementation Timeline</w:t>
      </w:r>
    </w:p>
    <w:p w14:paraId="5EDDF1FA" w14:textId="77777777" w:rsidR="002F6DA8" w:rsidRDefault="00E86F2D">
      <w:r>
        <w:t>• Phase 1 (0–6 months): Requirements gathering, vendor selection, and pilot deployment.</w:t>
      </w:r>
      <w:r>
        <w:br/>
        <w:t>• Phase 2 (6–18 months): Global rollout by region.</w:t>
      </w:r>
      <w:r>
        <w:br/>
        <w:t>• Phase 3 (18–24 months): Stabilization and optimization.</w:t>
      </w:r>
    </w:p>
    <w:p w14:paraId="0398E8D4" w14:textId="77777777" w:rsidR="002F6DA8" w:rsidRDefault="00E86F2D">
      <w:pPr>
        <w:pStyle w:val="Heading2"/>
      </w:pPr>
      <w:r>
        <w:lastRenderedPageBreak/>
        <w:t>10. ROI and Value Realization</w:t>
      </w:r>
    </w:p>
    <w:p w14:paraId="1C28BACD" w14:textId="77777777" w:rsidR="002F6DA8" w:rsidRDefault="00E86F2D">
      <w:r>
        <w:t>Expected payback within 3–4 years through cost savings, operational efficiency, and improved employee productivity.</w:t>
      </w:r>
    </w:p>
    <w:p w14:paraId="6192FD46" w14:textId="77777777" w:rsidR="002F6DA8" w:rsidRDefault="00E86F2D">
      <w:pPr>
        <w:pStyle w:val="Heading2"/>
      </w:pPr>
      <w:r>
        <w:t>11. Governance &amp; Ownership</w:t>
      </w:r>
    </w:p>
    <w:p w14:paraId="5F0B461D" w14:textId="77777777" w:rsidR="002F6DA8" w:rsidRDefault="00E86F2D">
      <w:r>
        <w:t>Executive Sponsor: Global CHRO</w:t>
      </w:r>
      <w:r>
        <w:br/>
        <w:t>Steering Committee: HR, IT, Finance, and Regional Business Heads</w:t>
      </w:r>
      <w:r>
        <w:br/>
        <w:t>Project Team: Global HR Transformation Office</w:t>
      </w:r>
    </w:p>
    <w:p w14:paraId="4E8D9EA6" w14:textId="77777777" w:rsidR="002F6DA8" w:rsidRDefault="00E86F2D">
      <w:pPr>
        <w:pStyle w:val="Heading2"/>
      </w:pPr>
      <w:r>
        <w:t>12. Recommended SDLC Methodology</w:t>
      </w:r>
    </w:p>
    <w:p w14:paraId="2A0C3786" w14:textId="77777777" w:rsidR="002F6DA8" w:rsidRDefault="00E86F2D">
      <w:r>
        <w:t>Agile methodology is recommended due to the global scale and complexity of the project. Agile supports iterative, modular rollouts, allowing early delivery of value, regional adaptability, and continuous stakeholder engagement.</w:t>
      </w:r>
    </w:p>
    <w:p w14:paraId="31BAD4C4" w14:textId="77777777" w:rsidR="002F6DA8" w:rsidRDefault="00E86F2D">
      <w:r>
        <w:t>Benefits of Agile for this project:</w:t>
      </w:r>
      <w:r>
        <w:br/>
        <w:t>• Enables phased regional deployment with early feedback.</w:t>
      </w:r>
      <w:r>
        <w:br/>
        <w:t>• Accommodates evolving HR and compliance needs.</w:t>
      </w:r>
      <w:r>
        <w:br/>
        <w:t>• Enhances collaboration across global teams.</w:t>
      </w:r>
      <w:r>
        <w:br/>
        <w:t>• Reduces risk through incremental delivery and testing.</w:t>
      </w:r>
    </w:p>
    <w:sectPr w:rsidR="002F6D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090953">
    <w:abstractNumId w:val="8"/>
  </w:num>
  <w:num w:numId="2" w16cid:durableId="602609511">
    <w:abstractNumId w:val="6"/>
  </w:num>
  <w:num w:numId="3" w16cid:durableId="259216841">
    <w:abstractNumId w:val="5"/>
  </w:num>
  <w:num w:numId="4" w16cid:durableId="271864486">
    <w:abstractNumId w:val="4"/>
  </w:num>
  <w:num w:numId="5" w16cid:durableId="1950770572">
    <w:abstractNumId w:val="7"/>
  </w:num>
  <w:num w:numId="6" w16cid:durableId="2025014760">
    <w:abstractNumId w:val="3"/>
  </w:num>
  <w:num w:numId="7" w16cid:durableId="1179349338">
    <w:abstractNumId w:val="2"/>
  </w:num>
  <w:num w:numId="8" w16cid:durableId="1074662701">
    <w:abstractNumId w:val="1"/>
  </w:num>
  <w:num w:numId="9" w16cid:durableId="195901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DA8"/>
    <w:rsid w:val="00326F90"/>
    <w:rsid w:val="00691577"/>
    <w:rsid w:val="00AA1D8D"/>
    <w:rsid w:val="00B47730"/>
    <w:rsid w:val="00B73303"/>
    <w:rsid w:val="00C63141"/>
    <w:rsid w:val="00CB0664"/>
    <w:rsid w:val="00E86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86E12"/>
  <w14:defaultImageDpi w14:val="300"/>
  <w15:docId w15:val="{63F0FDFA-C2BB-46D0-B17E-EB423B08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B733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styleId="GridTable2-Accent1">
    <w:name w:val="Grid Table 2 Accent 1"/>
    <w:basedOn w:val="TableNormal"/>
    <w:uiPriority w:val="47"/>
    <w:rsid w:val="0069157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ebuka akunedoziobi</cp:lastModifiedBy>
  <cp:revision>2</cp:revision>
  <dcterms:created xsi:type="dcterms:W3CDTF">2025-10-13T14:22:00Z</dcterms:created>
  <dcterms:modified xsi:type="dcterms:W3CDTF">2025-10-13T14:22:00Z</dcterms:modified>
  <cp:category/>
</cp:coreProperties>
</file>