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80"/>
        <w:jc w:val="center"/>
      </w:pPr>
      <w:r>
        <w:rPr>
          <w:rFonts w:ascii="Calibri" w:cs="Calibri" w:eastAsia="Calibri" w:hAnsi="Calibri"/>
          <w:b/>
          <w:bCs/>
          <w:color w:val="C4A265"/>
          <w:spacing w:val="200"/>
          <w:sz w:val="18"/>
          <w:szCs w:val="18"/>
        </w:rPr>
        <w:t xml:space="preserve">SHEPHERD’S GUILD</w:t>
      </w:r>
    </w:p>
    <w:p>
      <w:pPr>
        <w:pBdr>
          <w:bottom w:val="single" w:color="C4A265" w:sz="4"/>
        </w:pBdr>
        <w:spacing w:after="400"/>
        <w:jc w:val="center"/>
      </w:pPr>
    </w:p>
    <w:p>
      <w:pPr>
        <w:spacing w:after="120"/>
        <w:jc w:val="center"/>
      </w:pPr>
      <w:r>
        <w:rPr>
          <w:rFonts w:ascii="Garamond" w:cs="Garamond" w:eastAsia="Garamond" w:hAnsi="Garamond"/>
          <w:color w:val="1A1714"/>
          <w:sz w:val="56"/>
          <w:szCs w:val="56"/>
        </w:rPr>
        <w:t xml:space="preserve">The Apprenticeship Model</w:t>
      </w:r>
    </w:p>
    <w:p>
      <w:pPr>
        <w:spacing w:after="80"/>
        <w:jc w:val="center"/>
      </w:pPr>
      <w:r>
        <w:rPr>
          <w:rFonts w:ascii="Garamond" w:cs="Garamond" w:eastAsia="Garamond" w:hAnsi="Garamond"/>
          <w:i/>
          <w:iCs/>
          <w:color w:val="4A4640"/>
          <w:sz w:val="28"/>
          <w:szCs w:val="28"/>
        </w:rPr>
        <w:t xml:space="preserve">A Pedagogical Framework for Homiletical Formation</w:t>
      </w:r>
    </w:p>
    <w:p>
      <w:pPr>
        <w:spacing w:after="600"/>
        <w:jc w:val="center"/>
      </w:pPr>
      <w:r>
        <w:rPr>
          <w:rFonts w:ascii="Garamond" w:cs="Garamond" w:eastAsia="Garamond" w:hAnsi="Garamond"/>
          <w:i/>
          <w:iCs/>
          <w:color w:val="C4A265"/>
          <w:sz w:val="24"/>
          <w:szCs w:val="24"/>
        </w:rPr>
        <w:t xml:space="preserve">Exemplar First. Skill Vocabulary Second.</w:t>
      </w:r>
    </w:p>
    <w:p>
      <w:pPr>
        <w:spacing w:after="200"/>
      </w:pPr>
    </w:p>
    <w:p>
      <w:pPr>
        <w:spacing w:after="200"/>
      </w:pPr>
    </w:p>
    <w:p>
      <w:pPr>
        <w:spacing w:after="40"/>
        <w:jc w:val="center"/>
      </w:pPr>
      <w:r>
        <w:rPr>
          <w:rFonts w:ascii="Calibri" w:cs="Calibri" w:eastAsia="Calibri" w:hAnsi="Calibri"/>
          <w:color w:val="9E9688"/>
          <w:sz w:val="20"/>
          <w:szCs w:val="20"/>
        </w:rPr>
        <w:t xml:space="preserve">March 2026</w:t>
      </w:r>
    </w:p>
    <w:p>
      <w:pPr>
        <w:spacing w:after="40"/>
        <w:jc w:val="center"/>
      </w:pPr>
      <w:r>
        <w:rPr>
          <w:rFonts w:ascii="Calibri" w:cs="Calibri" w:eastAsia="Calibri" w:hAnsi="Calibri"/>
          <w:color w:val="9E9688"/>
          <w:sz w:val="18"/>
          <w:szCs w:val="18"/>
        </w:rPr>
        <w:t xml:space="preserve">Internal North Star &amp; Market Positioning Document</w:t>
      </w:r>
    </w:p>
    <w:p>
      <w:pPr>
        <w:jc w:val="center"/>
      </w:pPr>
      <w:r>
        <w:rPr>
          <w:rFonts w:ascii="Calibri" w:cs="Calibri" w:eastAsia="Calibri" w:hAnsi="Calibri"/>
          <w:i/>
          <w:iCs/>
          <w:color w:val="9E9688"/>
          <w:sz w:val="18"/>
          <w:szCs w:val="18"/>
        </w:rPr>
        <w:t xml:space="preserve">Confidential Working Document</w:t>
      </w:r>
    </w:p>
    <w:p>
      <w:pPr>
        <w:sectPr>
          <w:pgSz w:w="12240" w:h="15840" w:orient="portrait"/>
          <w:pgMar w:top="2880" w:right="1800" w:bottom="1440" w:left="1800" w:header="708" w:footer="708" w:gutter="0"/>
          <w:pgNumType/>
          <w:docGrid w:linePitch="360"/>
        </w:sectPr>
      </w:pPr>
    </w:p>
    <w:p>
      <w:pPr>
        <w:pStyle w:val="Heading1"/>
      </w:pPr>
      <w:r>
        <w:t xml:space="preserve">1. The Problem with How Preaching Is Taught</w:t>
      </w:r>
    </w:p>
    <w:p>
      <w:pPr>
        <w:spacing w:after="200"/>
      </w:pPr>
      <w:r>
        <w:rPr>
          <w:rFonts w:ascii="Garamond" w:cs="Garamond" w:eastAsia="Garamond" w:hAnsi="Garamond"/>
          <w:sz w:val="24"/>
          <w:szCs w:val="24"/>
        </w:rPr>
        <w:t xml:space="preserve">Homiletics education in the Western seminary model is built on a concept-and-skill-forward pedagogy. The student learns a taxonomy of preaching skills — exposition, illustration, application, transitions, the Fallen Condition Focus, the redemptive-historical move, double application — and then attempts to execute them in practice sermons, evaluated by a professor against an abstract standard of competence.</w:t>
      </w:r>
    </w:p>
    <w:p>
      <w:pPr>
        <w:spacing w:after="200"/>
      </w:pPr>
      <w:r>
        <w:rPr>
          <w:rFonts w:ascii="Garamond" w:cs="Garamond" w:eastAsia="Garamond" w:hAnsi="Garamond"/>
          <w:sz w:val="24"/>
          <w:szCs w:val="24"/>
        </w:rPr>
        <w:t xml:space="preserve">This approach produces preachers who can name the parts of a sermon but cannot feel what mature execution sounds like. They know that double application is important but have never heard it done by someone whose voice resembles their own. They understand in theory that a pastoral aside should interrupt the expositional flow at a moment of congregational need, but they have no instinct for when that moment arrives, because instinct is formed by immersion, not by definition.</w:t>
      </w:r>
    </w:p>
    <w:p>
      <w:pPr>
        <w:spacing w:after="200"/>
      </w:pPr>
      <w:r>
        <w:rPr>
          <w:rFonts w:ascii="Garamond" w:cs="Garamond" w:eastAsia="Garamond" w:hAnsi="Garamond"/>
          <w:sz w:val="24"/>
          <w:szCs w:val="24"/>
        </w:rPr>
        <w:t xml:space="preserve">The result is a generation of technically informed but experientially impoverished preachers. They have the vocabulary. They lack the ear.</w:t>
      </w:r>
    </w:p>
    <w:p>
      <w:pPr>
        <w:pStyle w:val="Heading2"/>
      </w:pPr>
      <w:r>
        <w:t xml:space="preserve">The Deeper Problem: Cultural Mismatch</w:t>
      </w:r>
    </w:p>
    <w:p>
      <w:pPr>
        <w:spacing w:after="200"/>
      </w:pPr>
      <w:r>
        <w:rPr>
          <w:rFonts w:ascii="Garamond" w:cs="Garamond" w:eastAsia="Garamond" w:hAnsi="Garamond"/>
          <w:sz w:val="24"/>
          <w:szCs w:val="24"/>
        </w:rPr>
        <w:t xml:space="preserve">This skill-forward model is Western in its assumptions: analytical, taxonomic, and individualistic. It presupposes that preaching is primarily a technical skill to be learned through abstraction and practiced in isolation. For pastors in non-Western contexts — Africa, Asia, Latin America, the Global South broadly — this pedagogy often feels culturally foreign. The homiletics classroom imports not just a method but a whole epistemology, one that privileges propositional knowledge over relational knowledge, and textbook competence over apprenticed wisdom.</w:t>
      </w:r>
    </w:p>
    <w:p>
      <w:pPr>
        <w:spacing w:after="200"/>
      </w:pPr>
      <w:r>
        <w:rPr>
          <w:rFonts w:ascii="Garamond" w:cs="Garamond" w:eastAsia="Garamond" w:hAnsi="Garamond"/>
          <w:sz w:val="24"/>
          <w:szCs w:val="24"/>
        </w:rPr>
        <w:t xml:space="preserve">The irony is that these cultures are often far more naturally suited to an apprenticeship model of formation. Pastoral training in the Philippines, in East Africa, in Latin American churches has historically been relational, oral, and imitative. The elder teaches the younger by proximity, not by lecture. A pedagogy that begins with exemplars and moves to vocabulary is not a novel Western innovation — it is a return to how the rest of the world has always learned.</w:t>
      </w:r>
    </w:p>
    <w:p>
      <w:pPr>
        <w:pStyle w:val="Heading1"/>
      </w:pPr>
      <w:r>
        <w:t xml:space="preserve">2. The Apprenticeship Model</w:t>
      </w:r>
    </w:p>
    <w:p>
      <w:pPr>
        <w:pBdr>
          <w:left w:val="single" w:color="C4A265" w:sz="6" w:space="8"/>
        </w:pBdr>
        <w:spacing w:before="200" w:after="200"/>
        <w:ind w:left="720" w:right="720"/>
      </w:pPr>
      <w:r>
        <w:rPr>
          <w:rFonts w:ascii="Garamond" w:cs="Garamond" w:eastAsia="Garamond" w:hAnsi="Garamond"/>
          <w:i/>
          <w:iCs/>
          <w:color w:val="4A4640"/>
          <w:sz w:val="24"/>
          <w:szCs w:val="24"/>
        </w:rPr>
        <w:t xml:space="preserve">You don’t teach a carpenter by giving him a textbook on joinery. You put him next to a master carpenter and let him watch. The vocabulary for what he’s seeing comes later — and it sticks because it names something he already recognizes.</w:t>
      </w:r>
    </w:p>
    <w:p>
      <w:pPr>
        <w:spacing w:after="200"/>
      </w:pPr>
      <w:r>
        <w:rPr>
          <w:rFonts w:ascii="Garamond" w:cs="Garamond" w:eastAsia="Garamond" w:hAnsi="Garamond"/>
          <w:sz w:val="24"/>
          <w:szCs w:val="24"/>
        </w:rPr>
        <w:t xml:space="preserve">Shepherd’s Guild’s pedagogical model inverts the standard homiletics sequence. Instead of concept → skill → practice → exemplar, we propose:</w:t>
      </w:r>
    </w:p>
    <w:p>
      <w:pPr>
        <w:pStyle w:val="Heading3"/>
      </w:pPr>
      <w:r>
        <w:t xml:space="preserve">Exemplar → Immersion → Comparison → Vocabulary → Targeted Practice</w:t>
      </w:r>
    </w:p>
    <w:p>
      <w:pPr>
        <w:spacing w:after="200"/>
      </w:pPr>
      <w:r>
        <w:rPr>
          <w:rFonts w:ascii="Garamond" w:cs="Garamond" w:eastAsia="Garamond" w:hAnsi="Garamond"/>
          <w:sz w:val="24"/>
          <w:szCs w:val="24"/>
        </w:rPr>
        <w:t xml:space="preserve">The sequence works as follows:</w:t>
      </w:r>
    </w:p>
    <w:p>
      <w:pPr>
        <w:spacing w:after="200"/>
        <w:ind w:left="360"/>
      </w:pPr>
      <w:r>
        <w:rPr>
          <w:rFonts w:ascii="Garamond" w:cs="Garamond" w:eastAsia="Garamond" w:hAnsi="Garamond"/>
          <w:b/>
          <w:bCs/>
          <w:color w:val="C4A265"/>
          <w:sz w:val="24"/>
          <w:szCs w:val="24"/>
        </w:rPr>
        <w:t xml:space="preserve">1. </w:t>
      </w:r>
      <w:r>
        <w:rPr>
          <w:rFonts w:ascii="Garamond" w:cs="Garamond" w:eastAsia="Garamond" w:hAnsi="Garamond"/>
          <w:b/>
          <w:bCs/>
          <w:color w:val="1A1714"/>
          <w:sz w:val="24"/>
          <w:szCs w:val="24"/>
        </w:rPr>
        <w:t xml:space="preserve">Exemplar. </w:t>
      </w:r>
      <w:r>
        <w:rPr>
          <w:rFonts w:ascii="Garamond" w:cs="Garamond" w:eastAsia="Garamond" w:hAnsi="Garamond"/>
          <w:color w:val="1A1714"/>
          <w:sz w:val="24"/>
          <w:szCs w:val="24"/>
        </w:rPr>
        <w:t xml:space="preserve">The pastor encounters a preacher who represents a more mature version of himself — someone whose theological instincts, rhetorical habits, and pastoral voice share enough with his own that the resemblance is recognizable, but whose craft is demonstrably further along. This is not a random assignment. The exemplar is selected by data: the decomposition spec’s structured metadata enables measurable comparison across dozens of homiletical dimensions.</w:t>
      </w:r>
    </w:p>
    <w:p>
      <w:pPr>
        <w:spacing w:after="200"/>
        <w:ind w:left="360"/>
      </w:pPr>
      <w:r>
        <w:rPr>
          <w:rFonts w:ascii="Garamond" w:cs="Garamond" w:eastAsia="Garamond" w:hAnsi="Garamond"/>
          <w:b/>
          <w:bCs/>
          <w:color w:val="C4A265"/>
          <w:sz w:val="24"/>
          <w:szCs w:val="24"/>
        </w:rPr>
        <w:t xml:space="preserve">2. </w:t>
      </w:r>
      <w:r>
        <w:rPr>
          <w:rFonts w:ascii="Garamond" w:cs="Garamond" w:eastAsia="Garamond" w:hAnsi="Garamond"/>
          <w:b/>
          <w:bCs/>
          <w:color w:val="1A1714"/>
          <w:sz w:val="24"/>
          <w:szCs w:val="24"/>
        </w:rPr>
        <w:t xml:space="preserve">Immersion. </w:t>
      </w:r>
      <w:r>
        <w:rPr>
          <w:rFonts w:ascii="Garamond" w:cs="Garamond" w:eastAsia="Garamond" w:hAnsi="Garamond"/>
          <w:color w:val="1A1714"/>
          <w:sz w:val="24"/>
          <w:szCs w:val="24"/>
        </w:rPr>
        <w:t xml:space="preserve">The pastor spends time with the exemplar’s sermons — not analyzing them, but listening. He absorbs rhythm, pacing, the feel of a well-placed illustration, the emotional weight of a pastoral aside at exactly the right moment. He begins to develop an ear for what mature preaching in his own stylistic family sounds like. The Guild Hall profiles provide this immersion in concentrated form: curated sermon highlights, annotated rhetorical fingerprints, and full corpus data.</w:t>
      </w:r>
    </w:p>
    <w:p>
      <w:pPr>
        <w:spacing w:after="200"/>
        <w:ind w:left="360"/>
      </w:pPr>
      <w:r>
        <w:rPr>
          <w:rFonts w:ascii="Garamond" w:cs="Garamond" w:eastAsia="Garamond" w:hAnsi="Garamond"/>
          <w:b/>
          <w:bCs/>
          <w:color w:val="C4A265"/>
          <w:sz w:val="24"/>
          <w:szCs w:val="24"/>
        </w:rPr>
        <w:t xml:space="preserve">3. </w:t>
      </w:r>
      <w:r>
        <w:rPr>
          <w:rFonts w:ascii="Garamond" w:cs="Garamond" w:eastAsia="Garamond" w:hAnsi="Garamond"/>
          <w:b/>
          <w:bCs/>
          <w:color w:val="1A1714"/>
          <w:sz w:val="24"/>
          <w:szCs w:val="24"/>
        </w:rPr>
        <w:t xml:space="preserve">Comparison. </w:t>
      </w:r>
      <w:r>
        <w:rPr>
          <w:rFonts w:ascii="Garamond" w:cs="Garamond" w:eastAsia="Garamond" w:hAnsi="Garamond"/>
          <w:color w:val="1A1714"/>
          <w:sz w:val="24"/>
          <w:szCs w:val="24"/>
        </w:rPr>
        <w:t xml:space="preserve">The pastor’s own preaching is set alongside the exemplar’s. Not to judge — to reveal. The Forge report shows him where his patterns overlap with the exemplar and where they diverge. The divergences are not failures; they are growth edges. “Your cross-reference density matches Piper’s. Your illustration frequency is half of his. Here is where you have the most room to grow.”</w:t>
      </w:r>
    </w:p>
    <w:p>
      <w:pPr>
        <w:spacing w:after="200"/>
        <w:ind w:left="360"/>
      </w:pPr>
      <w:r>
        <w:rPr>
          <w:rFonts w:ascii="Garamond" w:cs="Garamond" w:eastAsia="Garamond" w:hAnsi="Garamond"/>
          <w:b/>
          <w:bCs/>
          <w:color w:val="C4A265"/>
          <w:sz w:val="24"/>
          <w:szCs w:val="24"/>
        </w:rPr>
        <w:t xml:space="preserve">4. </w:t>
      </w:r>
      <w:r>
        <w:rPr>
          <w:rFonts w:ascii="Garamond" w:cs="Garamond" w:eastAsia="Garamond" w:hAnsi="Garamond"/>
          <w:b/>
          <w:bCs/>
          <w:color w:val="1A1714"/>
          <w:sz w:val="24"/>
          <w:szCs w:val="24"/>
        </w:rPr>
        <w:t xml:space="preserve">Vocabulary. </w:t>
      </w:r>
      <w:r>
        <w:rPr>
          <w:rFonts w:ascii="Garamond" w:cs="Garamond" w:eastAsia="Garamond" w:hAnsi="Garamond"/>
          <w:color w:val="1A1714"/>
          <w:sz w:val="24"/>
          <w:szCs w:val="24"/>
        </w:rPr>
        <w:t xml:space="preserve">Now — and only now — the homiletical skill language arrives. The pastor learns what “double application” means, but he learns it while looking at a specific sermon where his exemplar did it brilliantly, and at a specific sermon of his own where the opportunity existed but he missed it. The concept has a face. The skill has a sound. The vocabulary names something he has already experienced, which means it sticks.</w:t>
      </w:r>
    </w:p>
    <w:p>
      <w:pPr>
        <w:spacing w:after="200"/>
        <w:ind w:left="360"/>
      </w:pPr>
      <w:r>
        <w:rPr>
          <w:rFonts w:ascii="Garamond" w:cs="Garamond" w:eastAsia="Garamond" w:hAnsi="Garamond"/>
          <w:b/>
          <w:bCs/>
          <w:color w:val="C4A265"/>
          <w:sz w:val="24"/>
          <w:szCs w:val="24"/>
        </w:rPr>
        <w:t xml:space="preserve">5. </w:t>
      </w:r>
      <w:r>
        <w:rPr>
          <w:rFonts w:ascii="Garamond" w:cs="Garamond" w:eastAsia="Garamond" w:hAnsi="Garamond"/>
          <w:b/>
          <w:bCs/>
          <w:color w:val="1A1714"/>
          <w:sz w:val="24"/>
          <w:szCs w:val="24"/>
        </w:rPr>
        <w:t xml:space="preserve">Targeted Practice. </w:t>
      </w:r>
      <w:r>
        <w:rPr>
          <w:rFonts w:ascii="Garamond" w:cs="Garamond" w:eastAsia="Garamond" w:hAnsi="Garamond"/>
          <w:color w:val="1A1714"/>
          <w:sz w:val="24"/>
          <w:szCs w:val="24"/>
        </w:rPr>
        <w:t xml:space="preserve">The pastor now knows what to work on, why it matters, what it sounds like when done well, and where in his own preaching the gap shows up. Practice is no longer generic (“improve your illustrations”) but specific (“your corpus shows you default to analogy; your exemplar uses personal story at 3x your rate; here are three of your own sermons where a personal story would have landed harder than the analogy you used”).</w:t>
      </w:r>
    </w:p>
    <w:p>
      <w:pPr>
        <w:pStyle w:val="Heading1"/>
      </w:pPr>
      <w:r>
        <w:t xml:space="preserve">3. Why This Works</w:t>
      </w:r>
    </w:p>
    <w:p>
      <w:pPr>
        <w:pStyle w:val="Heading2"/>
      </w:pPr>
      <w:r>
        <w:t xml:space="preserve">It Matches How Masters Have Always Been Formed</w:t>
      </w:r>
    </w:p>
    <w:p>
      <w:pPr>
        <w:spacing w:after="200"/>
      </w:pPr>
      <w:r>
        <w:rPr>
          <w:rFonts w:ascii="Garamond" w:cs="Garamond" w:eastAsia="Garamond" w:hAnsi="Garamond"/>
          <w:sz w:val="24"/>
          <w:szCs w:val="24"/>
        </w:rPr>
        <w:t xml:space="preserve">Every serious artistic and craft tradition uses the apprenticeship model. Painters study under painters. Musicians study under musicians. Writers read voraciously before they write. The idea that preachers should learn preaching primarily from textbooks rather than from preachers is a modern anomaly, not a timeless principle. Shepherd’s Guild is not inventing a new pedagogy; it is restoring an old one with new instruments.</w:t>
      </w:r>
    </w:p>
    <w:p>
      <w:pPr>
        <w:pStyle w:val="Heading2"/>
      </w:pPr>
      <w:r>
        <w:t xml:space="preserve">It Dissolves the Imitation Stigma</w:t>
      </w:r>
    </w:p>
    <w:p>
      <w:pPr>
        <w:spacing w:after="200"/>
      </w:pPr>
      <w:r>
        <w:rPr>
          <w:rFonts w:ascii="Garamond" w:cs="Garamond" w:eastAsia="Garamond" w:hAnsi="Garamond"/>
          <w:sz w:val="24"/>
          <w:szCs w:val="24"/>
        </w:rPr>
        <w:t xml:space="preserve">Pastors are trained to fear imitation. “Find your own voice” is the constant refrain. And there is wisdom in it — no one wants a pale copy of Spurgeon. But the fear of imitation has overcorrected into a fear of apprenticeship itself. The truth is that every mature voice was formed by immersion in other voices. Spurgeon read the Puritans voraciously. Lloyd-Jones was shaped by George Whitefield and Jonathan Edwards. Keller’s preaching bears the fingerprints of Ed Clowney and C.S. Lewis.</w:t>
      </w:r>
    </w:p>
    <w:p>
      <w:pPr>
        <w:spacing w:after="200"/>
      </w:pPr>
      <w:r>
        <w:rPr>
          <w:rFonts w:ascii="Garamond" w:cs="Garamond" w:eastAsia="Garamond" w:hAnsi="Garamond"/>
          <w:sz w:val="24"/>
          <w:szCs w:val="24"/>
        </w:rPr>
        <w:t xml:space="preserve">What distinguishes imitation from formation is whether the student remains at the surface (copying mannerisms) or penetrates to the structure (absorbing principles). The decomposition spec makes this distinction operational. It does not capture mannerisms — it captures rhetorical function distribution, illustration type mix, cross-reference habits, BT move frequency, application specificity. These are structural patterns, not stylistic tics. A pastor who learns to increase his illustration variety is not imitating Spurgeon; he is developing a skill that Spurgeon happened to exemplify supremely.</w:t>
      </w:r>
    </w:p>
    <w:p>
      <w:pPr>
        <w:pStyle w:val="Heading2"/>
      </w:pPr>
      <w:r>
        <w:t xml:space="preserve">It Works Cross-Culturally</w:t>
      </w:r>
    </w:p>
    <w:p>
      <w:pPr>
        <w:spacing w:after="200"/>
      </w:pPr>
      <w:r>
        <w:rPr>
          <w:rFonts w:ascii="Garamond" w:cs="Garamond" w:eastAsia="Garamond" w:hAnsi="Garamond"/>
          <w:sz w:val="24"/>
          <w:szCs w:val="24"/>
        </w:rPr>
        <w:t xml:space="preserve">The exemplar-first model travels across cultures in a way that the skill-forward model does not. An apprenticeship pedagogy does not require the student to first absorb Western analytical categories before he can begin learning. It requires only a model worth imitating and a structured way to see what the model is doing. The decomposition spec provides the structure; the Guild Hall provides the models. A Filipino pastor does not need to learn the vocabulary of “Fallen Condition Focus” before he can benefit from seeing how a master preacher surfaces the human problem a passage addresses. He can hear it, recognize it, and begin doing it — and the vocabulary arrives afterward, naming what he has already begun to practice.</w:t>
      </w:r>
    </w:p>
    <w:p>
      <w:pPr>
        <w:spacing w:after="200"/>
      </w:pPr>
      <w:r>
        <w:rPr>
          <w:rFonts w:ascii="Garamond" w:cs="Garamond" w:eastAsia="Garamond" w:hAnsi="Garamond"/>
          <w:sz w:val="24"/>
          <w:szCs w:val="24"/>
        </w:rPr>
        <w:t xml:space="preserve">This is especially powerful because the exemplar library is not limited to Western preachers. As the Guild Hall grows, it can include decomposed corpora from outstanding preachers in any language and tradition. The structural metadata is language-agnostic: rhetorical function, illustration type, application specificity, and cross-reference density are measurable in any sermon, in any language. The pedagogy scales globally because the data structure scales globally.</w:t>
      </w:r>
    </w:p>
    <w:p>
      <w:pPr>
        <w:pStyle w:val="Heading2"/>
      </w:pPr>
      <w:r>
        <w:t xml:space="preserve">It Produces Joy, Not Guilt</w:t>
      </w:r>
    </w:p>
    <w:p>
      <w:pPr>
        <w:spacing w:after="200"/>
      </w:pPr>
      <w:r>
        <w:rPr>
          <w:rFonts w:ascii="Garamond" w:cs="Garamond" w:eastAsia="Garamond" w:hAnsi="Garamond"/>
          <w:sz w:val="24"/>
          <w:szCs w:val="24"/>
        </w:rPr>
        <w:t xml:space="preserve">The skill-forward model has an unintended emotional consequence: it produces pastors who feel perpetually deficient. Every lecture on double application is an implicit accusation that they are not doing it. Every textbook on illustration technique reminds them of what they lack. The pedagogy is experienced as a series of gaps to be filled, and the emotional residue is guilt — the quiet conviction that they are not good enough.</w:t>
      </w:r>
    </w:p>
    <w:p>
      <w:pPr>
        <w:spacing w:after="200"/>
      </w:pPr>
      <w:r>
        <w:rPr>
          <w:rFonts w:ascii="Garamond" w:cs="Garamond" w:eastAsia="Garamond" w:hAnsi="Garamond"/>
          <w:sz w:val="24"/>
          <w:szCs w:val="24"/>
        </w:rPr>
        <w:t xml:space="preserve">The exemplar-first model produces a different emotional posture. When a pastor encounters a preacher who sounds like a more mature version of himself, the experience is not accusatory — it is aspirational. He sees where he could go, not where he has failed. The comparison reveals potential, not deficiency. And because the growth recommendations are specific and anchored to his own corpus (“you already did this well in your November 12th sermon — do it more”), the path forward feels achievable rather than abstract. The emotional residue is energy, not shame.</w:t>
      </w:r>
    </w:p>
    <w:p>
      <w:pPr>
        <w:pStyle w:val="Heading1"/>
      </w:pPr>
      <w:r>
        <w:t xml:space="preserve">4. How the Guild Hall Embodies This Model</w:t>
      </w:r>
    </w:p>
    <w:p>
      <w:pPr>
        <w:spacing w:after="200"/>
      </w:pPr>
      <w:r>
        <w:rPr>
          <w:rFonts w:ascii="Garamond" w:cs="Garamond" w:eastAsia="Garamond" w:hAnsi="Garamond"/>
          <w:sz w:val="24"/>
          <w:szCs w:val="24"/>
        </w:rPr>
        <w:t xml:space="preserve">The Guild Hall is not a library. It is a gallery of masters — and the entry point to an apprenticeship.</w:t>
      </w:r>
    </w:p>
    <w:p>
      <w:pPr>
        <w:pStyle w:val="Heading2"/>
      </w:pPr>
      <w:r>
        <w:t xml:space="preserve">The Canonical Preacher Profiles</w:t>
      </w:r>
    </w:p>
    <w:p>
      <w:pPr>
        <w:spacing w:after="200"/>
      </w:pPr>
      <w:r>
        <w:rPr>
          <w:rFonts w:ascii="Garamond" w:cs="Garamond" w:eastAsia="Garamond" w:hAnsi="Garamond"/>
          <w:sz w:val="24"/>
          <w:szCs w:val="24"/>
        </w:rPr>
        <w:t xml:space="preserve">Each preacher in the Guild Hall receives a full decomposition-driven profile: rhetorical fingerprint (radar chart of function distribution), illustration DNA (type mix, frequency, signature patterns), theological landscape (doctrinal loci heatmap, cross-reference network), citation habits (who they quote, how often, for what purpose), and biblical-theological instincts (move type frequency, hermeneutical method). These profiles are not academic analysis. They are portraits — rendered in data but presented as narrative, designed to make the pastor feel like he is in the room with the preacher.</w:t>
      </w:r>
    </w:p>
    <w:p>
      <w:pPr>
        <w:pStyle w:val="Heading2"/>
      </w:pPr>
      <w:r>
        <w:t xml:space="preserve">The “Join the Hall” Conversion</w:t>
      </w:r>
    </w:p>
    <w:p>
      <w:pPr>
        <w:spacing w:after="200"/>
      </w:pPr>
      <w:r>
        <w:rPr>
          <w:rFonts w:ascii="Garamond" w:cs="Garamond" w:eastAsia="Garamond" w:hAnsi="Garamond"/>
          <w:sz w:val="24"/>
          <w:szCs w:val="24"/>
        </w:rPr>
        <w:t xml:space="preserve">The Guild Hall is free and public. The pastor browses Spurgeon’s profile, or Lloyd-Jones’s, or MacArthur’s, and encounters a level of insight into preaching craft that he has never seen anywhere else. The implicit question forms: what would this look like for my preaching? That question is the hinge. “Join the Hall” is the invitation to find out — to have his own corpus decomposed, his own profile built, his own exemplar match revealed.</w:t>
      </w:r>
    </w:p>
    <w:p>
      <w:pPr>
        <w:pStyle w:val="Heading2"/>
      </w:pPr>
      <w:r>
        <w:t xml:space="preserve">The Forge Coaching Layer</w:t>
      </w:r>
    </w:p>
    <w:p>
      <w:pPr>
        <w:spacing w:after="200"/>
      </w:pPr>
      <w:r>
        <w:rPr>
          <w:rFonts w:ascii="Garamond" w:cs="Garamond" w:eastAsia="Garamond" w:hAnsi="Garamond"/>
          <w:sz w:val="24"/>
          <w:szCs w:val="24"/>
        </w:rPr>
        <w:t xml:space="preserve">Once the pastor’s corpus is decomposed and his exemplar match is established, Forge provides the ongoing coaching relationship. The Forge report is not a one-time deliverable; it is a living document that updates as the pastor’s corpus grows. Each new sermon is decomposed and added to the profile. The gap analysis refreshes. The recommendations evolve. And every recommendation is grounded in the apprenticeship model: here is what your exemplar does, here is what you do, here is the specific skill that bridges the gap, and here is the vocabulary for that skill.</w:t>
      </w:r>
    </w:p>
    <w:p>
      <w:pPr>
        <w:pStyle w:val="Heading1"/>
      </w:pPr>
      <w:r>
        <w:t xml:space="preserve">5. Market Positioning</w:t>
      </w:r>
    </w:p>
    <w:p>
      <w:pPr>
        <w:pStyle w:val="Heading2"/>
      </w:pPr>
      <w:r>
        <w:t xml:space="preserve">For Megachurches with Leadership Pipelines</w:t>
      </w:r>
    </w:p>
    <w:p>
      <w:pPr>
        <w:spacing w:after="200"/>
      </w:pPr>
      <w:r>
        <w:rPr>
          <w:rFonts w:ascii="Garamond" w:cs="Garamond" w:eastAsia="Garamond" w:hAnsi="Garamond"/>
          <w:sz w:val="24"/>
          <w:szCs w:val="24"/>
        </w:rPr>
        <w:t xml:space="preserve">Large churches invest heavily in raising up the next generation of preachers from within. Their current approach is typically informal mentoring (which depends on the lead pastor’s availability and teaching instinct) supplemented by external seminary coursework (which uses the concept-forward model they have already outgrown). Shepherd’s Guild offers a structured alternative: decompose the lead pastor’s corpus and the emerging preacher’s corpus, generate comparative profiles, and deliver specific growth recommendations anchored to an exemplar the young preacher already admires and hears weekly. The lead pastor’s preaching becomes the curriculum.</w:t>
      </w:r>
    </w:p>
    <w:p>
      <w:pPr>
        <w:pStyle w:val="Heading2"/>
      </w:pPr>
      <w:r>
        <w:t xml:space="preserve">For Innovative Pastors’ Colleges and Training Programs</w:t>
      </w:r>
    </w:p>
    <w:p>
      <w:pPr>
        <w:spacing w:after="200"/>
      </w:pPr>
      <w:r>
        <w:rPr>
          <w:rFonts w:ascii="Garamond" w:cs="Garamond" w:eastAsia="Garamond" w:hAnsi="Garamond"/>
          <w:sz w:val="24"/>
          <w:szCs w:val="24"/>
        </w:rPr>
        <w:t xml:space="preserve">Smaller Bible colleges and pastoral training programs are often looking for a way to differentiate themselves from the seminary model without abandoning rigor. The apprenticeship model gives them exactly this: a pedagogical framework that is demonstrably more effective than the lecture model, grounded in data rather than anecdote, and scalable through the Guild Hall’s growing reference library. The college partners with Shepherd’s Guild to provide each student with a decomposed portfolio of their preaching, an exemplar match, and a structured growth path. The school provides the relational context; Shepherd’s Guild provides the analytical engine.</w:t>
      </w:r>
    </w:p>
    <w:p>
      <w:pPr>
        <w:pStyle w:val="Heading2"/>
      </w:pPr>
      <w:r>
        <w:t xml:space="preserve">For Non-Western Pastoral Training</w:t>
      </w:r>
    </w:p>
    <w:p>
      <w:pPr>
        <w:spacing w:after="200"/>
      </w:pPr>
      <w:r>
        <w:rPr>
          <w:rFonts w:ascii="Garamond" w:cs="Garamond" w:eastAsia="Garamond" w:hAnsi="Garamond"/>
          <w:sz w:val="24"/>
          <w:szCs w:val="24"/>
        </w:rPr>
        <w:t xml:space="preserve">This is the largest underserved market in global Christianity. There are more pastors being trained in the Global South right now than at any other point in church history, and the pedagogical tools available to them are overwhelmingly imported from Western seminaries. The apprenticeship model is native to these cultures in a way that the concept-forward model is not. Shepherd’s Guild’s offering to this market is straightforward: we provide the analytical infrastructure that makes apprenticeship scalable. The Guild Hall gives any training program, in any country, access to a curated library of master preachers with fully decomposed profiles. The student does not need to be in the same room as the exemplar — or even in the same century. The decomposition data makes the exemplar’s craft visible and teachable at any distance.</w:t>
      </w:r>
    </w:p>
    <w:p>
      <w:pPr>
        <w:spacing w:after="200"/>
      </w:pPr>
      <w:r>
        <w:rPr>
          <w:rFonts w:ascii="Garamond" w:cs="Garamond" w:eastAsia="Garamond" w:hAnsi="Garamond"/>
          <w:sz w:val="24"/>
          <w:szCs w:val="24"/>
        </w:rPr>
        <w:t xml:space="preserve">The partnership opportunity here is significant. Organizations already working in transcultural theological education — with expertise in missiology, cultural anthropology, and cross-cultural communication — can integrate the Guild Hall into their existing training frameworks. The analytical infrastructure adapts to local exemplars as they are added to the library; the pedagogy adapts to local relational structures because apprenticeship is inherently relational. What Shepherd’s Guild contributes is the structured visibility into what the exemplar is doing and how the student compares.</w:t>
      </w:r>
    </w:p>
    <w:p>
      <w:pPr>
        <w:pStyle w:val="Heading1"/>
      </w:pPr>
      <w:r>
        <w:t xml:space="preserve">6. The Competitive Distinction</w:t>
      </w:r>
    </w:p>
    <w:p>
      <w:pPr>
        <w:spacing w:after="200"/>
      </w:pPr>
      <w:r>
        <w:rPr>
          <w:rFonts w:ascii="Garamond" w:cs="Garamond" w:eastAsia="Garamond" w:hAnsi="Garamond"/>
          <w:sz w:val="24"/>
          <w:szCs w:val="24"/>
        </w:rPr>
        <w:t xml:space="preserve">Every homiletics program in the world teaches skills. None of them start with an exemplar selected by data, deliver a quantified comparison between the student and the exemplar, and then teach the skills as an explanatory layer on top of a relationship the student has already begun to form.</w:t>
      </w:r>
    </w:p>
    <w:p>
      <w:pPr>
        <w:spacing w:after="200"/>
      </w:pPr>
      <w:r>
        <w:rPr>
          <w:rFonts w:ascii="Garamond" w:cs="Garamond" w:eastAsia="Garamond" w:hAnsi="Garamond"/>
          <w:sz w:val="24"/>
          <w:szCs w:val="24"/>
        </w:rPr>
        <w:t xml:space="preserve">This is the distinction:</w:t>
      </w:r>
    </w:p>
    <w:p>
      <w:pPr>
        <w:spacing w:before="200" w:after="200"/>
        <w:jc w:val="center"/>
      </w:pPr>
      <w:r>
        <w:rPr>
          <w:rFonts w:ascii="Garamond" w:cs="Garamond" w:eastAsia="Garamond" w:hAnsi="Garamond"/>
          <w:i/>
          <w:iCs/>
          <w:color w:val="6B2D3E"/>
          <w:sz w:val="26"/>
          <w:szCs w:val="26"/>
        </w:rPr>
        <w:t xml:space="preserve">The academy teaches you about preaching. Shepherd’s Guild apprentices you to a preacher.</w:t>
      </w:r>
    </w:p>
    <w:p>
      <w:pPr>
        <w:spacing w:after="200"/>
      </w:pPr>
      <w:r>
        <w:rPr>
          <w:rFonts w:ascii="Garamond" w:cs="Garamond" w:eastAsia="Garamond" w:hAnsi="Garamond"/>
          <w:sz w:val="24"/>
          <w:szCs w:val="24"/>
        </w:rPr>
        <w:t xml:space="preserve">And the decomposition spec is what makes the apprenticeship work. Without structured metadata — rhetorical function distribution, illustration type, application specificity, cross-reference density, BT move frequency — you cannot quantify what the exemplar does differently. You can only say “listen to Spurgeon.” With the spec, you can say “here is precisely what Spurgeon does, measured across 200 sermons, and here is precisely how your pattern compares, and here is the single highest-leverage skill that would close the gap.”</w:t>
      </w:r>
    </w:p>
    <w:p>
      <w:pPr>
        <w:spacing w:after="200"/>
      </w:pPr>
      <w:r>
        <w:rPr>
          <w:rFonts w:ascii="Garamond" w:cs="Garamond" w:eastAsia="Garamond" w:hAnsi="Garamond"/>
          <w:sz w:val="24"/>
          <w:szCs w:val="24"/>
        </w:rPr>
        <w:t xml:space="preserve">The spec turns admiration into apprenticeship. The Guild Hall turns apprenticeship into a product. And the product works in Houston, in Manila, in Nairobi, and in London — because the data structure is universal even when the exemplars are local.</w:t>
      </w:r>
    </w:p>
    <w:p>
      <w:pPr>
        <w:pStyle w:val="Heading1"/>
      </w:pPr>
      <w:r>
        <w:t xml:space="preserve">7. Note on Future Partnerships</w:t>
      </w:r>
    </w:p>
    <w:p>
      <w:pPr>
        <w:spacing w:after="200"/>
      </w:pPr>
      <w:r>
        <w:rPr>
          <w:rFonts w:ascii="Garamond" w:cs="Garamond" w:eastAsia="Garamond" w:hAnsi="Garamond"/>
          <w:sz w:val="24"/>
          <w:szCs w:val="24"/>
        </w:rPr>
        <w:t xml:space="preserve">The cross-cultural application of this model will benefit from expert collaboration with scholars working at the intersection of missiology, cultural anthropology, and biblical communication. Shepherd’s Guild’s contribution is the analytical engine; the contextual adaptation requires partners who understand how preaching functions within specific cultural settings — how authority is constructed, how narrative operates, how illustration lands differently in oral vs. literate cultures, and how the relationship between pastor and congregation shapes what “good preaching” means locally.</w:t>
      </w:r>
    </w:p>
    <w:p>
      <w:pPr>
        <w:spacing w:after="200"/>
      </w:pPr>
      <w:r>
        <w:rPr>
          <w:rFonts w:ascii="Garamond" w:cs="Garamond" w:eastAsia="Garamond" w:hAnsi="Garamond"/>
          <w:sz w:val="24"/>
          <w:szCs w:val="24"/>
        </w:rPr>
        <w:t xml:space="preserve">This partnership is not needed for launch. The Guild Hall and the apprenticeship model work immediately in English-speaking Western contexts. But the global opportunity is real, and the analytical infrastructure is already culturally portable. What is needed is a collaborator who can help adapt the exemplar selection, the coaching vocabulary, and the growth recommendations for non-Western pastoral contexts. That conversation should begin as the Guild Hall’s reference library expands beyond its initial English-language canon.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714"/>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Garamond" w:cs="Garamond" w:eastAsia="Garamond" w:hAnsi="Garamond"/>
      <w:b w:val="false"/>
      <w:bCs w:val="false"/>
      <w:color w:val="6B2D3E"/>
      <w:sz w:val="40"/>
      <w:szCs w:val="40"/>
    </w:rPr>
  </w:style>
  <w:style w:type="paragraph" w:styleId="Heading2">
    <w:name w:val="Heading 2"/>
    <w:basedOn w:val="Normal"/>
    <w:next w:val="Normal"/>
    <w:qFormat/>
    <w:pPr>
      <w:spacing w:before="360" w:after="160"/>
      <w:outlineLvl w:val="1"/>
    </w:pPr>
    <w:rPr>
      <w:rFonts w:ascii="Garamond" w:cs="Garamond" w:eastAsia="Garamond" w:hAnsi="Garamond"/>
      <w:b/>
      <w:bCs/>
      <w:color w:val="1A1714"/>
      <w:sz w:val="30"/>
      <w:szCs w:val="30"/>
    </w:rPr>
  </w:style>
  <w:style w:type="paragraph" w:styleId="Heading3">
    <w:name w:val="Heading 3"/>
    <w:basedOn w:val="Normal"/>
    <w:next w:val="Normal"/>
    <w:qFormat/>
    <w:pPr>
      <w:spacing w:before="240" w:after="120"/>
      <w:outlineLvl w:val="2"/>
    </w:pPr>
    <w:rPr>
      <w:rFonts w:ascii="Calibri" w:cs="Calibri" w:eastAsia="Calibri" w:hAnsi="Calibri"/>
      <w:b/>
      <w:bCs/>
      <w:color w:val="4A46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2026-03-04T18:54:53.902Z</dcterms:created>
  <dcterms:modified xsi:type="dcterms:W3CDTF">2026-03-04T18:54:53.903Z</dcterms:modified>
</cp:coreProperties>
</file>

<file path=docProps/custom.xml><?xml version="1.0" encoding="utf-8"?>
<Properties xmlns="http://schemas.openxmlformats.org/officeDocument/2006/custom-properties" xmlns:vt="http://schemas.openxmlformats.org/officeDocument/2006/docPropsVTypes"/>
</file>