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80"/>
        <w:jc w:val="center"/>
      </w:pPr>
      <w:r>
        <w:rPr>
          <w:rFonts w:ascii="Calibri" w:cs="Calibri" w:eastAsia="Calibri" w:hAnsi="Calibri"/>
          <w:i w:val="false"/>
          <w:iCs w:val="false"/>
          <w:color w:val="C4A265"/>
          <w:spacing w:val="200"/>
          <w:sz w:val="18"/>
          <w:szCs w:val="18"/>
        </w:rPr>
        <w:t xml:space="preserve">PRODUCT SPEC — FILED FOR FUTURE DEVELOPMENT</w:t>
      </w:r>
    </w:p>
    <w:p>
      <w:pPr>
        <w:pBdr>
          <w:bottom w:val="single" w:color="C4A265" w:sz="4"/>
        </w:pBdr>
        <w:spacing w:after="400"/>
        <w:jc w:val="center"/>
      </w:pPr>
    </w:p>
    <w:p>
      <w:pPr>
        <w:spacing w:after="80"/>
        <w:jc w:val="center"/>
      </w:pPr>
      <w:r>
        <w:rPr>
          <w:rFonts w:ascii="Garamond" w:cs="Garamond" w:eastAsia="Garamond" w:hAnsi="Garamond"/>
          <w:i w:val="false"/>
          <w:iCs w:val="false"/>
          <w:color w:val="1A1714"/>
          <w:sz w:val="56"/>
          <w:szCs w:val="56"/>
        </w:rPr>
        <w:t xml:space="preserve">The Writer’s Guild</w:t>
      </w:r>
    </w:p>
    <w:p>
      <w:pPr>
        <w:spacing w:after="80"/>
        <w:jc w:val="center"/>
      </w:pPr>
      <w:r>
        <w:rPr>
          <w:rFonts w:ascii="Garamond" w:cs="Garamond" w:eastAsia="Garamond" w:hAnsi="Garamond"/>
          <w:i/>
          <w:iCs/>
          <w:color w:val="4A4640"/>
          <w:sz w:val="28"/>
          <w:szCs w:val="28"/>
        </w:rPr>
        <w:t xml:space="preserve">An Apprenticeship-Based Writing Coach</w:t>
      </w:r>
    </w:p>
    <w:p>
      <w:pPr>
        <w:spacing w:after="120"/>
      </w:pPr>
    </w:p>
    <w:p>
      <w:pPr>
        <w:spacing w:after="80"/>
        <w:jc w:val="center"/>
      </w:pPr>
      <w:r>
        <w:rPr>
          <w:rFonts w:ascii="Garamond" w:cs="Garamond" w:eastAsia="Garamond" w:hAnsi="Garamond"/>
          <w:i/>
          <w:iCs/>
          <w:color w:val="C4A265"/>
          <w:sz w:val="24"/>
          <w:szCs w:val="24"/>
        </w:rPr>
        <w:t xml:space="preserve">Find your voice by studying the masters.</w:t>
      </w:r>
    </w:p>
    <w:p>
      <w:pPr>
        <w:spacing w:after="200"/>
      </w:pPr>
    </w:p>
    <w:p>
      <w:pPr>
        <w:spacing w:after="200"/>
      </w:pPr>
    </w:p>
    <w:p>
      <w:pPr>
        <w:spacing w:after="200"/>
      </w:pPr>
    </w:p>
    <w:p>
      <w:pPr>
        <w:spacing w:after="80"/>
        <w:jc w:val="center"/>
      </w:pPr>
      <w:r>
        <w:rPr>
          <w:rFonts w:ascii="Calibri" w:cs="Calibri" w:eastAsia="Calibri" w:hAnsi="Calibri"/>
          <w:i w:val="false"/>
          <w:iCs w:val="false"/>
          <w:color w:val="9E9688"/>
          <w:sz w:val="20"/>
          <w:szCs w:val="20"/>
        </w:rPr>
        <w:t xml:space="preserve">March 2026 — Pre-Concept Stage</w:t>
      </w:r>
    </w:p>
    <w:p>
      <w:pPr>
        <w:spacing w:after="80"/>
        <w:jc w:val="center"/>
      </w:pPr>
      <w:r>
        <w:rPr>
          <w:rFonts w:ascii="Calibri" w:cs="Calibri" w:eastAsia="Calibri" w:hAnsi="Calibri"/>
          <w:i/>
          <w:iCs/>
          <w:color w:val="9E9688"/>
          <w:sz w:val="18"/>
          <w:szCs w:val="18"/>
        </w:rPr>
        <w:t xml:space="preserve">Confidential — Do Not Distribute</w:t>
      </w:r>
    </w:p>
    <w:p>
      <w:pPr>
        <w:sectPr>
          <w:pgSz w:w="12240" w:h="15840" w:orient="portrait"/>
          <w:pgMar w:top="2880" w:right="1800" w:bottom="1440" w:left="1800" w:header="708" w:footer="708" w:gutter="0"/>
          <w:pgNumType/>
          <w:docGrid w:linePitch="360"/>
        </w:sectPr>
      </w:pPr>
    </w:p>
    <w:p>
      <w:pPr>
        <w:pStyle w:val="Heading1"/>
      </w:pPr>
      <w:r>
        <w:t xml:space="preserve">1. The Concept</w:t>
      </w:r>
    </w:p>
    <w:p>
      <w:pPr>
        <w:spacing w:after="200"/>
      </w:pPr>
      <w:r>
        <w:rPr>
          <w:rFonts w:ascii="Garamond" w:cs="Garamond" w:eastAsia="Garamond" w:hAnsi="Garamond"/>
          <w:sz w:val="24"/>
          <w:szCs w:val="24"/>
        </w:rPr>
        <w:t xml:space="preserve">The Writer’s Guild is a consumer writing platform built on the apprenticeship pedagogy developed for Shepherd’s Guild’s pastoral coaching products. The core insight: writers develop their voice not by studying abstract writing principles, but by immersing themselves in writers they admire, seeing what those writers do structurally, comparing their own patterns against the exemplar’s, and receiving targeted coaching that bridges the gap — all while retaining their own distinctive voice.</w:t>
      </w:r>
    </w:p>
    <w:p>
      <w:pPr>
        <w:spacing w:after="200"/>
      </w:pPr>
      <w:r>
        <w:rPr>
          <w:rFonts w:ascii="Garamond" w:cs="Garamond" w:eastAsia="Garamond" w:hAnsi="Garamond"/>
          <w:sz w:val="24"/>
          <w:szCs w:val="24"/>
        </w:rPr>
        <w:t xml:space="preserve">The platform inverts the standard writing education model. Instead of “learn the rules, then write,” it says “pick your masters, absorb their craft, then understand why what they do works — and where you can grow toward it.”</w:t>
      </w:r>
    </w:p>
    <w:p>
      <w:pPr>
        <w:pStyle w:val="Heading2"/>
      </w:pPr>
      <w:r>
        <w:t xml:space="preserve">The One-Liner</w:t>
      </w:r>
    </w:p>
    <w:p>
      <w:pPr>
        <w:spacing w:before="200" w:after="200"/>
        <w:jc w:val="center"/>
      </w:pPr>
      <w:r>
        <w:rPr>
          <w:rFonts w:ascii="Garamond" w:cs="Garamond" w:eastAsia="Garamond" w:hAnsi="Garamond"/>
          <w:i/>
          <w:iCs/>
          <w:color w:val="6B2D3E"/>
          <w:sz w:val="26"/>
          <w:szCs w:val="26"/>
        </w:rPr>
        <w:t xml:space="preserve">Writing workshops teach you about writing. The Writer’s Guild apprentices you to a writer.</w:t>
      </w:r>
    </w:p>
    <w:p>
      <w:pPr>
        <w:pStyle w:val="Heading1"/>
      </w:pPr>
      <w:r>
        <w:t xml:space="preserve">2. How It Works</w:t>
      </w:r>
    </w:p>
    <w:p>
      <w:pPr>
        <w:pStyle w:val="Heading2"/>
      </w:pPr>
      <w:r>
        <w:t xml:space="preserve">The Five-Step Sequence</w:t>
      </w:r>
    </w:p>
    <w:p>
      <w:pPr>
        <w:spacing w:after="200"/>
        <w:ind w:left="360"/>
      </w:pPr>
      <w:r>
        <w:rPr>
          <w:rFonts w:ascii="Garamond" w:cs="Garamond" w:eastAsia="Garamond" w:hAnsi="Garamond"/>
          <w:b/>
          <w:bCs/>
          <w:color w:val="C4A265"/>
          <w:sz w:val="24"/>
          <w:szCs w:val="24"/>
        </w:rPr>
        <w:t xml:space="preserve">1. </w:t>
      </w:r>
      <w:r>
        <w:rPr>
          <w:rFonts w:ascii="Garamond" w:cs="Garamond" w:eastAsia="Garamond" w:hAnsi="Garamond"/>
          <w:b/>
          <w:bCs/>
          <w:color w:val="1A1714"/>
          <w:sz w:val="24"/>
          <w:szCs w:val="24"/>
        </w:rPr>
        <w:t xml:space="preserve">Exemplar Selection. </w:t>
      </w:r>
      <w:r>
        <w:rPr>
          <w:rFonts w:ascii="Garamond" w:cs="Garamond" w:eastAsia="Garamond" w:hAnsi="Garamond"/>
          <w:color w:val="1A1714"/>
          <w:sz w:val="24"/>
          <w:szCs w:val="24"/>
        </w:rPr>
        <w:t xml:space="preserve">The user browses the Masters Library — decomposed profiles of canonical and contemporary writers showing their structural fingerprints: sentence rhythm, paragraph architecture, dialogue patterns, metaphor density, humor mechanics, information density, register shifts. The user selects one or more writers who resonate with where they want to go.</w:t>
      </w:r>
    </w:p>
    <w:p>
      <w:pPr>
        <w:spacing w:after="200"/>
        <w:ind w:left="360"/>
      </w:pPr>
      <w:r>
        <w:rPr>
          <w:rFonts w:ascii="Garamond" w:cs="Garamond" w:eastAsia="Garamond" w:hAnsi="Garamond"/>
          <w:b/>
          <w:bCs/>
          <w:color w:val="C4A265"/>
          <w:sz w:val="24"/>
          <w:szCs w:val="24"/>
        </w:rPr>
        <w:t xml:space="preserve">2. </w:t>
      </w:r>
      <w:r>
        <w:rPr>
          <w:rFonts w:ascii="Garamond" w:cs="Garamond" w:eastAsia="Garamond" w:hAnsi="Garamond"/>
          <w:b/>
          <w:bCs/>
          <w:color w:val="1A1714"/>
          <w:sz w:val="24"/>
          <w:szCs w:val="24"/>
        </w:rPr>
        <w:t xml:space="preserve">Immersion. </w:t>
      </w:r>
      <w:r>
        <w:rPr>
          <w:rFonts w:ascii="Garamond" w:cs="Garamond" w:eastAsia="Garamond" w:hAnsi="Garamond"/>
          <w:color w:val="1A1714"/>
          <w:sz w:val="24"/>
          <w:szCs w:val="24"/>
        </w:rPr>
        <w:t xml:space="preserve">The user spends time with the exemplar’s profile: annotated excerpts, structural breakdowns, signature moves highlighted and explained. The goal is to develop an ear for what the exemplar does before naming the techniques. The user absorbs rhythm, pacing, and feel.</w:t>
      </w:r>
    </w:p>
    <w:p>
      <w:pPr>
        <w:spacing w:after="200"/>
        <w:ind w:left="360"/>
      </w:pPr>
      <w:r>
        <w:rPr>
          <w:rFonts w:ascii="Garamond" w:cs="Garamond" w:eastAsia="Garamond" w:hAnsi="Garamond"/>
          <w:b/>
          <w:bCs/>
          <w:color w:val="C4A265"/>
          <w:sz w:val="24"/>
          <w:szCs w:val="24"/>
        </w:rPr>
        <w:t xml:space="preserve">3. </w:t>
      </w:r>
      <w:r>
        <w:rPr>
          <w:rFonts w:ascii="Garamond" w:cs="Garamond" w:eastAsia="Garamond" w:hAnsi="Garamond"/>
          <w:b/>
          <w:bCs/>
          <w:color w:val="1A1714"/>
          <w:sz w:val="24"/>
          <w:szCs w:val="24"/>
        </w:rPr>
        <w:t xml:space="preserve">Comparison. </w:t>
      </w:r>
      <w:r>
        <w:rPr>
          <w:rFonts w:ascii="Garamond" w:cs="Garamond" w:eastAsia="Garamond" w:hAnsi="Garamond"/>
          <w:color w:val="1A1714"/>
          <w:sz w:val="24"/>
          <w:szCs w:val="24"/>
        </w:rPr>
        <w:t xml:space="preserve">The user uploads their own writing. The platform decomposes it using the same structural analysis applied to the exemplar. A side-by-side comparison reveals where the user’s patterns overlap with the exemplar and where they diverge. Divergences are not failures — they are growth edges and stylistic choices.</w:t>
      </w:r>
    </w:p>
    <w:p>
      <w:pPr>
        <w:spacing w:after="200"/>
        <w:ind w:left="360"/>
      </w:pPr>
      <w:r>
        <w:rPr>
          <w:rFonts w:ascii="Garamond" w:cs="Garamond" w:eastAsia="Garamond" w:hAnsi="Garamond"/>
          <w:b/>
          <w:bCs/>
          <w:color w:val="C4A265"/>
          <w:sz w:val="24"/>
          <w:szCs w:val="24"/>
        </w:rPr>
        <w:t xml:space="preserve">4. </w:t>
      </w:r>
      <w:r>
        <w:rPr>
          <w:rFonts w:ascii="Garamond" w:cs="Garamond" w:eastAsia="Garamond" w:hAnsi="Garamond"/>
          <w:b/>
          <w:bCs/>
          <w:color w:val="1A1714"/>
          <w:sz w:val="24"/>
          <w:szCs w:val="24"/>
        </w:rPr>
        <w:t xml:space="preserve">Vocabulary. </w:t>
      </w:r>
      <w:r>
        <w:rPr>
          <w:rFonts w:ascii="Garamond" w:cs="Garamond" w:eastAsia="Garamond" w:hAnsi="Garamond"/>
          <w:color w:val="1A1714"/>
          <w:sz w:val="24"/>
          <w:szCs w:val="24"/>
        </w:rPr>
        <w:t xml:space="preserve">Now the craft terminology arrives, anchored to concrete examples. The user learns what “paratactic sentence structure” means while looking at Hemingway doing it and at their own paragraph where a similar approach would have worked. The skill has a face and a sound before it gets a name.</w:t>
      </w:r>
    </w:p>
    <w:p>
      <w:pPr>
        <w:spacing w:after="200"/>
        <w:ind w:left="360"/>
      </w:pPr>
      <w:r>
        <w:rPr>
          <w:rFonts w:ascii="Garamond" w:cs="Garamond" w:eastAsia="Garamond" w:hAnsi="Garamond"/>
          <w:b/>
          <w:bCs/>
          <w:color w:val="C4A265"/>
          <w:sz w:val="24"/>
          <w:szCs w:val="24"/>
        </w:rPr>
        <w:t xml:space="preserve">5. </w:t>
      </w:r>
      <w:r>
        <w:rPr>
          <w:rFonts w:ascii="Garamond" w:cs="Garamond" w:eastAsia="Garamond" w:hAnsi="Garamond"/>
          <w:b/>
          <w:bCs/>
          <w:color w:val="1A1714"/>
          <w:sz w:val="24"/>
          <w:szCs w:val="24"/>
        </w:rPr>
        <w:t xml:space="preserve">Targeted Practice. </w:t>
      </w:r>
      <w:r>
        <w:rPr>
          <w:rFonts w:ascii="Garamond" w:cs="Garamond" w:eastAsia="Garamond" w:hAnsi="Garamond"/>
          <w:color w:val="1A1714"/>
          <w:sz w:val="24"/>
          <w:szCs w:val="24"/>
        </w:rPr>
        <w:t xml:space="preserve">The platform generates specific exercises based on the user’s gap analysis. Not generic prompts (“write a short story”) but targeted ones (“Rewrite this paragraph from your uploaded draft using the sentence compression pattern your exemplar uses in dialogue scenes — here are three examples of them doing it”).</w:t>
      </w:r>
    </w:p>
    <w:p>
      <w:pPr>
        <w:pStyle w:val="Heading1"/>
      </w:pPr>
      <w:r>
        <w:t xml:space="preserve">3. The Decomposition Engine</w:t>
      </w:r>
    </w:p>
    <w:p>
      <w:pPr>
        <w:spacing w:after="200"/>
      </w:pPr>
      <w:r>
        <w:rPr>
          <w:rFonts w:ascii="Garamond" w:cs="Garamond" w:eastAsia="Garamond" w:hAnsi="Garamond"/>
          <w:sz w:val="24"/>
          <w:szCs w:val="24"/>
        </w:rPr>
        <w:t xml:space="preserve">The technical foundation is a prose decomposition spec — a structural cousin of the Shepherd’s Guild sermon decomposition spec, adapted for fiction and nonfiction prose. The spec would analyze writing across dimensions including:</w:t>
      </w:r>
    </w:p>
    <w:p>
      <w:pPr>
        <w:spacing w:after="200"/>
      </w:pPr>
      <w:r>
        <w:rPr>
          <w:rFonts w:ascii="Garamond" w:cs="Garamond" w:eastAsia="Garamond" w:hAnsi="Garamond"/>
          <w:sz w:val="24"/>
          <w:szCs w:val="24"/>
        </w:rPr>
        <w:t xml:space="preserve">Sentence-level: average length, variance, rhythm patterns (short-short-long, periodic vs. cumulative), fragment usage, clause density.</w:t>
      </w:r>
    </w:p>
    <w:p>
      <w:pPr>
        <w:spacing w:after="200"/>
      </w:pPr>
      <w:r>
        <w:rPr>
          <w:rFonts w:ascii="Garamond" w:cs="Garamond" w:eastAsia="Garamond" w:hAnsi="Garamond"/>
          <w:sz w:val="24"/>
          <w:szCs w:val="24"/>
        </w:rPr>
        <w:t xml:space="preserve">Paragraph-level: architecture (topic-sentence-forward vs. delayed reveal), length distribution, transition patterns, white space usage.</w:t>
      </w:r>
    </w:p>
    <w:p>
      <w:pPr>
        <w:spacing w:after="200"/>
      </w:pPr>
      <w:r>
        <w:rPr>
          <w:rFonts w:ascii="Garamond" w:cs="Garamond" w:eastAsia="Garamond" w:hAnsi="Garamond"/>
          <w:sz w:val="24"/>
          <w:szCs w:val="24"/>
        </w:rPr>
        <w:t xml:space="preserve">Scene/section-level: pacing (action density per paragraph), dialogue-to-narration ratio, information delivery method (exposition vs. dramatization vs. dialogue), tension arc.</w:t>
      </w:r>
    </w:p>
    <w:p>
      <w:pPr>
        <w:spacing w:after="200"/>
      </w:pPr>
      <w:r>
        <w:rPr>
          <w:rFonts w:ascii="Garamond" w:cs="Garamond" w:eastAsia="Garamond" w:hAnsi="Garamond"/>
          <w:sz w:val="24"/>
          <w:szCs w:val="24"/>
        </w:rPr>
        <w:t xml:space="preserve">Voice dimensions: register range (formal to colloquial and back), humor mechanics (timing, misdirection, bathos, understatement), metaphor frequency and type, authorial intrusion vs. invisible narrator, characteristic vocabulary and phrase constructions.</w:t>
      </w:r>
    </w:p>
    <w:p>
      <w:pPr>
        <w:spacing w:after="200"/>
      </w:pPr>
      <w:r>
        <w:rPr>
          <w:rFonts w:ascii="Garamond" w:cs="Garamond" w:eastAsia="Garamond" w:hAnsi="Garamond"/>
          <w:sz w:val="24"/>
          <w:szCs w:val="24"/>
        </w:rPr>
        <w:t xml:space="preserve">Structural patterns: opening strategies, closing strategies, transition types, how arguments/narratives are built across sections.</w:t>
      </w:r>
    </w:p>
    <w:p>
      <w:pPr>
        <w:spacing w:after="200"/>
      </w:pPr>
      <w:r>
        <w:rPr>
          <w:rFonts w:ascii="Garamond" w:cs="Garamond" w:eastAsia="Garamond" w:hAnsi="Garamond"/>
          <w:sz w:val="24"/>
          <w:szCs w:val="24"/>
        </w:rPr>
        <w:t xml:space="preserve">Each of these dimensions is measurable from decomposed text, comparable across writers, and coachable — a user can be told specifically what to work on with concrete examples from their exemplar.</w:t>
      </w:r>
    </w:p>
    <w:p>
      <w:pPr>
        <w:pStyle w:val="Heading1"/>
      </w:pPr>
      <w:r>
        <w:t xml:space="preserve">4. The Masters Library</w:t>
      </w:r>
    </w:p>
    <w:p>
      <w:pPr>
        <w:spacing w:after="200"/>
      </w:pPr>
      <w:r>
        <w:rPr>
          <w:rFonts w:ascii="Garamond" w:cs="Garamond" w:eastAsia="Garamond" w:hAnsi="Garamond"/>
          <w:sz w:val="24"/>
          <w:szCs w:val="24"/>
        </w:rPr>
        <w:t xml:space="preserve">The equivalent of the Guild Hall. A curated, growing library of decomposed writer profiles, each built from a substantial body of work (minimum 50,000 words per author, ideally 100,000+).</w:t>
      </w:r>
    </w:p>
    <w:p>
      <w:pPr>
        <w:pStyle w:val="Heading2"/>
      </w:pPr>
      <w:r>
        <w:t xml:space="preserve">Launch Library (Public Domain)</w:t>
      </w:r>
    </w:p>
    <w:p>
      <w:pPr>
        <w:spacing w:after="200"/>
      </w:pPr>
      <w:r>
        <w:rPr>
          <w:rFonts w:ascii="Garamond" w:cs="Garamond" w:eastAsia="Garamond" w:hAnsi="Garamond"/>
          <w:sz w:val="24"/>
          <w:szCs w:val="24"/>
        </w:rPr>
        <w:t xml:space="preserve">Mark Twain — conversational register, humor through understatement and deadpan, dialect as characterization. Ernest Hemingway — paratactic minimalism, iceberg theory, dialogue-driven narrative. Jane Austen — free indirect discourse, irony, social observation through voice. Charles Dickens — maximalist description, comic characterization, sentimental register control. George Orwell — clarity, political argument through narrative, plain style as ideology. Edgar Allan Poe — atmospheric density, unreliable narration, sentence-level tension. Fyodor Dostoevsky — psychological interiority, philosophical dialogue, polyphonic voice.</w:t>
      </w:r>
    </w:p>
    <w:p>
      <w:pPr>
        <w:pStyle w:val="Heading2"/>
      </w:pPr>
      <w:r>
        <w:t xml:space="preserve">Contemporary Library (Requires Licensing)</w:t>
      </w:r>
    </w:p>
    <w:p>
      <w:pPr>
        <w:spacing w:after="200"/>
      </w:pPr>
      <w:r>
        <w:rPr>
          <w:rFonts w:ascii="Garamond" w:cs="Garamond" w:eastAsia="Garamond" w:hAnsi="Garamond"/>
          <w:sz w:val="24"/>
          <w:szCs w:val="24"/>
        </w:rPr>
        <w:t xml:space="preserve">This is the premium tier and the real draw for modern writers. Contemporary authors whose craft is structurally distinctive and widely admired. Examples: Cormac McCarthy (dense lyrical prose, minimal punctuation), Donna Tartt (literary maximalism, classical allusion), David Sedaris (comic essay, self-deprecation as structure), Malcolm Gladwell (explanatory nonfiction, anecdote-to-principle pattern), Dave Barry (humor timing, absurdist escalation, conversational register), Neal Stephenson (information-dense worldbuilding, technical-lyrical hybrid, nested digression as style).</w:t>
      </w:r>
    </w:p>
    <w:p>
      <w:pPr>
        <w:spacing w:after="200"/>
      </w:pPr>
      <w:r>
        <w:rPr>
          <w:rFonts w:ascii="Garamond" w:cs="Garamond" w:eastAsia="Garamond" w:hAnsi="Garamond"/>
          <w:sz w:val="24"/>
          <w:szCs w:val="24"/>
        </w:rPr>
        <w:t xml:space="preserve">Licensing contemporary authors is the primary business development challenge. The value proposition to the author: your craft is being taught, your books are being recommended, and you receive a licensing fee. The risk: authors may not want their style “reduced to data.” The mitigation: the decomposition reveals craft, it doesn’t replicate voice. No generated text sounds like the author — the platform teaches, it doesn’t imitate.</w:t>
      </w:r>
    </w:p>
    <w:p>
      <w:pPr>
        <w:pStyle w:val="Heading1"/>
      </w:pPr>
      <w:r>
        <w:t xml:space="preserve">5. Product Tiers</w:t>
      </w:r>
    </w:p>
    <w:p>
      <w:pPr>
        <w:pStyle w:val="Heading3"/>
      </w:pPr>
      <w:r>
        <w:t xml:space="preserve">Free Tier — The Library</w:t>
      </w:r>
    </w:p>
    <w:p>
      <w:pPr>
        <w:spacing w:after="200"/>
      </w:pPr>
      <w:r>
        <w:rPr>
          <w:rFonts w:ascii="Garamond" w:cs="Garamond" w:eastAsia="Garamond" w:hAnsi="Garamond"/>
          <w:sz w:val="24"/>
          <w:szCs w:val="24"/>
        </w:rPr>
        <w:t xml:space="preserve">Browse the Masters Library. View public-domain author profiles. See the structural fingerprints. Understand what the platform can do. This is top-of-funnel.</w:t>
      </w:r>
    </w:p>
    <w:p>
      <w:pPr>
        <w:pStyle w:val="Heading3"/>
      </w:pPr>
      <w:r>
        <w:t xml:space="preserve">Paid Tier — The Apprenticeship ($15–25/month)</w:t>
      </w:r>
    </w:p>
    <w:p>
      <w:pPr>
        <w:spacing w:after="200"/>
      </w:pPr>
      <w:r>
        <w:rPr>
          <w:rFonts w:ascii="Garamond" w:cs="Garamond" w:eastAsia="Garamond" w:hAnsi="Garamond"/>
          <w:sz w:val="24"/>
          <w:szCs w:val="24"/>
        </w:rPr>
        <w:t xml:space="preserve">Upload your own writing. Get decomposed. Select exemplars. Receive comparison reports and targeted exercises. Access contemporary author profiles. Ongoing — as you write more, your profile evolves, recommendations update, exercises get more specific.</w:t>
      </w:r>
    </w:p>
    <w:p>
      <w:pPr>
        <w:pStyle w:val="Heading3"/>
      </w:pPr>
      <w:r>
        <w:t xml:space="preserve">Premium Tier — The Workshop ($50–100/month or per-engagement)</w:t>
      </w:r>
    </w:p>
    <w:p>
      <w:pPr>
        <w:spacing w:after="200"/>
      </w:pPr>
      <w:r>
        <w:rPr>
          <w:rFonts w:ascii="Garamond" w:cs="Garamond" w:eastAsia="Garamond" w:hAnsi="Garamond"/>
          <w:sz w:val="24"/>
          <w:szCs w:val="24"/>
        </w:rPr>
        <w:t xml:space="preserve">AI-powered coaching sessions: submit a draft chapter, receive structural feedback anchored to your exemplar’s patterns. Manuscript-level analysis: submit a full manuscript and receive a comprehensive structural report. Community features: cohort-based workshops organized by exemplar affinity (all the Hemingway apprentices working together).</w:t>
      </w:r>
    </w:p>
    <w:p>
      <w:pPr>
        <w:pStyle w:val="Heading1"/>
      </w:pPr>
      <w:r>
        <w:t xml:space="preserve">6. Market Size and Positioning</w:t>
      </w:r>
    </w:p>
    <w:p>
      <w:pPr>
        <w:spacing w:after="200"/>
      </w:pPr>
      <w:r>
        <w:rPr>
          <w:rFonts w:ascii="Garamond" w:cs="Garamond" w:eastAsia="Garamond" w:hAnsi="Garamond"/>
          <w:sz w:val="24"/>
          <w:szCs w:val="24"/>
        </w:rPr>
        <w:t xml:space="preserve">The writing education market is enormous and underserved by technology. MasterClass sells passive video. Writing workshops (Gotham, Grub Street, etc.) sell classroom time. AI writing tools (Grammarly, ProWritingAid, Sudowrite) focus on mechanics or generation. Nobody is doing exemplar-based structural coaching.</w:t>
      </w:r>
    </w:p>
    <w:p>
      <w:pPr>
        <w:spacing w:after="200"/>
      </w:pPr>
      <w:r>
        <w:rPr>
          <w:rFonts w:ascii="Garamond" w:cs="Garamond" w:eastAsia="Garamond" w:hAnsi="Garamond"/>
          <w:sz w:val="24"/>
          <w:szCs w:val="24"/>
        </w:rPr>
        <w:t xml:space="preserve">The target user is an aspiring or developing writer who reads voraciously, admires specific authors, and wants to get better — but finds writing classes too generic, writing books too abstract, and AI writing tools too focused on grammar rather than craft. This is a large, passionate, underserved market willing to pay for tools that actually improve their writing.</w:t>
      </w:r>
    </w:p>
    <w:p>
      <w:pPr>
        <w:pStyle w:val="Heading1"/>
      </w:pPr>
      <w:r>
        <w:t xml:space="preserve">7. Relationship to Shepherd’s Guild</w:t>
      </w:r>
    </w:p>
    <w:p>
      <w:pPr>
        <w:spacing w:after="200"/>
      </w:pPr>
      <w:r>
        <w:rPr>
          <w:rFonts w:ascii="Garamond" w:cs="Garamond" w:eastAsia="Garamond" w:hAnsi="Garamond"/>
          <w:sz w:val="24"/>
          <w:szCs w:val="24"/>
        </w:rPr>
        <w:t xml:space="preserve">The Writer’s Guild is a separate company with a separate brand, separate market, and separate customer acquisition strategy. It shares the underlying technology: the decomposition engine architecture, the exemplar-matching algorithm, the five-step apprenticeship pedagogy, and the gap analysis methodology. The Shepherd’s Guild pastoral market is the R&amp;D lab where this technology is built and validated. The Writer’s Guild is the consumer-scale application of the same engine.</w:t>
      </w:r>
    </w:p>
    <w:p>
      <w:pPr>
        <w:spacing w:after="200"/>
      </w:pPr>
      <w:r>
        <w:rPr>
          <w:rFonts w:ascii="Garamond" w:cs="Garamond" w:eastAsia="Garamond" w:hAnsi="Garamond"/>
          <w:sz w:val="24"/>
          <w:szCs w:val="24"/>
        </w:rPr>
        <w:t xml:space="preserve">Sequencing: Shepherd’s Guild ships first. The pastoral market validates the technology, generates revenue, and builds the team. The Writer’s Guild launches when the decomposition engine is proven, the apprenticeship model is validated with real users, and there is capital and bandwidth to pursue a consumer product. Estimated timeline: 12–18 months after Shepherd’s Guild reaches stable revenue.</w:t>
      </w:r>
    </w:p>
    <w:p>
      <w:pPr>
        <w:pStyle w:val="Heading1"/>
      </w:pPr>
      <w:r>
        <w:t xml:space="preserve">8. Key Risks and Open Questions</w:t>
      </w:r>
    </w:p>
    <w:p>
      <w:pPr>
        <w:spacing w:after="200"/>
      </w:pPr>
      <w:r>
        <w:rPr>
          <w:rFonts w:ascii="Garamond" w:cs="Garamond" w:eastAsia="Garamond" w:hAnsi="Garamond"/>
          <w:sz w:val="24"/>
          <w:szCs w:val="24"/>
        </w:rPr>
        <w:t xml:space="preserve">Prose decomposition spec complexity. Fiction is structurally more varied than sermons. A sermon has a relatively predictable architecture (exposition, illustration, application). A novel chapter could be doing anything. The decomposition spec will need to be significantly more flexible while remaining structured enough to produce comparable data across authors. This is the primary technical risk.</w:t>
      </w:r>
    </w:p>
    <w:p>
      <w:pPr>
        <w:spacing w:after="200"/>
      </w:pPr>
      <w:r>
        <w:rPr>
          <w:rFonts w:ascii="Garamond" w:cs="Garamond" w:eastAsia="Garamond" w:hAnsi="Garamond"/>
          <w:sz w:val="24"/>
          <w:szCs w:val="24"/>
        </w:rPr>
        <w:t xml:space="preserve">Author licensing. Contemporary authors are the draw, and licensing them is expensive and uncertain. The public-domain library is the launch strategy; the contemporary library is the growth strategy. If licensing proves impossible, the product still works but is limited to classic authors — a meaningful constraint.</w:t>
      </w:r>
    </w:p>
    <w:p>
      <w:pPr>
        <w:spacing w:after="200"/>
      </w:pPr>
      <w:r>
        <w:rPr>
          <w:rFonts w:ascii="Garamond" w:cs="Garamond" w:eastAsia="Garamond" w:hAnsi="Garamond"/>
          <w:sz w:val="24"/>
          <w:szCs w:val="24"/>
        </w:rPr>
        <w:t xml:space="preserve">Voice vs. imitation. The platform must consistently produce writers who are influenced by their exemplars but sound like themselves, not like copies. The coaching layer needs to distinguish between structural learning (good) and stylistic mimicry (bad). This is a UX and pedagogical design challenge, not a technical one.</w:t>
      </w:r>
    </w:p>
    <w:p>
      <w:pPr>
        <w:spacing w:after="200"/>
      </w:pPr>
      <w:r>
        <w:rPr>
          <w:rFonts w:ascii="Garamond" w:cs="Garamond" w:eastAsia="Garamond" w:hAnsi="Garamond"/>
          <w:sz w:val="24"/>
          <w:szCs w:val="24"/>
        </w:rPr>
        <w:t xml:space="preserve">Market education. “Apprentice yourself to a writer” is an unfamiliar concept to most aspiring writers. The marketing must make the pedagogy feel intuitive rather than novel. The Guild Hall / Masters Library is the education vehicle — when a user sees Hemingway’s structural fingerprint, they immediately understand what the platform offers.</w:t>
      </w:r>
    </w:p>
    <w:p>
      <w:pPr>
        <w:pStyle w:val="Heading1"/>
      </w:pPr>
      <w:r>
        <w:t xml:space="preserve">9. What to Build First</w:t>
      </w:r>
    </w:p>
    <w:p>
      <w:pPr>
        <w:spacing w:after="200"/>
      </w:pPr>
      <w:r>
        <w:rPr>
          <w:rFonts w:ascii="Garamond" w:cs="Garamond" w:eastAsia="Garamond" w:hAnsi="Garamond"/>
          <w:sz w:val="24"/>
          <w:szCs w:val="24"/>
        </w:rPr>
        <w:t xml:space="preserve">Nothing. File this spec. Build Shepherd’s Guild. Validate the decomposition engine, the apprenticeship model, and the coaching methodology on pastors. When that’s working, come back to this document and start adapting the prose decomposition spec.</w:t>
      </w:r>
    </w:p>
    <w:p>
      <w:pPr>
        <w:spacing w:after="200"/>
      </w:pPr>
      <w:r>
        <w:rPr>
          <w:rFonts w:ascii="Garamond" w:cs="Garamond" w:eastAsia="Garamond" w:hAnsi="Garamond"/>
          <w:sz w:val="24"/>
          <w:szCs w:val="24"/>
        </w:rPr>
        <w:t xml:space="preserve">The one thing worth doing now: when building the Shepherd’s Guild decomposition engine, keep the architecture general. Don’t hardcode sermon-specific assumptions into the pipeline infrastructure. The Supabase schema, the embedding pipeline, the comparison algorithms, and the coaching report generation should all be parameterized by spec — so that swapping in a prose decomposition spec produces a prose coaching platform without rebuilding the plumbing.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714"/>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pPr>
    <w:rPr>
      <w:rFonts w:ascii="Garamond" w:cs="Garamond" w:eastAsia="Garamond" w:hAnsi="Garamond"/>
      <w:b w:val="false"/>
      <w:bCs w:val="false"/>
      <w:color w:val="6B2D3E"/>
      <w:sz w:val="40"/>
      <w:szCs w:val="40"/>
    </w:rPr>
  </w:style>
  <w:style w:type="paragraph" w:styleId="Heading2">
    <w:name w:val="Heading 2"/>
    <w:basedOn w:val="Normal"/>
    <w:next w:val="Normal"/>
    <w:qFormat/>
    <w:pPr>
      <w:spacing w:before="360" w:after="160"/>
    </w:pPr>
    <w:rPr>
      <w:rFonts w:ascii="Garamond" w:cs="Garamond" w:eastAsia="Garamond" w:hAnsi="Garamond"/>
      <w:b/>
      <w:bCs/>
      <w:color w:val="1A1714"/>
      <w:sz w:val="30"/>
      <w:szCs w:val="30"/>
    </w:rPr>
  </w:style>
  <w:style w:type="paragraph" w:styleId="Heading3">
    <w:name w:val="Heading 3"/>
    <w:basedOn w:val="Normal"/>
    <w:next w:val="Normal"/>
    <w:qFormat/>
    <w:pPr>
      <w:spacing w:before="240" w:after="120"/>
    </w:pPr>
    <w:rPr>
      <w:rFonts w:ascii="Calibri" w:cs="Calibri" w:eastAsia="Calibri" w:hAnsi="Calibri"/>
      <w:b/>
      <w:bCs/>
      <w:color w:val="4A46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2026-03-05T20:36:53.817Z</dcterms:created>
  <dcterms:modified xsi:type="dcterms:W3CDTF">2026-03-05T20:36:53.819Z</dcterms:modified>
</cp:coreProperties>
</file>

<file path=docProps/custom.xml><?xml version="1.0" encoding="utf-8"?>
<Properties xmlns="http://schemas.openxmlformats.org/officeDocument/2006/custom-properties" xmlns:vt="http://schemas.openxmlformats.org/officeDocument/2006/docPropsVTypes"/>
</file>