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1714"/>
          <w:sz w:val="38"/>
          <w:szCs w:val="38"/>
        </w:rPr>
        <w:t xml:space="preserve">SHEPHERD'S GUILD</w:t>
      </w:r>
    </w:p>
    <w:p>
      <w:pPr>
        <w:spacing w:before="0" w:after="60"/>
      </w:pPr>
      <w:r>
        <w:rPr>
          <w:rFonts w:ascii="Arial" w:cs="Arial" w:eastAsia="Arial" w:hAnsi="Arial"/>
          <w:b/>
          <w:bCs/>
          <w:color w:val="6B2D3E"/>
          <w:sz w:val="52"/>
          <w:szCs w:val="52"/>
        </w:rPr>
        <w:t xml:space="preserve">Millwerx</w:t>
      </w:r>
    </w:p>
    <w:p>
      <w:pPr>
        <w:spacing w:before="0" w:after="60"/>
      </w:pPr>
      <w:r>
        <w:rPr>
          <w:rFonts w:ascii="Arial" w:cs="Arial" w:eastAsia="Arial" w:hAnsi="Arial"/>
          <w:i/>
          <w:iCs/>
          <w:color w:val="9E9688"/>
          <w:sz w:val="24"/>
          <w:szCs w:val="24"/>
        </w:rPr>
        <w:t xml:space="preserve">Internal Product Guide v1</w:t>
      </w:r>
    </w:p>
    <w:p>
      <w:pPr>
        <w:spacing w:before="0" w:after="80"/>
      </w:pPr>
      <w:r>
        <w:rPr>
          <w:rFonts w:ascii="Arial" w:cs="Arial" w:eastAsia="Arial" w:hAnsi="Arial"/>
          <w:color w:val="555555"/>
          <w:sz w:val="22"/>
          <w:szCs w:val="22"/>
        </w:rPr>
        <w:t xml:space="preserve">Public Domain Text Acquisition, Processing, and Decomposition Pipeline</w:t>
      </w:r>
    </w:p>
    <w:p>
      <w:pPr>
        <w:spacing w:before="0" w:after="0"/>
      </w:pPr>
      <w:r>
        <w:rPr>
          <w:rFonts w:ascii="Arial" w:cs="Arial" w:eastAsia="Arial" w:hAnsi="Arial"/>
          <w:color w:val="C4A265"/>
          <w:sz w:val="19"/>
          <w:szCs w:val="19"/>
        </w:rPr>
        <w:t xml:space="preserve">March 2026  ·  Confidential</w:t>
      </w:r>
    </w:p>
    <w:p>
      <w:pPr>
        <w:pBdr>
          <w:bottom w:val="single" w:color="C4A265" w:sz="4" w:space="1"/>
        </w:pBdr>
        <w:spacing w:before="240" w:after="240"/>
      </w:pPr>
    </w:p>
    <w:p>
      <w:pPr>
        <w:pStyle w:val="Heading1"/>
        <w:spacing w:before="480" w:after="160"/>
      </w:pPr>
      <w:r>
        <w:rPr>
          <w:rFonts w:ascii="Arial" w:cs="Arial" w:eastAsia="Arial" w:hAnsi="Arial"/>
          <w:b/>
          <w:bCs/>
          <w:color w:val="1A1714"/>
          <w:sz w:val="32"/>
          <w:szCs w:val="32"/>
        </w:rPr>
        <w:t xml:space="preserve">What Millwerx Is</w:t>
      </w:r>
    </w:p>
    <w:p>
      <w:pPr>
        <w:spacing w:before="80" w:after="120"/>
      </w:pPr>
      <w:r>
        <w:rPr>
          <w:rFonts w:ascii="Arial" w:cs="Arial" w:eastAsia="Arial" w:hAnsi="Arial"/>
          <w:color w:val="333333"/>
          <w:sz w:val="21"/>
          <w:szCs w:val="21"/>
        </w:rPr>
        <w:t xml:space="preserve">Millwerx is Shepherd's Guild's internal pipeline for acquiring, cleaning, processing, and decomposing public domain theological texts. It exists to serve three downstream products:</w:t>
      </w:r>
    </w:p>
    <w:p>
      <w:pPr>
        <w:spacing w:before="60" w:after="60"/>
      </w:pPr>
      <w:r>
        <w:t xml:space="preserve"/>
      </w:r>
    </w:p>
    <w:p>
      <w:pPr>
        <w:pStyle w:val="ListParagraph"/>
        <w:numPr>
          <w:ilvl w:val="0"/>
          <w:numId w:val="2"/>
        </w:numPr>
        <w:spacing w:before="40" w:after="60"/>
      </w:pPr>
      <w:r>
        <w:rPr>
          <w:rFonts w:ascii="Arial" w:cs="Arial" w:eastAsia="Arial" w:hAnsi="Arial"/>
          <w:b/>
          <w:bCs/>
          <w:color w:val="1A1714"/>
          <w:sz w:val="21"/>
          <w:szCs w:val="21"/>
        </w:rPr>
        <w:t xml:space="preserve">Benchmark preacher profiles — </w:t>
      </w:r>
      <w:r>
        <w:rPr>
          <w:rFonts w:ascii="Arial" w:cs="Arial" w:eastAsia="Arial" w:hAnsi="Arial"/>
          <w:color w:val="333333"/>
          <w:sz w:val="21"/>
          <w:szCs w:val="21"/>
        </w:rPr>
        <w:t xml:space="preserve">The Guild Hall reference library</w:t>
      </w:r>
    </w:p>
    <w:p>
      <w:pPr>
        <w:pStyle w:val="ListParagraph"/>
        <w:numPr>
          <w:ilvl w:val="0"/>
          <w:numId w:val="2"/>
        </w:numPr>
        <w:spacing w:before="40" w:after="60"/>
      </w:pPr>
      <w:r>
        <w:rPr>
          <w:rFonts w:ascii="Arial" w:cs="Arial" w:eastAsia="Arial" w:hAnsi="Arial"/>
          <w:b/>
          <w:bCs/>
          <w:color w:val="1A1714"/>
          <w:sz w:val="21"/>
          <w:szCs w:val="21"/>
        </w:rPr>
        <w:t xml:space="preserve">3-day attribute cycle content — </w:t>
      </w:r>
      <w:r>
        <w:rPr>
          <w:rFonts w:ascii="Arial" w:cs="Arial" w:eastAsia="Arial" w:hAnsi="Arial"/>
          <w:color w:val="333333"/>
          <w:sz w:val="21"/>
          <w:szCs w:val="21"/>
        </w:rPr>
        <w:t xml:space="preserve">Shepherd's Guild Daily devotional database</w:t>
      </w:r>
    </w:p>
    <w:p>
      <w:pPr>
        <w:pStyle w:val="ListParagraph"/>
        <w:numPr>
          <w:ilvl w:val="0"/>
          <w:numId w:val="2"/>
        </w:numPr>
        <w:spacing w:before="40" w:after="60"/>
      </w:pPr>
      <w:r>
        <w:rPr>
          <w:rFonts w:ascii="Arial" w:cs="Arial" w:eastAsia="Arial" w:hAnsi="Arial"/>
          <w:b/>
          <w:bCs/>
          <w:color w:val="1A1714"/>
          <w:sz w:val="21"/>
          <w:szCs w:val="21"/>
        </w:rPr>
        <w:t xml:space="preserve">Labeled theological reasoning corpus for AI lab licensing — </w:t>
      </w:r>
      <w:r>
        <w:rPr>
          <w:rFonts w:ascii="Arial" w:cs="Arial" w:eastAsia="Arial" w:hAnsi="Arial"/>
          <w:color w:val="333333"/>
          <w:sz w:val="21"/>
          <w:szCs w:val="21"/>
        </w:rPr>
        <w:t xml:space="preserve">TRAININGDATA</w:t>
      </w:r>
    </w:p>
    <w:p>
      <w:pPr>
        <w:spacing w:before="60" w:after="60"/>
      </w:pPr>
      <w:r>
        <w:t xml:space="preserve"/>
      </w:r>
    </w:p>
    <w:p>
      <w:pPr>
        <w:spacing w:before="80" w:after="120"/>
      </w:pPr>
      <w:r>
        <w:rPr>
          <w:rFonts w:ascii="Arial" w:cs="Arial" w:eastAsia="Arial" w:hAnsi="Arial"/>
          <w:color w:val="333333"/>
          <w:sz w:val="21"/>
          <w:szCs w:val="21"/>
        </w:rPr>
        <w:t xml:space="preserve">The name reflects the function: a mill takes raw grain and produces usable flour. Millwerx takes raw historical text and produces structured, machine-readable, annotated data. The mill runs continuously. Every public domain text that passes through it becomes a permanent asset feeding multiple products simultaneously.</w:t>
      </w:r>
    </w:p>
    <w:p>
      <w:pPr>
        <w:spacing w:before="60" w:after="60"/>
      </w:pPr>
      <w:r>
        <w:t xml:space="preserve"/>
      </w:r>
    </w:p>
    <w:p>
      <w:pPr>
        <w:pBdr>
          <w:left w:val="single" w:color="C4A265" w:sz="12" w:space="12"/>
        </w:pBdr>
        <w:spacing w:before="120" w:after="120"/>
        <w:ind w:left="720"/>
      </w:pPr>
      <w:r>
        <w:rPr>
          <w:rFonts w:ascii="Arial" w:cs="Arial" w:eastAsia="Arial" w:hAnsi="Arial"/>
          <w:i/>
          <w:iCs/>
          <w:color w:val="555555"/>
          <w:sz w:val="21"/>
          <w:szCs w:val="21"/>
        </w:rPr>
        <w:t xml:space="preserve">Millwerx is not a one-time project. It is an ongoing operation. Every text processed is permanent inventory.</w:t>
      </w:r>
    </w:p>
    <w:p>
      <w:pPr>
        <w:spacing w:before="60" w:after="60"/>
      </w:pPr>
      <w:r>
        <w:t xml:space="preserve"/>
      </w:r>
    </w:p>
    <w:p>
      <w:pPr>
        <w:pBdr>
          <w:bottom w:val="single" w:color="C4A265" w:sz="4" w:space="1"/>
        </w:pBdr>
        <w:spacing w:before="240" w:after="240"/>
      </w:pPr>
    </w:p>
    <w:p>
      <w:pPr>
        <w:pStyle w:val="Heading1"/>
        <w:spacing w:before="480" w:after="160"/>
      </w:pPr>
      <w:r>
        <w:rPr>
          <w:rFonts w:ascii="Arial" w:cs="Arial" w:eastAsia="Arial" w:hAnsi="Arial"/>
          <w:b/>
          <w:bCs/>
          <w:color w:val="1A1714"/>
          <w:sz w:val="32"/>
          <w:szCs w:val="32"/>
        </w:rPr>
        <w:t xml:space="preserve">Scope and Boundaries</w:t>
      </w:r>
    </w:p>
    <w:p>
      <w:pPr>
        <w:pStyle w:val="Heading2"/>
        <w:spacing w:before="320" w:after="100"/>
      </w:pPr>
      <w:r>
        <w:rPr>
          <w:rFonts w:ascii="Arial" w:cs="Arial" w:eastAsia="Arial" w:hAnsi="Arial"/>
          <w:b/>
          <w:bCs/>
          <w:color w:val="2D4A3E"/>
          <w:sz w:val="26"/>
          <w:szCs w:val="26"/>
        </w:rPr>
        <w:t xml:space="preserve">In Scope</w:t>
      </w:r>
    </w:p>
    <w:p>
      <w:pPr>
        <w:pStyle w:val="ListParagraph"/>
        <w:numPr>
          <w:ilvl w:val="0"/>
          <w:numId w:val="2"/>
        </w:numPr>
        <w:spacing w:before="40" w:after="60"/>
      </w:pPr>
      <w:r>
        <w:rPr>
          <w:rFonts w:ascii="Arial" w:cs="Arial" w:eastAsia="Arial" w:hAnsi="Arial"/>
          <w:color w:val="333333"/>
          <w:sz w:val="21"/>
          <w:szCs w:val="21"/>
        </w:rPr>
        <w:t xml:space="preserve">Texts that are verifiably in the public domain in the United States</w:t>
      </w:r>
    </w:p>
    <w:p>
      <w:pPr>
        <w:pStyle w:val="ListParagraph"/>
        <w:numPr>
          <w:ilvl w:val="0"/>
          <w:numId w:val="2"/>
        </w:numPr>
        <w:spacing w:before="40" w:after="60"/>
      </w:pPr>
      <w:r>
        <w:rPr>
          <w:rFonts w:ascii="Arial" w:cs="Arial" w:eastAsia="Arial" w:hAnsi="Arial"/>
          <w:color w:val="333333"/>
          <w:sz w:val="21"/>
          <w:szCs w:val="21"/>
        </w:rPr>
        <w:t xml:space="preserve">Texts with openly permissive licenses (Creative Commons, etc.) that explicitly allow commercial use and derivative works</w:t>
      </w:r>
    </w:p>
    <w:p>
      <w:pPr>
        <w:pStyle w:val="ListParagraph"/>
        <w:numPr>
          <w:ilvl w:val="0"/>
          <w:numId w:val="2"/>
        </w:numPr>
        <w:spacing w:before="40" w:after="60"/>
      </w:pPr>
      <w:r>
        <w:rPr>
          <w:rFonts w:ascii="Arial" w:cs="Arial" w:eastAsia="Arial" w:hAnsi="Arial"/>
          <w:color w:val="333333"/>
          <w:sz w:val="21"/>
          <w:szCs w:val="21"/>
        </w:rPr>
        <w:t xml:space="preserve">Texts for which Shepherd's Guild has obtained a valid commercial license from the rights holder</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Out of Scope — Do Not Process</w:t>
      </w:r>
    </w:p>
    <w:p>
      <w:pPr>
        <w:pStyle w:val="ListParagraph"/>
        <w:numPr>
          <w:ilvl w:val="0"/>
          <w:numId w:val="2"/>
        </w:numPr>
        <w:spacing w:before="40" w:after="60"/>
      </w:pPr>
      <w:r>
        <w:rPr>
          <w:rFonts w:ascii="Arial" w:cs="Arial" w:eastAsia="Arial" w:hAnsi="Arial"/>
          <w:color w:val="333333"/>
          <w:sz w:val="21"/>
          <w:szCs w:val="21"/>
        </w:rPr>
        <w:t xml:space="preserve">Any text where copyright status is uncertain — default to out of scope until verified</w:t>
      </w:r>
    </w:p>
    <w:p>
      <w:pPr>
        <w:pStyle w:val="ListParagraph"/>
        <w:numPr>
          <w:ilvl w:val="0"/>
          <w:numId w:val="2"/>
        </w:numPr>
        <w:spacing w:before="40" w:after="60"/>
      </w:pPr>
      <w:r>
        <w:rPr>
          <w:rFonts w:ascii="Arial" w:cs="Arial" w:eastAsia="Arial" w:hAnsi="Arial"/>
          <w:color w:val="333333"/>
          <w:sz w:val="21"/>
          <w:szCs w:val="21"/>
        </w:rPr>
        <w:t xml:space="preserve">Texts published after 1928 without explicit license verification (US copyright law baseline)</w:t>
      </w:r>
    </w:p>
    <w:p>
      <w:pPr>
        <w:pStyle w:val="ListParagraph"/>
        <w:numPr>
          <w:ilvl w:val="0"/>
          <w:numId w:val="2"/>
        </w:numPr>
        <w:spacing w:before="40" w:after="60"/>
      </w:pPr>
      <w:r>
        <w:rPr>
          <w:rFonts w:ascii="Arial" w:cs="Arial" w:eastAsia="Arial" w:hAnsi="Arial"/>
          <w:color w:val="333333"/>
          <w:sz w:val="21"/>
          <w:szCs w:val="21"/>
        </w:rPr>
        <w:t xml:space="preserve">Sermon transcripts from living preachers or recently deceased preachers without a signed license agreement</w:t>
      </w:r>
    </w:p>
    <w:p>
      <w:pPr>
        <w:pStyle w:val="ListParagraph"/>
        <w:numPr>
          <w:ilvl w:val="0"/>
          <w:numId w:val="2"/>
        </w:numPr>
        <w:spacing w:before="40" w:after="60"/>
      </w:pPr>
      <w:r>
        <w:rPr>
          <w:rFonts w:ascii="Arial" w:cs="Arial" w:eastAsia="Arial" w:hAnsi="Arial"/>
          <w:color w:val="333333"/>
          <w:sz w:val="21"/>
          <w:szCs w:val="21"/>
        </w:rPr>
        <w:t xml:space="preserve">Paywalled, subscriber-only, or access-restricted texts even if the underlying work is old</w:t>
      </w:r>
    </w:p>
    <w:p>
      <w:pPr>
        <w:spacing w:before="60" w:after="60"/>
      </w:pPr>
      <w:r>
        <w:t xml:space="preserve"/>
      </w:r>
    </w:p>
    <w:p>
      <w:pPr>
        <w:spacing w:before="80" w:after="120"/>
      </w:pPr>
      <w:r>
        <w:rPr>
          <w:rFonts w:ascii="Arial" w:cs="Arial" w:eastAsia="Arial" w:hAnsi="Arial"/>
          <w:color w:val="333333"/>
          <w:sz w:val="21"/>
          <w:szCs w:val="21"/>
        </w:rPr>
        <w:t xml:space="preserve">When in doubt: do not process. Tag as "copyright status unverified" and move on. The legal review queue is separate from the processing pipeline.</w:t>
      </w:r>
    </w:p>
    <w:p>
      <w:pPr>
        <w:spacing w:before="60" w:after="60"/>
      </w:pPr>
      <w:r>
        <w:t xml:space="preserve"/>
      </w:r>
    </w:p>
    <w:p>
      <w:pPr>
        <w:pBdr>
          <w:bottom w:val="single" w:color="C4A265" w:sz="4" w:space="1"/>
        </w:pBdr>
        <w:spacing w:before="240" w:after="240"/>
      </w:pPr>
    </w:p>
    <w:p>
      <w:pPr>
        <w:pStyle w:val="Heading1"/>
        <w:spacing w:before="480" w:after="160"/>
      </w:pPr>
      <w:r>
        <w:rPr>
          <w:rFonts w:ascii="Arial" w:cs="Arial" w:eastAsia="Arial" w:hAnsi="Arial"/>
          <w:b/>
          <w:bCs/>
          <w:color w:val="1A1714"/>
          <w:sz w:val="32"/>
          <w:szCs w:val="32"/>
        </w:rPr>
        <w:t xml:space="preserve">Primary Source Targets</w:t>
      </w:r>
    </w:p>
    <w:p>
      <w:pPr>
        <w:spacing w:before="80" w:after="120"/>
      </w:pPr>
      <w:r>
        <w:rPr>
          <w:rFonts w:ascii="Arial" w:cs="Arial" w:eastAsia="Arial" w:hAnsi="Arial"/>
          <w:color w:val="333333"/>
          <w:sz w:val="21"/>
          <w:szCs w:val="21"/>
        </w:rPr>
        <w:t xml:space="preserve">Initial build priority organized by downstream product need and acquisition ease.</w:t>
      </w:r>
    </w:p>
    <w:p>
      <w:pPr>
        <w:spacing w:before="60" w:after="60"/>
      </w:pPr>
      <w:r>
        <w:t xml:space="preserve"/>
      </w:r>
    </w:p>
    <w:p>
      <w:pPr>
        <w:spacing w:before="240" w:after="60"/>
      </w:pPr>
      <w:r>
        <w:rPr>
          <w:rFonts w:ascii="Arial" w:cs="Arial" w:eastAsia="Arial" w:hAnsi="Arial"/>
          <w:b/>
          <w:bCs/>
          <w:color w:val="C4A265"/>
          <w:spacing w:val="40"/>
          <w:sz w:val="17"/>
          <w:szCs w:val="17"/>
        </w:rPr>
        <w:t xml:space="preserve">GUILD HALL REFERENCE LIBRARY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w:trPr>
          <w:tblHeader/>
        </w:trPr>
        <w:tc>
          <w:tcPr>
            <w:tcW w:type="dxa" w:w="20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Author</w:t>
            </w:r>
          </w:p>
        </w:tc>
        <w:tc>
          <w:tcPr>
            <w:tcW w:type="dxa" w:w="30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Key Works</w:t>
            </w:r>
          </w:p>
        </w:tc>
        <w:tc>
          <w:tcPr>
            <w:tcW w:type="dxa" w:w="18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PD Status</w:t>
            </w:r>
          </w:p>
        </w:tc>
        <w:tc>
          <w:tcPr>
            <w:tcW w:type="dxa" w:w="256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Priority</w:t>
            </w:r>
          </w:p>
        </w:tc>
      </w:tr>
      <w:tr>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Charles Spurgeon (1834–1892)</w:t>
            </w:r>
          </w:p>
        </w:tc>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Metropolitan Tabernacle Pulpit (63 vols), Morning &amp; Evening</w:t>
            </w:r>
          </w:p>
        </w:tc>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Confirmed PD</w:t>
            </w:r>
          </w:p>
        </w:tc>
        <w:tc>
          <w:tcPr>
            <w:tcW w:type="dxa" w:w="2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CRITICAL — build now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 Campbell Morgan (1863–1945)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Westminster Pulpit (10 vols), The Analyzed Bible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Confirmed PD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R.A. Torrey (1856–1928)</w:t>
            </w:r>
          </w:p>
        </w:tc>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Various sermon collections</w:t>
            </w:r>
          </w:p>
        </w:tc>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Confirmed PD</w:t>
            </w:r>
          </w:p>
        </w:tc>
        <w:tc>
          <w:tcPr>
            <w:tcW w:type="dxa" w:w="2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Alexander Maclaren (1826–1910)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Expositions of Holy Scripture (32 vols)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Confirmed PD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F.B. Meyer (1847–1929)</w:t>
            </w:r>
          </w:p>
        </w:tc>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Various devotional and expository works</w:t>
            </w:r>
          </w:p>
        </w:tc>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Likely PD — verify</w:t>
            </w:r>
          </w:p>
        </w:tc>
        <w:tc>
          <w:tcPr>
            <w:tcW w:type="dxa" w:w="2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J.C. Ryle (1816–1900)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Expository Thoughts on the Gospels, Holiness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Confirmed PD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bl>
    <w:p>
      <w:pPr>
        <w:spacing w:before="60" w:after="60"/>
      </w:pPr>
      <w:r>
        <w:t xml:space="preserve"/>
      </w:r>
    </w:p>
    <w:p>
      <w:pPr>
        <w:spacing w:before="240" w:after="60"/>
      </w:pPr>
      <w:r>
        <w:rPr>
          <w:rFonts w:ascii="Arial" w:cs="Arial" w:eastAsia="Arial" w:hAnsi="Arial"/>
          <w:b/>
          <w:bCs/>
          <w:color w:val="C4A265"/>
          <w:spacing w:val="40"/>
          <w:sz w:val="17"/>
          <w:szCs w:val="17"/>
        </w:rPr>
        <w:t xml:space="preserve">SHEPHERD'S GUILD DAILY — DEVOTIONAL DATABASE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w:trPr>
          <w:tblHeader/>
        </w:trPr>
        <w:tc>
          <w:tcPr>
            <w:tcW w:type="dxa" w:w="20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Author</w:t>
            </w:r>
          </w:p>
        </w:tc>
        <w:tc>
          <w:tcPr>
            <w:tcW w:type="dxa" w:w="30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Key Works</w:t>
            </w:r>
          </w:p>
        </w:tc>
        <w:tc>
          <w:tcPr>
            <w:tcW w:type="dxa" w:w="18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PD Status</w:t>
            </w:r>
          </w:p>
        </w:tc>
        <w:tc>
          <w:tcPr>
            <w:tcW w:type="dxa" w:w="256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Priority</w:t>
            </w:r>
          </w:p>
        </w:tc>
      </w:tr>
      <w:tr>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Stephen Charnock (1628–1680)</w:t>
            </w:r>
          </w:p>
        </w:tc>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Existence and Attributes of God</w:t>
            </w:r>
          </w:p>
        </w:tc>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Confirmed PD</w:t>
            </w:r>
          </w:p>
        </w:tc>
        <w:tc>
          <w:tcPr>
            <w:tcW w:type="dxa" w:w="2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CRITICAL — build now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Thomas Watson (1620–1686)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Body of Divinity, The Ten Commandments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Confirmed PD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CRITICAL — build now</w:t>
            </w:r>
          </w:p>
        </w:tc>
      </w:tr>
      <w:tr>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John Owen (1616–1683)</w:t>
            </w:r>
          </w:p>
        </w:tc>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Communion with God, Mortification of Sin</w:t>
            </w:r>
          </w:p>
        </w:tc>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Confirmed PD</w:t>
            </w:r>
          </w:p>
        </w:tc>
        <w:tc>
          <w:tcPr>
            <w:tcW w:type="dxa" w:w="2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William Gurnall (1616–1679)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Christian in Complete Armour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Confirmed PD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Thomas Brooks (1608–1680)</w:t>
            </w:r>
          </w:p>
        </w:tc>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Precious Remedies Against Satan's Devices</w:t>
            </w:r>
          </w:p>
        </w:tc>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Confirmed PD</w:t>
            </w:r>
          </w:p>
        </w:tc>
        <w:tc>
          <w:tcPr>
            <w:tcW w:type="dxa" w:w="2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A.W. Pink (1886–1952)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Attributes of God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Likely PD — verify pub date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A.W. Tozer (1897–1963)</w:t>
            </w:r>
          </w:p>
        </w:tc>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The Knowledge of the Holy</w:t>
            </w:r>
          </w:p>
        </w:tc>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NOT PD — license required</w:t>
            </w:r>
          </w:p>
        </w:tc>
        <w:tc>
          <w:tcPr>
            <w:tcW w:type="dxa" w:w="2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MEDIUM — legal track</w:t>
            </w:r>
          </w:p>
        </w:tc>
      </w:tr>
    </w:tbl>
    <w:p>
      <w:pPr>
        <w:spacing w:before="60" w:after="60"/>
      </w:pPr>
      <w:r>
        <w:t xml:space="preserve"/>
      </w:r>
    </w:p>
    <w:p>
      <w:pPr>
        <w:pBdr>
          <w:bottom w:val="single" w:color="C4A265" w:sz="4" w:space="1"/>
        </w:pBdr>
        <w:spacing w:before="240" w:after="240"/>
      </w:pPr>
    </w:p>
    <w:p>
      <w:pPr>
        <w:pStyle w:val="Heading1"/>
        <w:spacing w:before="480" w:after="160"/>
      </w:pPr>
      <w:r>
        <w:rPr>
          <w:rFonts w:ascii="Arial" w:cs="Arial" w:eastAsia="Arial" w:hAnsi="Arial"/>
          <w:b/>
          <w:bCs/>
          <w:color w:val="1A1714"/>
          <w:sz w:val="32"/>
          <w:szCs w:val="32"/>
        </w:rPr>
        <w:t xml:space="preserve">Stage 1 — Acquisition</w:t>
      </w:r>
    </w:p>
    <w:p>
      <w:pPr>
        <w:pStyle w:val="Heading2"/>
        <w:spacing w:before="320" w:after="100"/>
      </w:pPr>
      <w:r>
        <w:rPr>
          <w:rFonts w:ascii="Arial" w:cs="Arial" w:eastAsia="Arial" w:hAnsi="Arial"/>
          <w:b/>
          <w:bCs/>
          <w:color w:val="2D4A3E"/>
          <w:sz w:val="26"/>
          <w:szCs w:val="26"/>
        </w:rPr>
        <w:t xml:space="preserve">Verified Source Repositories</w:t>
      </w:r>
    </w:p>
    <w:p>
      <w:pPr>
        <w:spacing w:before="80" w:after="120"/>
      </w:pPr>
      <w:r>
        <w:rPr>
          <w:rFonts w:ascii="Arial" w:cs="Arial" w:eastAsia="Arial" w:hAnsi="Arial"/>
          <w:color w:val="333333"/>
          <w:sz w:val="21"/>
          <w:szCs w:val="21"/>
        </w:rPr>
        <w:t xml:space="preserve">Always acquire from a trusted source with known editorial quality. Do not scrape random sites.</w:t>
      </w:r>
    </w:p>
    <w:p>
      <w:pPr>
        <w:spacing w:before="60" w:after="60"/>
      </w:pPr>
      <w:r>
        <w:t xml:space="preserve"/>
      </w:r>
    </w:p>
    <w:p>
      <w:pPr>
        <w:pStyle w:val="ListParagraph"/>
        <w:numPr>
          <w:ilvl w:val="0"/>
          <w:numId w:val="2"/>
        </w:numPr>
        <w:spacing w:before="40" w:after="60"/>
      </w:pPr>
      <w:r>
        <w:rPr>
          <w:rFonts w:ascii="Arial" w:cs="Arial" w:eastAsia="Arial" w:hAnsi="Arial"/>
          <w:b/>
          <w:bCs/>
          <w:color w:val="1A1714"/>
          <w:sz w:val="21"/>
          <w:szCs w:val="21"/>
        </w:rPr>
        <w:t xml:space="preserve">Primary source for Reformed/Puritan texts. High editorial quality. Free to download. — </w:t>
      </w:r>
      <w:r>
        <w:rPr>
          <w:rFonts w:ascii="Arial" w:cs="Arial" w:eastAsia="Arial" w:hAnsi="Arial"/>
          <w:color w:val="333333"/>
          <w:sz w:val="21"/>
          <w:szCs w:val="21"/>
        </w:rPr>
        <w:t xml:space="preserve">Christian Classics Ethereal Library (ccel.org)</w:t>
      </w:r>
    </w:p>
    <w:p>
      <w:pPr>
        <w:pStyle w:val="ListParagraph"/>
        <w:numPr>
          <w:ilvl w:val="0"/>
          <w:numId w:val="2"/>
        </w:numPr>
        <w:spacing w:before="40" w:after="60"/>
      </w:pPr>
      <w:r>
        <w:rPr>
          <w:rFonts w:ascii="Arial" w:cs="Arial" w:eastAsia="Arial" w:hAnsi="Arial"/>
          <w:b/>
          <w:bCs/>
          <w:color w:val="1A1714"/>
          <w:sz w:val="21"/>
          <w:szCs w:val="21"/>
        </w:rPr>
        <w:t xml:space="preserve">Broad coverage, reliable PD verification, plain text downloads available. — </w:t>
      </w:r>
      <w:r>
        <w:rPr>
          <w:rFonts w:ascii="Arial" w:cs="Arial" w:eastAsia="Arial" w:hAnsi="Arial"/>
          <w:color w:val="333333"/>
          <w:sz w:val="21"/>
          <w:szCs w:val="21"/>
        </w:rPr>
        <w:t xml:space="preserve">Project Gutenberg (gutenberg.org)</w:t>
      </w:r>
    </w:p>
    <w:p>
      <w:pPr>
        <w:pStyle w:val="ListParagraph"/>
        <w:numPr>
          <w:ilvl w:val="0"/>
          <w:numId w:val="2"/>
        </w:numPr>
        <w:spacing w:before="40" w:after="60"/>
      </w:pPr>
      <w:r>
        <w:rPr>
          <w:rFonts w:ascii="Arial" w:cs="Arial" w:eastAsia="Arial" w:hAnsi="Arial"/>
          <w:b/>
          <w:bCs/>
          <w:color w:val="1A1714"/>
          <w:sz w:val="21"/>
          <w:szCs w:val="21"/>
        </w:rPr>
        <w:t xml:space="preserve">Full book scans including rare editions. Use for texts not on CCEL or Gutenberg. — </w:t>
      </w:r>
      <w:r>
        <w:rPr>
          <w:rFonts w:ascii="Arial" w:cs="Arial" w:eastAsia="Arial" w:hAnsi="Arial"/>
          <w:color w:val="333333"/>
          <w:sz w:val="21"/>
          <w:szCs w:val="21"/>
        </w:rPr>
        <w:t xml:space="preserve">Internet Archive (archive.org)</w:t>
      </w:r>
    </w:p>
    <w:p>
      <w:pPr>
        <w:pStyle w:val="ListParagraph"/>
        <w:numPr>
          <w:ilvl w:val="0"/>
          <w:numId w:val="2"/>
        </w:numPr>
        <w:spacing w:before="40" w:after="60"/>
      </w:pPr>
      <w:r>
        <w:rPr>
          <w:rFonts w:ascii="Arial" w:cs="Arial" w:eastAsia="Arial" w:hAnsi="Arial"/>
          <w:b/>
          <w:bCs/>
          <w:color w:val="1A1714"/>
          <w:sz w:val="21"/>
          <w:szCs w:val="21"/>
        </w:rPr>
        <w:t xml:space="preserve">Dedicated Spurgeon archive. All Metropolitan Tabernacle Pulpit volumes available. — </w:t>
      </w:r>
      <w:r>
        <w:rPr>
          <w:rFonts w:ascii="Arial" w:cs="Arial" w:eastAsia="Arial" w:hAnsi="Arial"/>
          <w:color w:val="333333"/>
          <w:sz w:val="21"/>
          <w:szCs w:val="21"/>
        </w:rPr>
        <w:t xml:space="preserve">Spurgeon.org</w:t>
      </w:r>
    </w:p>
    <w:p>
      <w:pPr>
        <w:pStyle w:val="ListParagraph"/>
        <w:numPr>
          <w:ilvl w:val="0"/>
          <w:numId w:val="2"/>
        </w:numPr>
        <w:spacing w:before="40" w:after="60"/>
      </w:pPr>
      <w:r>
        <w:rPr>
          <w:rFonts w:ascii="Arial" w:cs="Arial" w:eastAsia="Arial" w:hAnsi="Arial"/>
          <w:b/>
          <w:bCs/>
          <w:color w:val="1A1714"/>
          <w:sz w:val="21"/>
          <w:szCs w:val="21"/>
        </w:rPr>
        <w:t xml:space="preserve">Reformed theology texts, many PD. Verify each text individually before use. — </w:t>
      </w:r>
      <w:r>
        <w:rPr>
          <w:rFonts w:ascii="Arial" w:cs="Arial" w:eastAsia="Arial" w:hAnsi="Arial"/>
          <w:color w:val="333333"/>
          <w:sz w:val="21"/>
          <w:szCs w:val="21"/>
        </w:rPr>
        <w:t xml:space="preserve">Monergism.com</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Acquisition Checklist (Per Text)</w:t>
      </w:r>
    </w:p>
    <w:p>
      <w:pPr>
        <w:pStyle w:val="ListParagraph"/>
        <w:numPr>
          <w:ilvl w:val="0"/>
          <w:numId w:val="2"/>
        </w:numPr>
        <w:spacing w:before="40" w:after="60"/>
      </w:pPr>
      <w:r>
        <w:rPr>
          <w:rFonts w:ascii="Arial" w:cs="Arial" w:eastAsia="Arial" w:hAnsi="Arial"/>
          <w:color w:val="333333"/>
          <w:sz w:val="21"/>
          <w:szCs w:val="21"/>
        </w:rPr>
        <w:t xml:space="preserve">Confirm author death date and original publication date</w:t>
      </w:r>
    </w:p>
    <w:p>
      <w:pPr>
        <w:pStyle w:val="ListParagraph"/>
        <w:numPr>
          <w:ilvl w:val="0"/>
          <w:numId w:val="2"/>
        </w:numPr>
        <w:spacing w:before="40" w:after="60"/>
      </w:pPr>
      <w:r>
        <w:rPr>
          <w:rFonts w:ascii="Arial" w:cs="Arial" w:eastAsia="Arial" w:hAnsi="Arial"/>
          <w:color w:val="333333"/>
          <w:sz w:val="21"/>
          <w:szCs w:val="21"/>
        </w:rPr>
        <w:t xml:space="preserve">Verify US public domain status (pre-1928 publication, or author died 70+ years ago for works published after 1928 — consult legal counsel for edge cases)</w:t>
      </w:r>
    </w:p>
    <w:p>
      <w:pPr>
        <w:pStyle w:val="ListParagraph"/>
        <w:numPr>
          <w:ilvl w:val="0"/>
          <w:numId w:val="2"/>
        </w:numPr>
        <w:spacing w:before="40" w:after="60"/>
      </w:pPr>
      <w:r>
        <w:rPr>
          <w:rFonts w:ascii="Arial" w:cs="Arial" w:eastAsia="Arial" w:hAnsi="Arial"/>
          <w:color w:val="333333"/>
          <w:sz w:val="21"/>
          <w:szCs w:val="21"/>
        </w:rPr>
        <w:t xml:space="preserve">Download in plain text (.txt) or clean HTML where available — avoid PDF if plain text exists</w:t>
      </w:r>
    </w:p>
    <w:p>
      <w:pPr>
        <w:pStyle w:val="ListParagraph"/>
        <w:numPr>
          <w:ilvl w:val="0"/>
          <w:numId w:val="2"/>
        </w:numPr>
        <w:spacing w:before="40" w:after="60"/>
      </w:pPr>
      <w:r>
        <w:rPr>
          <w:rFonts w:ascii="Arial" w:cs="Arial" w:eastAsia="Arial" w:hAnsi="Arial"/>
          <w:color w:val="333333"/>
          <w:sz w:val="21"/>
          <w:szCs w:val="21"/>
        </w:rPr>
        <w:t xml:space="preserve">Record source URL, download date, edition information, and page count</w:t>
      </w:r>
    </w:p>
    <w:p>
      <w:pPr>
        <w:pStyle w:val="ListParagraph"/>
        <w:numPr>
          <w:ilvl w:val="0"/>
          <w:numId w:val="2"/>
        </w:numPr>
        <w:spacing w:before="40" w:after="60"/>
      </w:pPr>
      <w:r>
        <w:rPr>
          <w:rFonts w:ascii="Arial" w:cs="Arial" w:eastAsia="Arial" w:hAnsi="Arial"/>
          <w:color w:val="333333"/>
          <w:sz w:val="21"/>
          <w:szCs w:val="21"/>
        </w:rPr>
        <w:t xml:space="preserve">Log in the Millwerx acquisition registry (see Appendix A)</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File Naming Convention</w:t>
      </w:r>
    </w:p>
    <w:p>
      <w:pPr>
        <w:spacing w:before="60" w:after="60"/>
        <w:ind w:left="720"/>
      </w:pPr>
      <w:r>
        <w:rPr>
          <w:rFonts w:ascii="Courier New" w:cs="Courier New" w:eastAsia="Courier New" w:hAnsi="Courier New"/>
          <w:color w:val="2D4A3E"/>
          <w:sz w:val="19"/>
          <w:szCs w:val="19"/>
        </w:rPr>
        <w:t xml:space="preserve">millwerx_[author-lastname]_[short-title]_[year-pub].[ext]</w:t>
      </w:r>
    </w:p>
    <w:p>
      <w:pPr>
        <w:spacing w:before="80" w:after="120"/>
      </w:pPr>
      <w:r>
        <w:rPr>
          <w:rFonts w:ascii="Arial" w:cs="Arial" w:eastAsia="Arial" w:hAnsi="Arial"/>
          <w:color w:val="333333"/>
          <w:sz w:val="21"/>
          <w:szCs w:val="21"/>
        </w:rPr>
        <w:t xml:space="preserve">Examples:</w:t>
      </w:r>
    </w:p>
    <w:p>
      <w:pPr>
        <w:spacing w:before="60" w:after="60"/>
        <w:ind w:left="720"/>
      </w:pPr>
      <w:r>
        <w:rPr>
          <w:rFonts w:ascii="Courier New" w:cs="Courier New" w:eastAsia="Courier New" w:hAnsi="Courier New"/>
          <w:color w:val="2D4A3E"/>
          <w:sz w:val="19"/>
          <w:szCs w:val="19"/>
        </w:rPr>
        <w:t xml:space="preserve">millwerx_charnock_existence-and-attributes_1682.txt</w:t>
      </w:r>
    </w:p>
    <w:p>
      <w:pPr>
        <w:spacing w:before="60" w:after="60"/>
        <w:ind w:left="720"/>
      </w:pPr>
      <w:r>
        <w:rPr>
          <w:rFonts w:ascii="Courier New" w:cs="Courier New" w:eastAsia="Courier New" w:hAnsi="Courier New"/>
          <w:color w:val="2D4A3E"/>
          <w:sz w:val="19"/>
          <w:szCs w:val="19"/>
        </w:rPr>
        <w:t xml:space="preserve">millwerx_spurgeon_mtp-vol01_1855.txt</w:t>
      </w:r>
    </w:p>
    <w:p>
      <w:pPr>
        <w:spacing w:before="60" w:after="60"/>
        <w:ind w:left="720"/>
      </w:pPr>
      <w:r>
        <w:rPr>
          <w:rFonts w:ascii="Courier New" w:cs="Courier New" w:eastAsia="Courier New" w:hAnsi="Courier New"/>
          <w:color w:val="2D4A3E"/>
          <w:sz w:val="19"/>
          <w:szCs w:val="19"/>
        </w:rPr>
        <w:t xml:space="preserve">millwerx_watson_body-of-divinity_1692.txt</w:t>
      </w:r>
    </w:p>
    <w:p>
      <w:pPr>
        <w:spacing w:before="60" w:after="60"/>
      </w:pPr>
      <w:r>
        <w:t xml:space="preserve"/>
      </w:r>
    </w:p>
    <w:p>
      <w:pPr>
        <w:pBdr>
          <w:bottom w:val="single" w:color="C4A265" w:sz="4" w:space="1"/>
        </w:pBdr>
        <w:spacing w:before="240" w:after="240"/>
      </w:pPr>
    </w:p>
    <w:p>
      <w:pPr>
        <w:pStyle w:val="Heading1"/>
        <w:spacing w:before="480" w:after="160"/>
      </w:pPr>
      <w:r>
        <w:rPr>
          <w:rFonts w:ascii="Arial" w:cs="Arial" w:eastAsia="Arial" w:hAnsi="Arial"/>
          <w:b/>
          <w:bCs/>
          <w:color w:val="1A1714"/>
          <w:sz w:val="32"/>
          <w:szCs w:val="32"/>
        </w:rPr>
        <w:t xml:space="preserve">Stage 2 — Cleaning</w:t>
      </w:r>
    </w:p>
    <w:p>
      <w:pPr>
        <w:spacing w:before="80" w:after="120"/>
      </w:pPr>
      <w:r>
        <w:rPr>
          <w:rFonts w:ascii="Arial" w:cs="Arial" w:eastAsia="Arial" w:hAnsi="Arial"/>
          <w:color w:val="333333"/>
          <w:sz w:val="21"/>
          <w:szCs w:val="21"/>
        </w:rPr>
        <w:t xml:space="preserve">Raw acquired texts require cleaning before processing. The goal is a clean, consistent plain text file that contains only the author's original words — no editorial apparatus, no OCR artifacts, no modern footnotes.</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What to Remove</w:t>
      </w:r>
    </w:p>
    <w:p>
      <w:pPr>
        <w:pStyle w:val="ListParagraph"/>
        <w:numPr>
          <w:ilvl w:val="0"/>
          <w:numId w:val="2"/>
        </w:numPr>
        <w:spacing w:before="40" w:after="60"/>
      </w:pPr>
      <w:r>
        <w:rPr>
          <w:rFonts w:ascii="Arial" w:cs="Arial" w:eastAsia="Arial" w:hAnsi="Arial"/>
          <w:color w:val="333333"/>
          <w:sz w:val="21"/>
          <w:szCs w:val="21"/>
        </w:rPr>
        <w:t xml:space="preserve">Publisher introductions, editorial prefaces, and forewords not written by the original author</w:t>
      </w:r>
    </w:p>
    <w:p>
      <w:pPr>
        <w:pStyle w:val="ListParagraph"/>
        <w:numPr>
          <w:ilvl w:val="0"/>
          <w:numId w:val="2"/>
        </w:numPr>
        <w:spacing w:before="40" w:after="60"/>
      </w:pPr>
      <w:r>
        <w:rPr>
          <w:rFonts w:ascii="Arial" w:cs="Arial" w:eastAsia="Arial" w:hAnsi="Arial"/>
          <w:color w:val="333333"/>
          <w:sz w:val="21"/>
          <w:szCs w:val="21"/>
        </w:rPr>
        <w:t xml:space="preserve">Modern footnotes and editorial annotations (distinguish from original author's own footnotes — keep those)</w:t>
      </w:r>
    </w:p>
    <w:p>
      <w:pPr>
        <w:pStyle w:val="ListParagraph"/>
        <w:numPr>
          <w:ilvl w:val="0"/>
          <w:numId w:val="2"/>
        </w:numPr>
        <w:spacing w:before="40" w:after="60"/>
      </w:pPr>
      <w:r>
        <w:rPr>
          <w:rFonts w:ascii="Arial" w:cs="Arial" w:eastAsia="Arial" w:hAnsi="Arial"/>
          <w:color w:val="333333"/>
          <w:sz w:val="21"/>
          <w:szCs w:val="21"/>
        </w:rPr>
        <w:t xml:space="preserve">Page numbers, running headers, and footer text</w:t>
      </w:r>
    </w:p>
    <w:p>
      <w:pPr>
        <w:pStyle w:val="ListParagraph"/>
        <w:numPr>
          <w:ilvl w:val="0"/>
          <w:numId w:val="2"/>
        </w:numPr>
        <w:spacing w:before="40" w:after="60"/>
      </w:pPr>
      <w:r>
        <w:rPr>
          <w:rFonts w:ascii="Arial" w:cs="Arial" w:eastAsia="Arial" w:hAnsi="Arial"/>
          <w:color w:val="333333"/>
          <w:sz w:val="21"/>
          <w:szCs w:val="21"/>
        </w:rPr>
        <w:t xml:space="preserve">OCR artifacts: garbled characters, hyphenated line breaks, misread words</w:t>
      </w:r>
    </w:p>
    <w:p>
      <w:pPr>
        <w:pStyle w:val="ListParagraph"/>
        <w:numPr>
          <w:ilvl w:val="0"/>
          <w:numId w:val="2"/>
        </w:numPr>
        <w:spacing w:before="40" w:after="60"/>
      </w:pPr>
      <w:r>
        <w:rPr>
          <w:rFonts w:ascii="Arial" w:cs="Arial" w:eastAsia="Arial" w:hAnsi="Arial"/>
          <w:color w:val="333333"/>
          <w:sz w:val="21"/>
          <w:szCs w:val="21"/>
        </w:rPr>
        <w:t xml:space="preserve">Copyright notices from the digital edition publisher (the underlying text is PD; the digital edition may have a thin copyright on their formatting — remove their additions)</w:t>
      </w:r>
    </w:p>
    <w:p>
      <w:pPr>
        <w:pStyle w:val="ListParagraph"/>
        <w:numPr>
          <w:ilvl w:val="0"/>
          <w:numId w:val="2"/>
        </w:numPr>
        <w:spacing w:before="40" w:after="60"/>
      </w:pPr>
      <w:r>
        <w:rPr>
          <w:rFonts w:ascii="Arial" w:cs="Arial" w:eastAsia="Arial" w:hAnsi="Arial"/>
          <w:color w:val="333333"/>
          <w:sz w:val="21"/>
          <w:szCs w:val="21"/>
        </w:rPr>
        <w:t xml:space="preserve">Table of contents (retain chapter structure, remove the TOC itself)</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What to Preserve</w:t>
      </w:r>
    </w:p>
    <w:p>
      <w:pPr>
        <w:pStyle w:val="ListParagraph"/>
        <w:numPr>
          <w:ilvl w:val="0"/>
          <w:numId w:val="2"/>
        </w:numPr>
        <w:spacing w:before="40" w:after="60"/>
      </w:pPr>
      <w:r>
        <w:rPr>
          <w:rFonts w:ascii="Arial" w:cs="Arial" w:eastAsia="Arial" w:hAnsi="Arial"/>
          <w:color w:val="333333"/>
          <w:sz w:val="21"/>
          <w:szCs w:val="21"/>
        </w:rPr>
        <w:t xml:space="preserve">The author's original chapter divisions, section headings, and numbered propositions</w:t>
      </w:r>
    </w:p>
    <w:p>
      <w:pPr>
        <w:pStyle w:val="ListParagraph"/>
        <w:numPr>
          <w:ilvl w:val="0"/>
          <w:numId w:val="2"/>
        </w:numPr>
        <w:spacing w:before="40" w:after="60"/>
      </w:pPr>
      <w:r>
        <w:rPr>
          <w:rFonts w:ascii="Arial" w:cs="Arial" w:eastAsia="Arial" w:hAnsi="Arial"/>
          <w:color w:val="333333"/>
          <w:sz w:val="21"/>
          <w:szCs w:val="21"/>
        </w:rPr>
        <w:t xml:space="preserve">The author's own footnotes and marginal notes where present</w:t>
      </w:r>
    </w:p>
    <w:p>
      <w:pPr>
        <w:pStyle w:val="ListParagraph"/>
        <w:numPr>
          <w:ilvl w:val="0"/>
          <w:numId w:val="2"/>
        </w:numPr>
        <w:spacing w:before="40" w:after="60"/>
      </w:pPr>
      <w:r>
        <w:rPr>
          <w:rFonts w:ascii="Arial" w:cs="Arial" w:eastAsia="Arial" w:hAnsi="Arial"/>
          <w:color w:val="333333"/>
          <w:sz w:val="21"/>
          <w:szCs w:val="21"/>
        </w:rPr>
        <w:t xml:space="preserve">Original paragraph structure — do not reflow or reformat prose</w:t>
      </w:r>
    </w:p>
    <w:p>
      <w:pPr>
        <w:pStyle w:val="ListParagraph"/>
        <w:numPr>
          <w:ilvl w:val="0"/>
          <w:numId w:val="2"/>
        </w:numPr>
        <w:spacing w:before="40" w:after="60"/>
      </w:pPr>
      <w:r>
        <w:rPr>
          <w:rFonts w:ascii="Arial" w:cs="Arial" w:eastAsia="Arial" w:hAnsi="Arial"/>
          <w:color w:val="333333"/>
          <w:sz w:val="21"/>
          <w:szCs w:val="21"/>
        </w:rPr>
        <w:t xml:space="preserve">Archaic spelling and grammar — do not modernize</w:t>
      </w:r>
    </w:p>
    <w:p>
      <w:pPr>
        <w:pStyle w:val="ListParagraph"/>
        <w:numPr>
          <w:ilvl w:val="0"/>
          <w:numId w:val="2"/>
        </w:numPr>
        <w:spacing w:before="40" w:after="60"/>
      </w:pPr>
      <w:r>
        <w:rPr>
          <w:rFonts w:ascii="Arial" w:cs="Arial" w:eastAsia="Arial" w:hAnsi="Arial"/>
          <w:color w:val="333333"/>
          <w:sz w:val="21"/>
          <w:szCs w:val="21"/>
        </w:rPr>
        <w:t xml:space="preserve">Scripture references in whatever format the author used</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Cleaning Quality Bar</w:t>
      </w:r>
    </w:p>
    <w:p>
      <w:pPr>
        <w:spacing w:before="80" w:after="120"/>
      </w:pPr>
      <w:r>
        <w:rPr>
          <w:rFonts w:ascii="Arial" w:cs="Arial" w:eastAsia="Arial" w:hAnsi="Arial"/>
          <w:color w:val="333333"/>
          <w:sz w:val="21"/>
          <w:szCs w:val="21"/>
        </w:rPr>
        <w:t xml:space="preserve">A cleaned file should be readable from start to finish without encountering editorial noise. Spot-check by reading three random passages of 2–3 paragraphs each. If any passage contains artifacts, incomplete cleaning, or non-authorial material, return to cleaning.</w:t>
      </w:r>
    </w:p>
    <w:p>
      <w:pPr>
        <w:spacing w:before="60" w:after="60"/>
      </w:pPr>
      <w:r>
        <w:t xml:space="preserve"/>
      </w:r>
    </w:p>
    <w:p>
      <w:pPr>
        <w:pBdr>
          <w:bottom w:val="single" w:color="C4A265" w:sz="4" w:space="1"/>
        </w:pBdr>
        <w:spacing w:before="240" w:after="240"/>
      </w:pPr>
    </w:p>
    <w:p>
      <w:pPr>
        <w:pStyle w:val="Heading1"/>
        <w:spacing w:before="480" w:after="160"/>
      </w:pPr>
      <w:r>
        <w:rPr>
          <w:rFonts w:ascii="Arial" w:cs="Arial" w:eastAsia="Arial" w:hAnsi="Arial"/>
          <w:b/>
          <w:bCs/>
          <w:color w:val="1A1714"/>
          <w:sz w:val="32"/>
          <w:szCs w:val="32"/>
        </w:rPr>
        <w:t xml:space="preserve">Stage 3 — Structure Extraction (Cheap Model)</w:t>
      </w:r>
    </w:p>
    <w:p>
      <w:pPr>
        <w:spacing w:before="80" w:after="120"/>
      </w:pPr>
      <w:r>
        <w:rPr>
          <w:rFonts w:ascii="Arial" w:cs="Arial" w:eastAsia="Arial" w:hAnsi="Arial"/>
          <w:color w:val="333333"/>
          <w:sz w:val="21"/>
          <w:szCs w:val="21"/>
        </w:rPr>
        <w:t xml:space="preserve">Following the tri-stage chunker architecture. Stage 3 uses a cheap/fast model to extract the document's structural outline before any expensive processing. This works for Puritan and Reformed texts because they have explicit structural signals — chapter headings, numbered propositions, section breaks.</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What the Cheap Model Produces</w:t>
      </w:r>
    </w:p>
    <w:p>
      <w:pPr>
        <w:spacing w:before="80" w:after="120"/>
      </w:pPr>
      <w:r>
        <w:rPr>
          <w:rFonts w:ascii="Arial" w:cs="Arial" w:eastAsia="Arial" w:hAnsi="Arial"/>
          <w:color w:val="333333"/>
          <w:sz w:val="21"/>
          <w:szCs w:val="21"/>
        </w:rPr>
        <w:t xml:space="preserve">Output: outline.json — a hierarchical map of the document's structure.</w:t>
      </w:r>
    </w:p>
    <w:p>
      <w:pPr>
        <w:spacing w:before="60" w:after="60"/>
      </w:pPr>
      <w:r>
        <w:t xml:space="preserve"/>
      </w:r>
    </w:p>
    <w:p>
      <w:pPr>
        <w:spacing w:before="0" w:after="0"/>
        <w:ind w:left="720"/>
      </w:pPr>
      <w:r>
        <w:rPr>
          <w:rFonts w:ascii="Courier New" w:cs="Courier New" w:eastAsia="Courier New" w:hAnsi="Courier New"/>
          <w:color w:val="2D4A3E"/>
          <w:sz w:val="18"/>
          <w:szCs w:val="18"/>
        </w:rPr>
        <w:t xml:space="preserve">{</w:t>
      </w:r>
    </w:p>
    <w:p>
      <w:pPr>
        <w:spacing w:before="0" w:after="0"/>
        <w:ind w:left="720"/>
      </w:pPr>
      <w:r>
        <w:rPr>
          <w:rFonts w:ascii="Courier New" w:cs="Courier New" w:eastAsia="Courier New" w:hAnsi="Courier New"/>
          <w:color w:val="2D4A3E"/>
          <w:sz w:val="18"/>
          <w:szCs w:val="18"/>
        </w:rPr>
        <w:t xml:space="preserve">  "doc_id": "charnock_existence-and-attributes_1682",</w:t>
      </w:r>
    </w:p>
    <w:p>
      <w:pPr>
        <w:spacing w:before="0" w:after="0"/>
        <w:ind w:left="720"/>
      </w:pPr>
      <w:r>
        <w:rPr>
          <w:rFonts w:ascii="Courier New" w:cs="Courier New" w:eastAsia="Courier New" w:hAnsi="Courier New"/>
          <w:color w:val="2D4A3E"/>
          <w:sz w:val="18"/>
          <w:szCs w:val="18"/>
        </w:rPr>
        <w:t xml:space="preserve">  "title": "The Existence and Attributes of God",</w:t>
      </w:r>
    </w:p>
    <w:p>
      <w:pPr>
        <w:spacing w:before="0" w:after="0"/>
        <w:ind w:left="720"/>
      </w:pPr>
      <w:r>
        <w:rPr>
          <w:rFonts w:ascii="Courier New" w:cs="Courier New" w:eastAsia="Courier New" w:hAnsi="Courier New"/>
          <w:color w:val="2D4A3E"/>
          <w:sz w:val="18"/>
          <w:szCs w:val="18"/>
        </w:rPr>
        <w:t xml:space="preserve">  "author": "Stephen Charnock",</w:t>
      </w:r>
    </w:p>
    <w:p>
      <w:pPr>
        <w:spacing w:before="0" w:after="0"/>
        <w:ind w:left="720"/>
      </w:pPr>
      <w:r>
        <w:rPr>
          <w:rFonts w:ascii="Courier New" w:cs="Courier New" w:eastAsia="Courier New" w:hAnsi="Courier New"/>
          <w:color w:val="2D4A3E"/>
          <w:sz w:val="18"/>
          <w:szCs w:val="18"/>
        </w:rPr>
        <w:t xml:space="preserve">  "pub_year": 1682,</w:t>
      </w:r>
    </w:p>
    <w:p>
      <w:pPr>
        <w:spacing w:before="0" w:after="0"/>
        <w:ind w:left="720"/>
      </w:pPr>
      <w:r>
        <w:rPr>
          <w:rFonts w:ascii="Courier New" w:cs="Courier New" w:eastAsia="Courier New" w:hAnsi="Courier New"/>
          <w:color w:val="2D4A3E"/>
          <w:sz w:val="18"/>
          <w:szCs w:val="18"/>
        </w:rPr>
        <w:t xml:space="preserve">  "structure": [</w:t>
      </w:r>
    </w:p>
    <w:p>
      <w:pPr>
        <w:spacing w:before="0" w:after="0"/>
        <w:ind w:left="720"/>
      </w:pPr>
      <w:r>
        <w:rPr>
          <w:rFonts w:ascii="Courier New" w:cs="Courier New" w:eastAsia="Courier New" w:hAnsi="Courier New"/>
          <w:color w:val="2D4A3E"/>
          <w:sz w:val="18"/>
          <w:szCs w:val="18"/>
        </w:rPr>
        <w:t xml:space="preserve">    {</w:t>
      </w:r>
    </w:p>
    <w:p>
      <w:pPr>
        <w:spacing w:before="0" w:after="0"/>
        <w:ind w:left="720"/>
      </w:pPr>
      <w:r>
        <w:rPr>
          <w:rFonts w:ascii="Courier New" w:cs="Courier New" w:eastAsia="Courier New" w:hAnsi="Courier New"/>
          <w:color w:val="2D4A3E"/>
          <w:sz w:val="18"/>
          <w:szCs w:val="18"/>
        </w:rPr>
        <w:t xml:space="preserve">      "level": 1,</w:t>
      </w:r>
    </w:p>
    <w:p>
      <w:pPr>
        <w:spacing w:before="0" w:after="0"/>
        <w:ind w:left="720"/>
      </w:pPr>
      <w:r>
        <w:rPr>
          <w:rFonts w:ascii="Courier New" w:cs="Courier New" w:eastAsia="Courier New" w:hAnsi="Courier New"/>
          <w:color w:val="2D4A3E"/>
          <w:sz w:val="18"/>
          <w:szCs w:val="18"/>
        </w:rPr>
        <w:t xml:space="preserve">      "heading": "Discourse I: The Existence of God",</w:t>
      </w:r>
    </w:p>
    <w:p>
      <w:pPr>
        <w:spacing w:before="0" w:after="0"/>
        <w:ind w:left="720"/>
      </w:pPr>
      <w:r>
        <w:rPr>
          <w:rFonts w:ascii="Courier New" w:cs="Courier New" w:eastAsia="Courier New" w:hAnsi="Courier New"/>
          <w:color w:val="2D4A3E"/>
          <w:sz w:val="18"/>
          <w:szCs w:val="18"/>
        </w:rPr>
        <w:t xml:space="preserve">      "start_char": 0,</w:t>
      </w:r>
    </w:p>
    <w:p>
      <w:pPr>
        <w:spacing w:before="0" w:after="0"/>
        <w:ind w:left="720"/>
      </w:pPr>
      <w:r>
        <w:rPr>
          <w:rFonts w:ascii="Courier New" w:cs="Courier New" w:eastAsia="Courier New" w:hAnsi="Courier New"/>
          <w:color w:val="2D4A3E"/>
          <w:sz w:val="18"/>
          <w:szCs w:val="18"/>
        </w:rPr>
        <w:t xml:space="preserve">      "children": [</w:t>
      </w:r>
    </w:p>
    <w:p>
      <w:pPr>
        <w:spacing w:before="0" w:after="0"/>
        <w:ind w:left="720"/>
      </w:pPr>
      <w:r>
        <w:rPr>
          <w:rFonts w:ascii="Courier New" w:cs="Courier New" w:eastAsia="Courier New" w:hAnsi="Courier New"/>
          <w:color w:val="2D4A3E"/>
          <w:sz w:val="18"/>
          <w:szCs w:val="18"/>
        </w:rPr>
        <w:t xml:space="preserve">        { "level": 2, "heading": "Doctrine", "start_char": 420 },</w:t>
      </w:r>
    </w:p>
    <w:p>
      <w:pPr>
        <w:spacing w:before="0" w:after="0"/>
        <w:ind w:left="720"/>
      </w:pPr>
      <w:r>
        <w:rPr>
          <w:rFonts w:ascii="Courier New" w:cs="Courier New" w:eastAsia="Courier New" w:hAnsi="Courier New"/>
          <w:color w:val="2D4A3E"/>
          <w:sz w:val="18"/>
          <w:szCs w:val="18"/>
        </w:rPr>
        <w:t xml:space="preserve">        { "level": 2, "heading": "Proposition I", "start_char": 890 }</w:t>
      </w:r>
    </w:p>
    <w:p>
      <w:pPr>
        <w:spacing w:before="0" w:after="0"/>
        <w:ind w:left="720"/>
      </w:pPr>
      <w:r>
        <w:rPr>
          <w:rFonts w:ascii="Courier New" w:cs="Courier New" w:eastAsia="Courier New" w:hAnsi="Courier New"/>
          <w:color w:val="2D4A3E"/>
          <w:sz w:val="18"/>
          <w:szCs w:val="18"/>
        </w:rPr>
        <w:t xml:space="preserve">      ]</w:t>
      </w:r>
    </w:p>
    <w:p>
      <w:pPr>
        <w:spacing w:before="0" w:after="0"/>
        <w:ind w:left="720"/>
      </w:pPr>
      <w:r>
        <w:rPr>
          <w:rFonts w:ascii="Courier New" w:cs="Courier New" w:eastAsia="Courier New" w:hAnsi="Courier New"/>
          <w:color w:val="2D4A3E"/>
          <w:sz w:val="18"/>
          <w:szCs w:val="18"/>
        </w:rPr>
        <w:t xml:space="preserve">    }</w:t>
      </w:r>
    </w:p>
    <w:p>
      <w:pPr>
        <w:spacing w:before="0" w:after="0"/>
        <w:ind w:left="720"/>
      </w:pPr>
      <w:r>
        <w:rPr>
          <w:rFonts w:ascii="Courier New" w:cs="Courier New" w:eastAsia="Courier New" w:hAnsi="Courier New"/>
          <w:color w:val="2D4A3E"/>
          <w:sz w:val="18"/>
          <w:szCs w:val="18"/>
        </w:rPr>
        <w:t xml:space="preserve">  ]</w:t>
      </w:r>
    </w:p>
    <w:p>
      <w:pPr>
        <w:spacing w:before="0" w:after="0"/>
        <w:ind w:left="720"/>
      </w:pPr>
      <w:r>
        <w:rPr>
          <w:rFonts w:ascii="Courier New" w:cs="Courier New" w:eastAsia="Courier New" w:hAnsi="Courier New"/>
          <w:color w:val="2D4A3E"/>
          <w:sz w:val="18"/>
          <w:szCs w:val="18"/>
        </w:rPr>
        <w:t xml:space="preserve">}</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Structural Signals to Detect</w:t>
      </w:r>
    </w:p>
    <w:p>
      <w:pPr>
        <w:pStyle w:val="ListParagraph"/>
        <w:numPr>
          <w:ilvl w:val="0"/>
          <w:numId w:val="2"/>
        </w:numPr>
        <w:spacing w:before="40" w:after="60"/>
      </w:pPr>
      <w:r>
        <w:rPr>
          <w:rFonts w:ascii="Arial" w:cs="Arial" w:eastAsia="Arial" w:hAnsi="Arial"/>
          <w:color w:val="333333"/>
          <w:sz w:val="21"/>
          <w:szCs w:val="21"/>
        </w:rPr>
        <w:t xml:space="preserve">Chapter and discourse headings ("Discourse I", "Chapter III")</w:t>
      </w:r>
    </w:p>
    <w:p>
      <w:pPr>
        <w:pStyle w:val="ListParagraph"/>
        <w:numPr>
          <w:ilvl w:val="0"/>
          <w:numId w:val="2"/>
        </w:numPr>
        <w:spacing w:before="40" w:after="60"/>
      </w:pPr>
      <w:r>
        <w:rPr>
          <w:rFonts w:ascii="Arial" w:cs="Arial" w:eastAsia="Arial" w:hAnsi="Arial"/>
          <w:color w:val="333333"/>
          <w:sz w:val="21"/>
          <w:szCs w:val="21"/>
        </w:rPr>
        <w:t xml:space="preserve">Numbered propositions ("Proposition IV", "First,", "Secondly,")</w:t>
      </w:r>
    </w:p>
    <w:p>
      <w:pPr>
        <w:pStyle w:val="ListParagraph"/>
        <w:numPr>
          <w:ilvl w:val="0"/>
          <w:numId w:val="2"/>
        </w:numPr>
        <w:spacing w:before="40" w:after="60"/>
      </w:pPr>
      <w:r>
        <w:rPr>
          <w:rFonts w:ascii="Arial" w:cs="Arial" w:eastAsia="Arial" w:hAnsi="Arial"/>
          <w:color w:val="333333"/>
          <w:sz w:val="21"/>
          <w:szCs w:val="21"/>
        </w:rPr>
        <w:t xml:space="preserve">Doctrinal statements ("Doctrine:", "Observation:")</w:t>
      </w:r>
    </w:p>
    <w:p>
      <w:pPr>
        <w:pStyle w:val="ListParagraph"/>
        <w:numPr>
          <w:ilvl w:val="0"/>
          <w:numId w:val="2"/>
        </w:numPr>
        <w:spacing w:before="40" w:after="60"/>
      </w:pPr>
      <w:r>
        <w:rPr>
          <w:rFonts w:ascii="Arial" w:cs="Arial" w:eastAsia="Arial" w:hAnsi="Arial"/>
          <w:color w:val="333333"/>
          <w:sz w:val="21"/>
          <w:szCs w:val="21"/>
        </w:rPr>
        <w:t xml:space="preserve">Use and application sections ("Use I:", "Application:")</w:t>
      </w:r>
    </w:p>
    <w:p>
      <w:pPr>
        <w:pStyle w:val="ListParagraph"/>
        <w:numPr>
          <w:ilvl w:val="0"/>
          <w:numId w:val="2"/>
        </w:numPr>
        <w:spacing w:before="40" w:after="60"/>
      </w:pPr>
      <w:r>
        <w:rPr>
          <w:rFonts w:ascii="Arial" w:cs="Arial" w:eastAsia="Arial" w:hAnsi="Arial"/>
          <w:color w:val="333333"/>
          <w:sz w:val="21"/>
          <w:szCs w:val="21"/>
        </w:rPr>
        <w:t xml:space="preserve">Objection/answer pairs ("Objection:", "Answer:")</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Model Selection</w:t>
      </w:r>
    </w:p>
    <w:p>
      <w:pPr>
        <w:spacing w:before="80" w:after="120"/>
      </w:pPr>
      <w:r>
        <w:rPr>
          <w:rFonts w:ascii="Arial" w:cs="Arial" w:eastAsia="Arial" w:hAnsi="Arial"/>
          <w:color w:val="333333"/>
          <w:sz w:val="21"/>
          <w:szCs w:val="21"/>
        </w:rPr>
        <w:t xml:space="preserve">Use the cheapest model that can reliably detect structural signals. Structural extraction does not require theological reasoning — it requires pattern recognition. Test against 3 texts before committing to a model for batch processing.</w:t>
      </w:r>
    </w:p>
    <w:p>
      <w:pPr>
        <w:spacing w:before="60" w:after="60"/>
      </w:pPr>
      <w:r>
        <w:t xml:space="preserve"/>
      </w:r>
    </w:p>
    <w:p>
      <w:pPr>
        <w:pBdr>
          <w:bottom w:val="single" w:color="C4A265" w:sz="4" w:space="1"/>
        </w:pBdr>
        <w:spacing w:before="240" w:after="240"/>
      </w:pPr>
    </w:p>
    <w:p>
      <w:pPr>
        <w:pStyle w:val="Heading1"/>
        <w:spacing w:before="480" w:after="160"/>
      </w:pPr>
      <w:r>
        <w:rPr>
          <w:rFonts w:ascii="Arial" w:cs="Arial" w:eastAsia="Arial" w:hAnsi="Arial"/>
          <w:b/>
          <w:bCs/>
          <w:color w:val="1A1714"/>
          <w:sz w:val="32"/>
          <w:szCs w:val="32"/>
        </w:rPr>
        <w:t xml:space="preserve">Stage 4 — Chunking (Local)</w:t>
      </w:r>
    </w:p>
    <w:p>
      <w:pPr>
        <w:spacing w:before="80" w:after="120"/>
      </w:pPr>
      <w:r>
        <w:rPr>
          <w:rFonts w:ascii="Arial" w:cs="Arial" w:eastAsia="Arial" w:hAnsi="Arial"/>
          <w:color w:val="333333"/>
          <w:sz w:val="21"/>
          <w:szCs w:val="21"/>
        </w:rPr>
        <w:t xml:space="preserve">The local chunker uses the outline.json to produce semantically coherent chunks. Unlike sermon decomposition — which identifies rhetorical function shifts — Puritan texts have explicit structural markers that define natural chunk boundaries.</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Chunking Strategy by Text Type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Text Type</w:t>
            </w:r>
          </w:p>
        </w:tc>
        <w:tc>
          <w:tcPr>
            <w:tcW w:type="dxa" w:w="22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Primary Chunk Boundary</w:t>
            </w:r>
          </w:p>
        </w:tc>
        <w:tc>
          <w:tcPr>
            <w:tcW w:type="dxa" w:w="20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Fallback</w:t>
            </w:r>
          </w:p>
        </w:tc>
        <w:tc>
          <w:tcPr>
            <w:tcW w:type="dxa" w:w="296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Typical Chunk Size</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Systematic theology (Watson, Charnock)</w:t>
            </w:r>
          </w:p>
        </w:tc>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Numbered proposition or doctrine</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Paragraph window (800–1200 words)</w:t>
            </w:r>
          </w:p>
        </w:tc>
        <w:tc>
          <w:tcPr>
            <w:tcW w:type="dxa" w:w="29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600–1500 words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Expository sermons (Spurgeon, Morgan)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Sermon — do NOT sub-chunk; pass to full decomp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 — full sermon is the unit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sermon text</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Devotional works (Brooks, Pink)</w:t>
            </w:r>
          </w:p>
        </w:tc>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Chapter or numbered section</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Paragraph window (600–1000 words)</w:t>
            </w:r>
          </w:p>
        </w:tc>
        <w:tc>
          <w:tcPr>
            <w:tcW w:type="dxa" w:w="29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400–1000 words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Commentary (Maclaren, Ryle)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Passage heading or chapter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Paragraph window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500–1200 words</w:t>
            </w:r>
          </w:p>
        </w:tc>
      </w:tr>
    </w:tbl>
    <w:p>
      <w:pPr>
        <w:spacing w:before="60" w:after="60"/>
      </w:pPr>
      <w:r>
        <w:t xml:space="preserve"/>
      </w:r>
    </w:p>
    <w:p>
      <w:pPr>
        <w:spacing w:before="80" w:after="120"/>
      </w:pPr>
      <w:r>
        <w:rPr>
          <w:rFonts w:ascii="Arial" w:cs="Arial" w:eastAsia="Arial" w:hAnsi="Arial"/>
          <w:color w:val="333333"/>
          <w:sz w:val="21"/>
          <w:szCs w:val="21"/>
        </w:rPr>
        <w:t xml:space="preserve">Important distinction: Spurgeon and Morgan sermons should NOT be chunked by the local chunker. They should be passed to the full Sermon Decomposition Spec v2 pipeline. The chunker handles systematic and devotional texts; the decomp pipeline handles sermons.</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Chunk Output Format</w:t>
      </w:r>
    </w:p>
    <w:p>
      <w:pPr>
        <w:spacing w:before="80" w:after="120"/>
      </w:pPr>
      <w:r>
        <w:rPr>
          <w:rFonts w:ascii="Arial" w:cs="Arial" w:eastAsia="Arial" w:hAnsi="Arial"/>
          <w:color w:val="333333"/>
          <w:sz w:val="21"/>
          <w:szCs w:val="21"/>
        </w:rPr>
        <w:t xml:space="preserve">Each chunk is a JSONL line:</w:t>
      </w:r>
    </w:p>
    <w:p>
      <w:pPr>
        <w:spacing w:before="0" w:after="0"/>
        <w:ind w:left="720"/>
      </w:pPr>
      <w:r>
        <w:rPr>
          <w:rFonts w:ascii="Courier New" w:cs="Courier New" w:eastAsia="Courier New" w:hAnsi="Courier New"/>
          <w:color w:val="2D4A3E"/>
          <w:sz w:val="18"/>
          <w:szCs w:val="18"/>
        </w:rPr>
        <w:t xml:space="preserve">{</w:t>
      </w:r>
    </w:p>
    <w:p>
      <w:pPr>
        <w:spacing w:before="0" w:after="0"/>
        <w:ind w:left="720"/>
      </w:pPr>
      <w:r>
        <w:rPr>
          <w:rFonts w:ascii="Courier New" w:cs="Courier New" w:eastAsia="Courier New" w:hAnsi="Courier New"/>
          <w:color w:val="2D4A3E"/>
          <w:sz w:val="18"/>
          <w:szCs w:val="18"/>
        </w:rPr>
        <w:t xml:space="preserve">  "doc_id": "charnock_existence-and-attributes_1682",</w:t>
      </w:r>
    </w:p>
    <w:p>
      <w:pPr>
        <w:spacing w:before="0" w:after="0"/>
        <w:ind w:left="720"/>
      </w:pPr>
      <w:r>
        <w:rPr>
          <w:rFonts w:ascii="Courier New" w:cs="Courier New" w:eastAsia="Courier New" w:hAnsi="Courier New"/>
          <w:color w:val="2D4A3E"/>
          <w:sz w:val="18"/>
          <w:szCs w:val="18"/>
        </w:rPr>
        <w:t xml:space="preserve">  "chunk_id": "charnock_existence-and-attributes_1682:0042",</w:t>
      </w:r>
    </w:p>
    <w:p>
      <w:pPr>
        <w:spacing w:before="0" w:after="0"/>
        <w:ind w:left="720"/>
      </w:pPr>
      <w:r>
        <w:rPr>
          <w:rFonts w:ascii="Courier New" w:cs="Courier New" w:eastAsia="Courier New" w:hAnsi="Courier New"/>
          <w:color w:val="2D4A3E"/>
          <w:sz w:val="18"/>
          <w:szCs w:val="18"/>
        </w:rPr>
        <w:t xml:space="preserve">  "title_path": ["Discourse VI", "The Holiness of God", "Proposition III"],</w:t>
      </w:r>
    </w:p>
    <w:p>
      <w:pPr>
        <w:spacing w:before="0" w:after="0"/>
        <w:ind w:left="720"/>
      </w:pPr>
      <w:r>
        <w:rPr>
          <w:rFonts w:ascii="Courier New" w:cs="Courier New" w:eastAsia="Courier New" w:hAnsi="Courier New"/>
          <w:color w:val="2D4A3E"/>
          <w:sz w:val="18"/>
          <w:szCs w:val="18"/>
        </w:rPr>
        <w:t xml:space="preserve">  "start_char": 84200,</w:t>
      </w:r>
    </w:p>
    <w:p>
      <w:pPr>
        <w:spacing w:before="0" w:after="0"/>
        <w:ind w:left="720"/>
      </w:pPr>
      <w:r>
        <w:rPr>
          <w:rFonts w:ascii="Courier New" w:cs="Courier New" w:eastAsia="Courier New" w:hAnsi="Courier New"/>
          <w:color w:val="2D4A3E"/>
          <w:sz w:val="18"/>
          <w:szCs w:val="18"/>
        </w:rPr>
        <w:t xml:space="preserve">  "end_char": 86100,</w:t>
      </w:r>
    </w:p>
    <w:p>
      <w:pPr>
        <w:spacing w:before="0" w:after="0"/>
        <w:ind w:left="720"/>
      </w:pPr>
      <w:r>
        <w:rPr>
          <w:rFonts w:ascii="Courier New" w:cs="Courier New" w:eastAsia="Courier New" w:hAnsi="Courier New"/>
          <w:color w:val="2D4A3E"/>
          <w:sz w:val="18"/>
          <w:szCs w:val="18"/>
        </w:rPr>
        <w:t xml:space="preserve">  "text": "[verbatim text of the chunk]",</w:t>
      </w:r>
    </w:p>
    <w:p>
      <w:pPr>
        <w:spacing w:before="0" w:after="0"/>
        <w:ind w:left="720"/>
      </w:pPr>
      <w:r>
        <w:rPr>
          <w:rFonts w:ascii="Courier New" w:cs="Courier New" w:eastAsia="Courier New" w:hAnsi="Courier New"/>
          <w:color w:val="2D4A3E"/>
          <w:sz w:val="18"/>
          <w:szCs w:val="18"/>
        </w:rPr>
        <w:t xml:space="preserve">  "tags": [],</w:t>
      </w:r>
    </w:p>
    <w:p>
      <w:pPr>
        <w:spacing w:before="0" w:after="0"/>
        <w:ind w:left="720"/>
      </w:pPr>
      <w:r>
        <w:rPr>
          <w:rFonts w:ascii="Courier New" w:cs="Courier New" w:eastAsia="Courier New" w:hAnsi="Courier New"/>
          <w:color w:val="2D4A3E"/>
          <w:sz w:val="18"/>
          <w:szCs w:val="18"/>
        </w:rPr>
        <w:t xml:space="preserve">  "summary": null,</w:t>
      </w:r>
    </w:p>
    <w:p>
      <w:pPr>
        <w:spacing w:before="0" w:after="0"/>
        <w:ind w:left="720"/>
      </w:pPr>
      <w:r>
        <w:rPr>
          <w:rFonts w:ascii="Courier New" w:cs="Courier New" w:eastAsia="Courier New" w:hAnsi="Courier New"/>
          <w:color w:val="2D4A3E"/>
          <w:sz w:val="18"/>
          <w:szCs w:val="18"/>
        </w:rPr>
        <w:t xml:space="preserve">  "devotional_cycle_candidates": [],</w:t>
      </w:r>
    </w:p>
    <w:p>
      <w:pPr>
        <w:spacing w:before="0" w:after="0"/>
        <w:ind w:left="720"/>
      </w:pPr>
      <w:r>
        <w:rPr>
          <w:rFonts w:ascii="Courier New" w:cs="Courier New" w:eastAsia="Courier New" w:hAnsi="Courier New"/>
          <w:color w:val="2D4A3E"/>
          <w:sz w:val="18"/>
          <w:szCs w:val="18"/>
        </w:rPr>
        <w:t xml:space="preserve">  "scripture_refs": [],</w:t>
      </w:r>
    </w:p>
    <w:p>
      <w:pPr>
        <w:spacing w:before="0" w:after="0"/>
        <w:ind w:left="720"/>
      </w:pPr>
      <w:r>
        <w:rPr>
          <w:rFonts w:ascii="Courier New" w:cs="Courier New" w:eastAsia="Courier New" w:hAnsi="Courier New"/>
          <w:color w:val="2D4A3E"/>
          <w:sz w:val="18"/>
          <w:szCs w:val="18"/>
        </w:rPr>
        <w:t xml:space="preserve">  "quotes": []</w:t>
      </w:r>
    </w:p>
    <w:p>
      <w:pPr>
        <w:spacing w:before="0" w:after="0"/>
        <w:ind w:left="720"/>
      </w:pPr>
      <w:r>
        <w:rPr>
          <w:rFonts w:ascii="Courier New" w:cs="Courier New" w:eastAsia="Courier New" w:hAnsi="Courier New"/>
          <w:color w:val="2D4A3E"/>
          <w:sz w:val="18"/>
          <w:szCs w:val="18"/>
        </w:rPr>
        <w:t xml:space="preserve">}</w:t>
      </w:r>
    </w:p>
    <w:p>
      <w:pPr>
        <w:spacing w:before="60" w:after="60"/>
      </w:pPr>
      <w:r>
        <w:t xml:space="preserve"/>
      </w:r>
    </w:p>
    <w:p>
      <w:pPr>
        <w:pBdr>
          <w:bottom w:val="single" w:color="C4A265" w:sz="4" w:space="1"/>
        </w:pBdr>
        <w:spacing w:before="240" w:after="240"/>
      </w:pPr>
    </w:p>
    <w:p>
      <w:pPr>
        <w:pStyle w:val="Heading1"/>
        <w:spacing w:before="480" w:after="160"/>
      </w:pPr>
      <w:r>
        <w:rPr>
          <w:rFonts w:ascii="Arial" w:cs="Arial" w:eastAsia="Arial" w:hAnsi="Arial"/>
          <w:b/>
          <w:bCs/>
          <w:color w:val="1A1714"/>
          <w:sz w:val="32"/>
          <w:szCs w:val="32"/>
        </w:rPr>
        <w:t xml:space="preserve">Stage 5 — Enrichment (Expensive Model)</w:t>
      </w:r>
    </w:p>
    <w:p>
      <w:pPr>
        <w:spacing w:before="80" w:after="120"/>
      </w:pPr>
      <w:r>
        <w:rPr>
          <w:rFonts w:ascii="Arial" w:cs="Arial" w:eastAsia="Arial" w:hAnsi="Arial"/>
          <w:color w:val="333333"/>
          <w:sz w:val="21"/>
          <w:szCs w:val="21"/>
        </w:rPr>
        <w:t xml:space="preserve">The enrichment stage adds semantic metadata to each raw chunk. This is where the expensive reasoning model earns its cost — theological classification, devotional tagging, scripture reference extraction, and summary generation require genuine understanding of the content.</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What the Expensive Model Adds</w:t>
      </w:r>
    </w:p>
    <w:p>
      <w:pPr>
        <w:spacing w:before="60" w:after="60"/>
      </w:pPr>
      <w:r>
        <w:t xml:space="preserve"/>
      </w:r>
    </w:p>
    <w:p>
      <w:pPr>
        <w:pStyle w:val="ListParagraph"/>
        <w:numPr>
          <w:ilvl w:val="0"/>
          <w:numId w:val="2"/>
        </w:numPr>
        <w:spacing w:before="40" w:after="60"/>
      </w:pPr>
      <w:r>
        <w:rPr>
          <w:rFonts w:ascii="Arial" w:cs="Arial" w:eastAsia="Arial" w:hAnsi="Arial"/>
          <w:b/>
          <w:bCs/>
          <w:color w:val="1A1714"/>
          <w:sz w:val="21"/>
          <w:szCs w:val="21"/>
        </w:rPr>
        <w:t xml:space="preserve">Controlled taxonomy tags from the Shepherd's Guild doctrinal loci taxonomy (same 16 categories as the sermon decomp spec) — </w:t>
      </w:r>
      <w:r>
        <w:rPr>
          <w:rFonts w:ascii="Arial" w:cs="Arial" w:eastAsia="Arial" w:hAnsi="Arial"/>
          <w:color w:val="333333"/>
          <w:sz w:val="21"/>
          <w:szCs w:val="21"/>
        </w:rPr>
        <w:t xml:space="preserve">tags</w:t>
      </w:r>
    </w:p>
    <w:p>
      <w:pPr>
        <w:pStyle w:val="ListParagraph"/>
        <w:numPr>
          <w:ilvl w:val="0"/>
          <w:numId w:val="2"/>
        </w:numPr>
        <w:spacing w:before="40" w:after="60"/>
      </w:pPr>
      <w:r>
        <w:rPr>
          <w:rFonts w:ascii="Arial" w:cs="Arial" w:eastAsia="Arial" w:hAnsi="Arial"/>
          <w:b/>
          <w:bCs/>
          <w:color w:val="1A1714"/>
          <w:sz w:val="21"/>
          <w:szCs w:val="21"/>
        </w:rPr>
        <w:t xml:space="preserve">2-3 sentence summary of what this chunk argues or asserts — </w:t>
      </w:r>
      <w:r>
        <w:rPr>
          <w:rFonts w:ascii="Arial" w:cs="Arial" w:eastAsia="Arial" w:hAnsi="Arial"/>
          <w:color w:val="333333"/>
          <w:sz w:val="21"/>
          <w:szCs w:val="21"/>
        </w:rPr>
        <w:t xml:space="preserve">summary</w:t>
      </w:r>
    </w:p>
    <w:p>
      <w:pPr>
        <w:pStyle w:val="ListParagraph"/>
        <w:numPr>
          <w:ilvl w:val="0"/>
          <w:numId w:val="2"/>
        </w:numPr>
        <w:spacing w:before="40" w:after="60"/>
      </w:pPr>
      <w:r>
        <w:rPr>
          <w:rFonts w:ascii="Arial" w:cs="Arial" w:eastAsia="Arial" w:hAnsi="Arial"/>
          <w:b/>
          <w:bCs/>
          <w:color w:val="1A1714"/>
          <w:sz w:val="21"/>
          <w:szCs w:val="21"/>
        </w:rPr>
        <w:t xml:space="preserve">One sentence. The single most important assertion in the chunk. Null if the chunk is primarily illustrative or narrative. — </w:t>
      </w:r>
      <w:r>
        <w:rPr>
          <w:rFonts w:ascii="Arial" w:cs="Arial" w:eastAsia="Arial" w:hAnsi="Arial"/>
          <w:color w:val="333333"/>
          <w:sz w:val="21"/>
          <w:szCs w:val="21"/>
        </w:rPr>
        <w:t xml:space="preserve">key_claim</w:t>
      </w:r>
    </w:p>
    <w:p>
      <w:pPr>
        <w:pStyle w:val="ListParagraph"/>
        <w:numPr>
          <w:ilvl w:val="0"/>
          <w:numId w:val="2"/>
        </w:numPr>
        <w:spacing w:before="40" w:after="60"/>
      </w:pPr>
      <w:r>
        <w:rPr>
          <w:rFonts w:ascii="Arial" w:cs="Arial" w:eastAsia="Arial" w:hAnsi="Arial"/>
          <w:b/>
          <w:bCs/>
          <w:color w:val="1A1714"/>
          <w:sz w:val="21"/>
          <w:szCs w:val="21"/>
        </w:rPr>
        <w:t xml:space="preserve">Array of scripture references cited or alluded to, with function tag (authority | echo | fulfillment | illustration) — </w:t>
      </w:r>
      <w:r>
        <w:rPr>
          <w:rFonts w:ascii="Arial" w:cs="Arial" w:eastAsia="Arial" w:hAnsi="Arial"/>
          <w:color w:val="333333"/>
          <w:sz w:val="21"/>
          <w:szCs w:val="21"/>
        </w:rPr>
        <w:t xml:space="preserve">scripture_refs</w:t>
      </w:r>
    </w:p>
    <w:p>
      <w:pPr>
        <w:pStyle w:val="ListParagraph"/>
        <w:numPr>
          <w:ilvl w:val="0"/>
          <w:numId w:val="2"/>
        </w:numPr>
        <w:spacing w:before="40" w:after="60"/>
      </w:pPr>
      <w:r>
        <w:rPr>
          <w:rFonts w:ascii="Arial" w:cs="Arial" w:eastAsia="Arial" w:hAnsi="Arial"/>
          <w:b/>
          <w:bCs/>
          <w:color w:val="1A1714"/>
          <w:sz w:val="21"/>
          <w:szCs w:val="21"/>
        </w:rPr>
        <w:t xml:space="preserve">Human authors quoted by Charnock/Watson/etc. within the chunk — attribution and source where identifiable — </w:t>
      </w:r>
      <w:r>
        <w:rPr>
          <w:rFonts w:ascii="Arial" w:cs="Arial" w:eastAsia="Arial" w:hAnsi="Arial"/>
          <w:color w:val="333333"/>
          <w:sz w:val="21"/>
          <w:szCs w:val="21"/>
        </w:rPr>
        <w:t xml:space="preserve">quotes</w:t>
      </w:r>
    </w:p>
    <w:p>
      <w:pPr>
        <w:pStyle w:val="ListParagraph"/>
        <w:numPr>
          <w:ilvl w:val="0"/>
          <w:numId w:val="2"/>
        </w:numPr>
        <w:spacing w:before="40" w:after="60"/>
      </w:pPr>
      <w:r>
        <w:rPr>
          <w:rFonts w:ascii="Arial" w:cs="Arial" w:eastAsia="Arial" w:hAnsi="Arial"/>
          <w:b/>
          <w:bCs/>
          <w:color w:val="1A1714"/>
          <w:sz w:val="21"/>
          <w:szCs w:val="21"/>
        </w:rPr>
        <w:t xml:space="preserve">For devotional database use: array of objects tagging the chunk's fitness for each day of the 3-day cycle — </w:t>
      </w:r>
      <w:r>
        <w:rPr>
          <w:rFonts w:ascii="Arial" w:cs="Arial" w:eastAsia="Arial" w:hAnsi="Arial"/>
          <w:color w:val="333333"/>
          <w:sz w:val="21"/>
          <w:szCs w:val="21"/>
        </w:rPr>
        <w:t xml:space="preserve">devotional_cycle_candidates</w:t>
      </w:r>
    </w:p>
    <w:p>
      <w:pPr>
        <w:pStyle w:val="ListParagraph"/>
        <w:numPr>
          <w:ilvl w:val="0"/>
          <w:numId w:val="2"/>
        </w:numPr>
        <w:spacing w:before="40" w:after="60"/>
      </w:pPr>
      <w:r>
        <w:rPr>
          <w:rFonts w:ascii="Arial" w:cs="Arial" w:eastAsia="Arial" w:hAnsi="Arial"/>
          <w:b/>
          <w:bCs/>
          <w:color w:val="1A1714"/>
          <w:sz w:val="21"/>
          <w:szCs w:val="21"/>
        </w:rPr>
        <w:t xml:space="preserve">Historical figures, theologians, or biblical characters mentioned — </w:t>
      </w:r>
      <w:r>
        <w:rPr>
          <w:rFonts w:ascii="Arial" w:cs="Arial" w:eastAsia="Arial" w:hAnsi="Arial"/>
          <w:color w:val="333333"/>
          <w:sz w:val="21"/>
          <w:szCs w:val="21"/>
        </w:rPr>
        <w:t xml:space="preserve">people_referenced</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The Devotional Cycle Tagging Field</w:t>
      </w:r>
    </w:p>
    <w:p>
      <w:pPr>
        <w:spacing w:before="80" w:after="120"/>
      </w:pPr>
      <w:r>
        <w:rPr>
          <w:rFonts w:ascii="Arial" w:cs="Arial" w:eastAsia="Arial" w:hAnsi="Arial"/>
          <w:color w:val="333333"/>
          <w:sz w:val="21"/>
          <w:szCs w:val="21"/>
        </w:rPr>
        <w:t xml:space="preserve">This field is specific to Millwerx and serves the Shepherd's Guild Daily pipeline. It does not exist in the sermon decomp spec.</w:t>
      </w:r>
    </w:p>
    <w:p>
      <w:pPr>
        <w:spacing w:before="60" w:after="60"/>
      </w:pPr>
      <w:r>
        <w:t xml:space="preserve"/>
      </w:r>
    </w:p>
    <w:p>
      <w:pPr>
        <w:spacing w:before="0" w:after="0"/>
        <w:ind w:left="720"/>
      </w:pPr>
      <w:r>
        <w:rPr>
          <w:rFonts w:ascii="Courier New" w:cs="Courier New" w:eastAsia="Courier New" w:hAnsi="Courier New"/>
          <w:color w:val="2D4A3E"/>
          <w:sz w:val="18"/>
          <w:szCs w:val="18"/>
        </w:rPr>
        <w:t xml:space="preserve">"devotional_cycle_candidates": [</w:t>
      </w:r>
    </w:p>
    <w:p>
      <w:pPr>
        <w:spacing w:before="0" w:after="0"/>
        <w:ind w:left="720"/>
      </w:pPr>
      <w:r>
        <w:rPr>
          <w:rFonts w:ascii="Courier New" w:cs="Courier New" w:eastAsia="Courier New" w:hAnsi="Courier New"/>
          <w:color w:val="2D4A3E"/>
          <w:sz w:val="18"/>
          <w:szCs w:val="18"/>
        </w:rPr>
        <w:t xml:space="preserve">  {</w:t>
      </w:r>
    </w:p>
    <w:p>
      <w:pPr>
        <w:spacing w:before="0" w:after="0"/>
        <w:ind w:left="720"/>
      </w:pPr>
      <w:r>
        <w:rPr>
          <w:rFonts w:ascii="Courier New" w:cs="Courier New" w:eastAsia="Courier New" w:hAnsi="Courier New"/>
          <w:color w:val="2D4A3E"/>
          <w:sz w:val="18"/>
          <w:szCs w:val="18"/>
        </w:rPr>
        <w:t xml:space="preserve">    "day": 1,</w:t>
      </w:r>
    </w:p>
    <w:p>
      <w:pPr>
        <w:spacing w:before="0" w:after="0"/>
        <w:ind w:left="720"/>
      </w:pPr>
      <w:r>
        <w:rPr>
          <w:rFonts w:ascii="Courier New" w:cs="Courier New" w:eastAsia="Courier New" w:hAnsi="Courier New"/>
          <w:color w:val="2D4A3E"/>
          <w:sz w:val="18"/>
          <w:szCs w:val="18"/>
        </w:rPr>
        <w:t xml:space="preserve">    "attribute": "Holiness",</w:t>
      </w:r>
    </w:p>
    <w:p>
      <w:pPr>
        <w:spacing w:before="0" w:after="0"/>
        <w:ind w:left="720"/>
      </w:pPr>
      <w:r>
        <w:rPr>
          <w:rFonts w:ascii="Courier New" w:cs="Courier New" w:eastAsia="Courier New" w:hAnsi="Courier New"/>
          <w:color w:val="2D4A3E"/>
          <w:sz w:val="18"/>
          <w:szCs w:val="18"/>
        </w:rPr>
        <w:t xml:space="preserve">    "fitness": "primary",</w:t>
      </w:r>
    </w:p>
    <w:p>
      <w:pPr>
        <w:spacing w:before="0" w:after="0"/>
        <w:ind w:left="720"/>
      </w:pPr>
      <w:r>
        <w:rPr>
          <w:rFonts w:ascii="Courier New" w:cs="Courier New" w:eastAsia="Courier New" w:hAnsi="Courier New"/>
          <w:color w:val="2D4A3E"/>
          <w:sz w:val="18"/>
          <w:szCs w:val="18"/>
        </w:rPr>
        <w:t xml:space="preserve">    "rationale": "Extended treatment of divine holiness as essential to God's nature."</w:t>
      </w:r>
    </w:p>
    <w:p>
      <w:pPr>
        <w:spacing w:before="0" w:after="0"/>
        <w:ind w:left="720"/>
      </w:pPr>
      <w:r>
        <w:rPr>
          <w:rFonts w:ascii="Courier New" w:cs="Courier New" w:eastAsia="Courier New" w:hAnsi="Courier New"/>
          <w:color w:val="2D4A3E"/>
          <w:sz w:val="18"/>
          <w:szCs w:val="18"/>
        </w:rPr>
        <w:t xml:space="preserve">  },</w:t>
      </w:r>
    </w:p>
    <w:p>
      <w:pPr>
        <w:spacing w:before="0" w:after="0"/>
        <w:ind w:left="720"/>
      </w:pPr>
      <w:r>
        <w:rPr>
          <w:rFonts w:ascii="Courier New" w:cs="Courier New" w:eastAsia="Courier New" w:hAnsi="Courier New"/>
          <w:color w:val="2D4A3E"/>
          <w:sz w:val="18"/>
          <w:szCs w:val="18"/>
        </w:rPr>
        <w:t xml:space="preserve">  {</w:t>
      </w:r>
    </w:p>
    <w:p>
      <w:pPr>
        <w:spacing w:before="0" w:after="0"/>
        <w:ind w:left="720"/>
      </w:pPr>
      <w:r>
        <w:rPr>
          <w:rFonts w:ascii="Courier New" w:cs="Courier New" w:eastAsia="Courier New" w:hAnsi="Courier New"/>
          <w:color w:val="2D4A3E"/>
          <w:sz w:val="18"/>
          <w:szCs w:val="18"/>
        </w:rPr>
        <w:t xml:space="preserve">    "day": 2,</w:t>
      </w:r>
    </w:p>
    <w:p>
      <w:pPr>
        <w:spacing w:before="0" w:after="0"/>
        <w:ind w:left="720"/>
      </w:pPr>
      <w:r>
        <w:rPr>
          <w:rFonts w:ascii="Courier New" w:cs="Courier New" w:eastAsia="Courier New" w:hAnsi="Courier New"/>
          <w:color w:val="2D4A3E"/>
          <w:sz w:val="18"/>
          <w:szCs w:val="18"/>
        </w:rPr>
        <w:t xml:space="preserve">    "attribute": "Holiness",</w:t>
      </w:r>
    </w:p>
    <w:p>
      <w:pPr>
        <w:spacing w:before="0" w:after="0"/>
        <w:ind w:left="720"/>
      </w:pPr>
      <w:r>
        <w:rPr>
          <w:rFonts w:ascii="Courier New" w:cs="Courier New" w:eastAsia="Courier New" w:hAnsi="Courier New"/>
          <w:color w:val="2D4A3E"/>
          <w:sz w:val="18"/>
          <w:szCs w:val="18"/>
        </w:rPr>
        <w:t xml:space="preserve">    "fitness": "secondary",</w:t>
      </w:r>
    </w:p>
    <w:p>
      <w:pPr>
        <w:spacing w:before="0" w:after="0"/>
        <w:ind w:left="720"/>
      </w:pPr>
      <w:r>
        <w:rPr>
          <w:rFonts w:ascii="Courier New" w:cs="Courier New" w:eastAsia="Courier New" w:hAnsi="Courier New"/>
          <w:color w:val="2D4A3E"/>
          <w:sz w:val="18"/>
          <w:szCs w:val="18"/>
        </w:rPr>
        <w:t xml:space="preserve">    "rationale": "Includes communicable inference: the believer must pursue holiness as image-bearer."</w:t>
      </w:r>
    </w:p>
    <w:p>
      <w:pPr>
        <w:spacing w:before="0" w:after="0"/>
        <w:ind w:left="720"/>
      </w:pPr>
      <w:r>
        <w:rPr>
          <w:rFonts w:ascii="Courier New" w:cs="Courier New" w:eastAsia="Courier New" w:hAnsi="Courier New"/>
          <w:color w:val="2D4A3E"/>
          <w:sz w:val="18"/>
          <w:szCs w:val="18"/>
        </w:rPr>
        <w:t xml:space="preserve">  }</w:t>
      </w:r>
    </w:p>
    <w:p>
      <w:pPr>
        <w:spacing w:before="0" w:after="0"/>
        <w:ind w:left="720"/>
      </w:pPr>
      <w:r>
        <w:rPr>
          <w:rFonts w:ascii="Courier New" w:cs="Courier New" w:eastAsia="Courier New" w:hAnsi="Courier New"/>
          <w:color w:val="2D4A3E"/>
          <w:sz w:val="18"/>
          <w:szCs w:val="18"/>
        </w:rPr>
        <w:t xml:space="preserve">]</w:t>
      </w:r>
    </w:p>
    <w:p>
      <w:pPr>
        <w:spacing w:before="60" w:after="60"/>
      </w:pPr>
      <w:r>
        <w:t xml:space="preserve"/>
      </w:r>
    </w:p>
    <w:p>
      <w:pPr>
        <w:spacing w:before="80" w:after="120"/>
      </w:pPr>
      <w:r>
        <w:rPr>
          <w:rFonts w:ascii="Arial" w:cs="Arial" w:eastAsia="Arial" w:hAnsi="Arial"/>
          <w:color w:val="333333"/>
          <w:sz w:val="21"/>
          <w:szCs w:val="21"/>
        </w:rPr>
        <w:t xml:space="preserve">Fitness values: primary | secondary | not_applicable</w:t>
      </w:r>
    </w:p>
    <w:p>
      <w:pPr>
        <w:spacing w:before="80" w:after="120"/>
      </w:pPr>
      <w:r>
        <w:rPr>
          <w:rFonts w:ascii="Arial" w:cs="Arial" w:eastAsia="Arial" w:hAnsi="Arial"/>
          <w:color w:val="333333"/>
          <w:sz w:val="21"/>
          <w:szCs w:val="21"/>
        </w:rPr>
        <w:t xml:space="preserve">Attribute values: use the working attribute list maintained in the devotional database (see Appendix B).</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Enrichment Quality Bar</w:t>
      </w:r>
    </w:p>
    <w:p>
      <w:pPr>
        <w:pStyle w:val="ListParagraph"/>
        <w:numPr>
          <w:ilvl w:val="0"/>
          <w:numId w:val="2"/>
        </w:numPr>
        <w:spacing w:before="40" w:after="60"/>
      </w:pPr>
      <w:r>
        <w:rPr>
          <w:rFonts w:ascii="Arial" w:cs="Arial" w:eastAsia="Arial" w:hAnsi="Arial"/>
          <w:color w:val="333333"/>
          <w:sz w:val="21"/>
          <w:szCs w:val="21"/>
        </w:rPr>
        <w:t xml:space="preserve">Doctrinal loci tags must use only the 16 controlled taxonomy values — no invented tags</w:t>
      </w:r>
    </w:p>
    <w:p>
      <w:pPr>
        <w:pStyle w:val="ListParagraph"/>
        <w:numPr>
          <w:ilvl w:val="0"/>
          <w:numId w:val="2"/>
        </w:numPr>
        <w:spacing w:before="40" w:after="60"/>
      </w:pPr>
      <w:r>
        <w:rPr>
          <w:rFonts w:ascii="Arial" w:cs="Arial" w:eastAsia="Arial" w:hAnsi="Arial"/>
          <w:color w:val="333333"/>
          <w:sz w:val="21"/>
          <w:szCs w:val="21"/>
        </w:rPr>
        <w:t xml:space="preserve">Scripture references must include book, chapter, and verse where detectable</w:t>
      </w:r>
    </w:p>
    <w:p>
      <w:pPr>
        <w:pStyle w:val="ListParagraph"/>
        <w:numPr>
          <w:ilvl w:val="0"/>
          <w:numId w:val="2"/>
        </w:numPr>
        <w:spacing w:before="40" w:after="60"/>
      </w:pPr>
      <w:r>
        <w:rPr>
          <w:rFonts w:ascii="Arial" w:cs="Arial" w:eastAsia="Arial" w:hAnsi="Arial"/>
          <w:color w:val="333333"/>
          <w:sz w:val="21"/>
          <w:szCs w:val="21"/>
        </w:rPr>
        <w:t xml:space="preserve">Devotional cycle tagging must include a rationale — bare tags without rationale are not acceptable</w:t>
      </w:r>
    </w:p>
    <w:p>
      <w:pPr>
        <w:pStyle w:val="ListParagraph"/>
        <w:numPr>
          <w:ilvl w:val="0"/>
          <w:numId w:val="2"/>
        </w:numPr>
        <w:spacing w:before="40" w:after="60"/>
      </w:pPr>
      <w:r>
        <w:rPr>
          <w:rFonts w:ascii="Arial" w:cs="Arial" w:eastAsia="Arial" w:hAnsi="Arial"/>
          <w:color w:val="333333"/>
          <w:sz w:val="21"/>
          <w:szCs w:val="21"/>
        </w:rPr>
        <w:t xml:space="preserve">Summaries must be genuine compressions of the chunk's argument, not generic descriptions</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Model Selection</w:t>
      </w:r>
    </w:p>
    <w:p>
      <w:pPr>
        <w:spacing w:before="80" w:after="120"/>
      </w:pPr>
      <w:r>
        <w:rPr>
          <w:rFonts w:ascii="Arial" w:cs="Arial" w:eastAsia="Arial" w:hAnsi="Arial"/>
          <w:color w:val="333333"/>
          <w:sz w:val="21"/>
          <w:szCs w:val="21"/>
        </w:rPr>
        <w:t xml:space="preserve">Use Claude Sonnet 4.5 as the default enrichment model — consistent with the sermon decomp pipeline. Opus available as a premium tier for texts with unusually dense theological argument or complex intertextual reasoning (e.g., Owen's more technical works).</w:t>
      </w:r>
    </w:p>
    <w:p>
      <w:pPr>
        <w:spacing w:before="60" w:after="60"/>
      </w:pPr>
      <w:r>
        <w:t xml:space="preserve"/>
      </w:r>
    </w:p>
    <w:p>
      <w:pPr>
        <w:pBdr>
          <w:bottom w:val="single" w:color="C4A265" w:sz="4" w:space="1"/>
        </w:pBdr>
        <w:spacing w:before="240" w:after="240"/>
      </w:pPr>
    </w:p>
    <w:p>
      <w:pPr>
        <w:pStyle w:val="Heading1"/>
        <w:spacing w:before="480" w:after="160"/>
      </w:pPr>
      <w:r>
        <w:rPr>
          <w:rFonts w:ascii="Arial" w:cs="Arial" w:eastAsia="Arial" w:hAnsi="Arial"/>
          <w:b/>
          <w:bCs/>
          <w:color w:val="1A1714"/>
          <w:sz w:val="32"/>
          <w:szCs w:val="32"/>
        </w:rPr>
        <w:t xml:space="preserve">The Sermon Track — Full Decomp for Preacher Corpora</w:t>
      </w:r>
    </w:p>
    <w:p>
      <w:pPr>
        <w:spacing w:before="80" w:after="120"/>
      </w:pPr>
      <w:r>
        <w:rPr>
          <w:rFonts w:ascii="Arial" w:cs="Arial" w:eastAsia="Arial" w:hAnsi="Arial"/>
          <w:color w:val="333333"/>
          <w:sz w:val="21"/>
          <w:szCs w:val="21"/>
        </w:rPr>
        <w:t xml:space="preserve">Spurgeon, Morgan, Maclaren, and other preacher corpora are NOT processed through the tri-stage chunker. They go through the full Sermon Decomposition Spec v2 pipeline. This is a separate track within Millwerx.</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Why Sermons Get Their Own Track</w:t>
      </w:r>
    </w:p>
    <w:p>
      <w:pPr>
        <w:pStyle w:val="ListParagraph"/>
        <w:numPr>
          <w:ilvl w:val="0"/>
          <w:numId w:val="2"/>
        </w:numPr>
        <w:spacing w:before="40" w:after="60"/>
      </w:pPr>
      <w:r>
        <w:rPr>
          <w:rFonts w:ascii="Arial" w:cs="Arial" w:eastAsia="Arial" w:hAnsi="Arial"/>
          <w:color w:val="333333"/>
          <w:sz w:val="21"/>
          <w:szCs w:val="21"/>
        </w:rPr>
        <w:t xml:space="preserve">Sermons have no reliable structural headings — the chunker's primary boundary detection fails</w:t>
      </w:r>
    </w:p>
    <w:p>
      <w:pPr>
        <w:pStyle w:val="ListParagraph"/>
        <w:numPr>
          <w:ilvl w:val="0"/>
          <w:numId w:val="2"/>
        </w:numPr>
        <w:spacing w:before="40" w:after="60"/>
      </w:pPr>
      <w:r>
        <w:rPr>
          <w:rFonts w:ascii="Arial" w:cs="Arial" w:eastAsia="Arial" w:hAnsi="Arial"/>
          <w:color w:val="333333"/>
          <w:sz w:val="21"/>
          <w:szCs w:val="21"/>
        </w:rPr>
        <w:t xml:space="preserve">The rhetorical function identification (exposition vs. theological_claim vs. illustration vs. application) requires the full reasoning model for boundary detection — it cannot be pre-processed cheaply</w:t>
      </w:r>
    </w:p>
    <w:p>
      <w:pPr>
        <w:pStyle w:val="ListParagraph"/>
        <w:numPr>
          <w:ilvl w:val="0"/>
          <w:numId w:val="2"/>
        </w:numPr>
        <w:spacing w:before="40" w:after="60"/>
      </w:pPr>
      <w:r>
        <w:rPr>
          <w:rFonts w:ascii="Arial" w:cs="Arial" w:eastAsia="Arial" w:hAnsi="Arial"/>
          <w:color w:val="333333"/>
          <w:sz w:val="21"/>
          <w:szCs w:val="21"/>
        </w:rPr>
        <w:t xml:space="preserve">The three-tier citation architecture (primary text / cross-references / human quotations) is incompatible with the generic scripture_refs field</w:t>
      </w:r>
    </w:p>
    <w:p>
      <w:pPr>
        <w:pStyle w:val="ListParagraph"/>
        <w:numPr>
          <w:ilvl w:val="0"/>
          <w:numId w:val="2"/>
        </w:numPr>
        <w:spacing w:before="40" w:after="60"/>
      </w:pPr>
      <w:r>
        <w:rPr>
          <w:rFonts w:ascii="Arial" w:cs="Arial" w:eastAsia="Arial" w:hAnsi="Arial"/>
          <w:color w:val="333333"/>
          <w:sz w:val="21"/>
          <w:szCs w:val="21"/>
        </w:rPr>
        <w:t xml:space="preserve">The output feeds the Guild Hall reference library and Forge coaching benchmarks — these require the richer sermon-level metadata (sermon_type, hermeneutical_method, main_thesis, etc.)</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Sermon Track Workflow</w:t>
      </w:r>
    </w:p>
    <w:p>
      <w:pPr>
        <w:pStyle w:val="ListParagraph"/>
        <w:numPr>
          <w:ilvl w:val="0"/>
          <w:numId w:val="2"/>
        </w:numPr>
        <w:spacing w:before="40" w:after="60"/>
      </w:pPr>
      <w:r>
        <w:rPr>
          <w:rFonts w:ascii="Arial" w:cs="Arial" w:eastAsia="Arial" w:hAnsi="Arial"/>
          <w:color w:val="333333"/>
          <w:sz w:val="21"/>
          <w:szCs w:val="21"/>
        </w:rPr>
        <w:t xml:space="preserve">Acquire and clean sermon text (same acquisition and cleaning process as above)</w:t>
      </w:r>
    </w:p>
    <w:p>
      <w:pPr>
        <w:pStyle w:val="ListParagraph"/>
        <w:numPr>
          <w:ilvl w:val="0"/>
          <w:numId w:val="2"/>
        </w:numPr>
        <w:spacing w:before="40" w:after="60"/>
      </w:pPr>
      <w:r>
        <w:rPr>
          <w:rFonts w:ascii="Arial" w:cs="Arial" w:eastAsia="Arial" w:hAnsi="Arial"/>
          <w:color w:val="333333"/>
          <w:sz w:val="21"/>
          <w:szCs w:val="21"/>
        </w:rPr>
        <w:t xml:space="preserve">Pass full sermon text to Claude Sonnet 4.5 with Sermon Decomposition Spec v2 as system prompt</w:t>
      </w:r>
    </w:p>
    <w:p>
      <w:pPr>
        <w:pStyle w:val="ListParagraph"/>
        <w:numPr>
          <w:ilvl w:val="0"/>
          <w:numId w:val="2"/>
        </w:numPr>
        <w:spacing w:before="40" w:after="60"/>
      </w:pPr>
      <w:r>
        <w:rPr>
          <w:rFonts w:ascii="Arial" w:cs="Arial" w:eastAsia="Arial" w:hAnsi="Arial"/>
          <w:color w:val="333333"/>
          <w:sz w:val="21"/>
          <w:szCs w:val="21"/>
        </w:rPr>
        <w:t xml:space="preserve">QA spot-check output against spec — verify taxonomy compliance, unit boundary accuracy, citation tier separation</w:t>
      </w:r>
    </w:p>
    <w:p>
      <w:pPr>
        <w:pStyle w:val="ListParagraph"/>
        <w:numPr>
          <w:ilvl w:val="0"/>
          <w:numId w:val="2"/>
        </w:numPr>
        <w:spacing w:before="40" w:after="60"/>
      </w:pPr>
      <w:r>
        <w:rPr>
          <w:rFonts w:ascii="Arial" w:cs="Arial" w:eastAsia="Arial" w:hAnsi="Arial"/>
          <w:color w:val="333333"/>
          <w:sz w:val="21"/>
          <w:szCs w:val="21"/>
        </w:rPr>
        <w:t xml:space="preserve">Store in Supabase sermon corpus with church_id = "reference_library" to isolate from pastor corpora</w:t>
      </w:r>
    </w:p>
    <w:p>
      <w:pPr>
        <w:pStyle w:val="ListParagraph"/>
        <w:numPr>
          <w:ilvl w:val="0"/>
          <w:numId w:val="2"/>
        </w:numPr>
        <w:spacing w:before="40" w:after="60"/>
      </w:pPr>
      <w:r>
        <w:rPr>
          <w:rFonts w:ascii="Arial" w:cs="Arial" w:eastAsia="Arial" w:hAnsi="Arial"/>
          <w:color w:val="333333"/>
          <w:sz w:val="21"/>
          <w:szCs w:val="21"/>
        </w:rPr>
        <w:t xml:space="preserve">Generate homiletical profile from decomposed corpus for Guild Hall exhibit</w:t>
      </w:r>
    </w:p>
    <w:p>
      <w:pPr>
        <w:spacing w:before="60" w:after="60"/>
      </w:pPr>
      <w:r>
        <w:t xml:space="preserve"/>
      </w:r>
    </w:p>
    <w:p>
      <w:pPr>
        <w:pBdr>
          <w:bottom w:val="single" w:color="C4A265" w:sz="4" w:space="1"/>
        </w:pBdr>
        <w:spacing w:before="240" w:after="240"/>
      </w:pPr>
    </w:p>
    <w:p>
      <w:pPr>
        <w:pStyle w:val="Heading1"/>
        <w:spacing w:before="480" w:after="160"/>
      </w:pPr>
      <w:r>
        <w:rPr>
          <w:rFonts w:ascii="Arial" w:cs="Arial" w:eastAsia="Arial" w:hAnsi="Arial"/>
          <w:b/>
          <w:bCs/>
          <w:color w:val="1A1714"/>
          <w:sz w:val="32"/>
          <w:szCs w:val="32"/>
        </w:rPr>
        <w:t xml:space="preserve">Output Storage and Routing</w:t>
      </w:r>
    </w:p>
    <w:p>
      <w:pPr>
        <w:spacing w:before="80" w:after="120"/>
      </w:pPr>
      <w:r>
        <w:rPr>
          <w:rFonts w:ascii="Arial" w:cs="Arial" w:eastAsia="Arial" w:hAnsi="Arial"/>
          <w:color w:val="333333"/>
          <w:sz w:val="21"/>
          <w:szCs w:val="21"/>
        </w:rPr>
        <w:t xml:space="preserve">Millwerx output feeds three separate stores. Each store has a distinct schema and query pattern.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Output Store</w:t>
            </w:r>
          </w:p>
        </w:tc>
        <w:tc>
          <w:tcPr>
            <w:tcW w:type="dxa" w:w="25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Contents</w:t>
            </w:r>
          </w:p>
        </w:tc>
        <w:tc>
          <w:tcPr>
            <w:tcW w:type="dxa" w:w="22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Schema</w:t>
            </w:r>
          </w:p>
        </w:tc>
        <w:tc>
          <w:tcPr>
            <w:tcW w:type="dxa" w:w="246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Primary Consumer</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Reference Library (Supabase)</w:t>
            </w:r>
          </w:p>
        </w:tc>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Decomposed sermon corpora from public domain preachers</w:t>
            </w:r>
          </w:p>
        </w:tc>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Sermon Decomp Spec v2 JSON</w:t>
            </w:r>
          </w:p>
        </w:tc>
        <w:tc>
          <w:tcPr>
            <w:tcW w:type="dxa" w:w="24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Guild Hall, Forge coaching benchmarks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Devotional Database (Supabase)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Enriched chunks tagged for 3-day devotional cycle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Millwerx enriched JSONL + devotional_cycle_candidates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Shepherd's Guild Daily</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TRAININGDATA Corpus</w:t>
            </w:r>
          </w:p>
        </w:tc>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All Millwerx outputs with full annotation, provenance chain, licensing docs</w:t>
            </w:r>
          </w:p>
        </w:tc>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Flat JSONL optimized for ML consumption</w:t>
            </w:r>
          </w:p>
        </w:tc>
        <w:tc>
          <w:tcPr>
            <w:tcW w:type="dxa" w:w="24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AI lab licensing</w:t>
            </w:r>
          </w:p>
        </w:tc>
      </w:tr>
    </w:tbl>
    <w:p>
      <w:pPr>
        <w:spacing w:before="60" w:after="60"/>
      </w:pPr>
      <w:r>
        <w:t xml:space="preserve"/>
      </w:r>
    </w:p>
    <w:p>
      <w:pPr>
        <w:pStyle w:val="Heading2"/>
        <w:spacing w:before="320" w:after="100"/>
      </w:pPr>
      <w:r>
        <w:rPr>
          <w:rFonts w:ascii="Arial" w:cs="Arial" w:eastAsia="Arial" w:hAnsi="Arial"/>
          <w:b/>
          <w:bCs/>
          <w:color w:val="2D4A3E"/>
          <w:sz w:val="26"/>
          <w:szCs w:val="26"/>
        </w:rPr>
        <w:t xml:space="preserve">Provenance Record (Required for Every Text)</w:t>
      </w:r>
    </w:p>
    <w:p>
      <w:pPr>
        <w:spacing w:before="80" w:after="120"/>
      </w:pPr>
      <w:r>
        <w:rPr>
          <w:rFonts w:ascii="Arial" w:cs="Arial" w:eastAsia="Arial" w:hAnsi="Arial"/>
          <w:color w:val="333333"/>
          <w:sz w:val="21"/>
          <w:szCs w:val="21"/>
        </w:rPr>
        <w:t xml:space="preserve">Every text processed through Millwerx must have a provenance record stored alongside its output. This is non-negotiable for TRAININGDATA commercial licensing.</w:t>
      </w:r>
    </w:p>
    <w:p>
      <w:pPr>
        <w:pStyle w:val="ListParagraph"/>
        <w:numPr>
          <w:ilvl w:val="0"/>
          <w:numId w:val="2"/>
        </w:numPr>
        <w:spacing w:before="40" w:after="60"/>
      </w:pPr>
      <w:r>
        <w:rPr>
          <w:rFonts w:ascii="Arial" w:cs="Arial" w:eastAsia="Arial" w:hAnsi="Arial"/>
          <w:color w:val="333333"/>
          <w:sz w:val="21"/>
          <w:szCs w:val="21"/>
        </w:rPr>
        <w:t xml:space="preserve">Author name and dates</w:t>
      </w:r>
    </w:p>
    <w:p>
      <w:pPr>
        <w:pStyle w:val="ListParagraph"/>
        <w:numPr>
          <w:ilvl w:val="0"/>
          <w:numId w:val="2"/>
        </w:numPr>
        <w:spacing w:before="40" w:after="60"/>
      </w:pPr>
      <w:r>
        <w:rPr>
          <w:rFonts w:ascii="Arial" w:cs="Arial" w:eastAsia="Arial" w:hAnsi="Arial"/>
          <w:color w:val="333333"/>
          <w:sz w:val="21"/>
          <w:szCs w:val="21"/>
        </w:rPr>
        <w:t xml:space="preserve">Title and original publication date</w:t>
      </w:r>
    </w:p>
    <w:p>
      <w:pPr>
        <w:pStyle w:val="ListParagraph"/>
        <w:numPr>
          <w:ilvl w:val="0"/>
          <w:numId w:val="2"/>
        </w:numPr>
        <w:spacing w:before="40" w:after="60"/>
      </w:pPr>
      <w:r>
        <w:rPr>
          <w:rFonts w:ascii="Arial" w:cs="Arial" w:eastAsia="Arial" w:hAnsi="Arial"/>
          <w:color w:val="333333"/>
          <w:sz w:val="21"/>
          <w:szCs w:val="21"/>
        </w:rPr>
        <w:t xml:space="preserve">Source repository and URL</w:t>
      </w:r>
    </w:p>
    <w:p>
      <w:pPr>
        <w:pStyle w:val="ListParagraph"/>
        <w:numPr>
          <w:ilvl w:val="0"/>
          <w:numId w:val="2"/>
        </w:numPr>
        <w:spacing w:before="40" w:after="60"/>
      </w:pPr>
      <w:r>
        <w:rPr>
          <w:rFonts w:ascii="Arial" w:cs="Arial" w:eastAsia="Arial" w:hAnsi="Arial"/>
          <w:color w:val="333333"/>
          <w:sz w:val="21"/>
          <w:szCs w:val="21"/>
        </w:rPr>
        <w:t xml:space="preserve">Download date</w:t>
      </w:r>
    </w:p>
    <w:p>
      <w:pPr>
        <w:pStyle w:val="ListParagraph"/>
        <w:numPr>
          <w:ilvl w:val="0"/>
          <w:numId w:val="2"/>
        </w:numPr>
        <w:spacing w:before="40" w:after="60"/>
      </w:pPr>
      <w:r>
        <w:rPr>
          <w:rFonts w:ascii="Arial" w:cs="Arial" w:eastAsia="Arial" w:hAnsi="Arial"/>
          <w:color w:val="333333"/>
          <w:sz w:val="21"/>
          <w:szCs w:val="21"/>
        </w:rPr>
        <w:t xml:space="preserve">Public domain verification method and basis</w:t>
      </w:r>
    </w:p>
    <w:p>
      <w:pPr>
        <w:pStyle w:val="ListParagraph"/>
        <w:numPr>
          <w:ilvl w:val="0"/>
          <w:numId w:val="2"/>
        </w:numPr>
        <w:spacing w:before="40" w:after="60"/>
      </w:pPr>
      <w:r>
        <w:rPr>
          <w:rFonts w:ascii="Arial" w:cs="Arial" w:eastAsia="Arial" w:hAnsi="Arial"/>
          <w:color w:val="333333"/>
          <w:sz w:val="21"/>
          <w:szCs w:val="21"/>
        </w:rPr>
        <w:t xml:space="preserve">Edition/version used</w:t>
      </w:r>
    </w:p>
    <w:p>
      <w:pPr>
        <w:pStyle w:val="ListParagraph"/>
        <w:numPr>
          <w:ilvl w:val="0"/>
          <w:numId w:val="2"/>
        </w:numPr>
        <w:spacing w:before="40" w:after="60"/>
      </w:pPr>
      <w:r>
        <w:rPr>
          <w:rFonts w:ascii="Arial" w:cs="Arial" w:eastAsia="Arial" w:hAnsi="Arial"/>
          <w:color w:val="333333"/>
          <w:sz w:val="21"/>
          <w:szCs w:val="21"/>
        </w:rPr>
        <w:t xml:space="preserve">Any cleaning decisions that deviated from the original text</w:t>
      </w:r>
    </w:p>
    <w:p>
      <w:pPr>
        <w:spacing w:before="60" w:after="60"/>
      </w:pPr>
      <w:r>
        <w:t xml:space="preserve"/>
      </w:r>
    </w:p>
    <w:p>
      <w:pPr>
        <w:pBdr>
          <w:bottom w:val="single" w:color="C4A265" w:sz="4" w:space="1"/>
        </w:pBdr>
        <w:spacing w:before="240" w:after="240"/>
      </w:pPr>
    </w:p>
    <w:p>
      <w:pPr>
        <w:pStyle w:val="Heading1"/>
        <w:spacing w:before="480" w:after="160"/>
      </w:pPr>
      <w:r>
        <w:rPr>
          <w:rFonts w:ascii="Arial" w:cs="Arial" w:eastAsia="Arial" w:hAnsi="Arial"/>
          <w:b/>
          <w:bCs/>
          <w:color w:val="1A1714"/>
          <w:sz w:val="32"/>
          <w:szCs w:val="32"/>
        </w:rPr>
        <w:t xml:space="preserve">Quality Control</w:t>
      </w:r>
    </w:p>
    <w:p>
      <w:pPr>
        <w:pStyle w:val="Heading2"/>
        <w:spacing w:before="320" w:after="100"/>
      </w:pPr>
      <w:r>
        <w:rPr>
          <w:rFonts w:ascii="Arial" w:cs="Arial" w:eastAsia="Arial" w:hAnsi="Arial"/>
          <w:b/>
          <w:bCs/>
          <w:color w:val="2D4A3E"/>
          <w:sz w:val="26"/>
          <w:szCs w:val="26"/>
        </w:rPr>
        <w:t xml:space="preserve">Per-Text QA Checklist</w:t>
      </w:r>
    </w:p>
    <w:p>
      <w:pPr>
        <w:pStyle w:val="ListParagraph"/>
        <w:numPr>
          <w:ilvl w:val="0"/>
          <w:numId w:val="2"/>
        </w:numPr>
        <w:spacing w:before="40" w:after="60"/>
      </w:pPr>
      <w:r>
        <w:rPr>
          <w:rFonts w:ascii="Arial" w:cs="Arial" w:eastAsia="Arial" w:hAnsi="Arial"/>
          <w:color w:val="333333"/>
          <w:sz w:val="21"/>
          <w:szCs w:val="21"/>
        </w:rPr>
        <w:t xml:space="preserve">Acquisition log entry complete with provenance record</w:t>
      </w:r>
    </w:p>
    <w:p>
      <w:pPr>
        <w:pStyle w:val="ListParagraph"/>
        <w:numPr>
          <w:ilvl w:val="0"/>
          <w:numId w:val="2"/>
        </w:numPr>
        <w:spacing w:before="40" w:after="60"/>
      </w:pPr>
      <w:r>
        <w:rPr>
          <w:rFonts w:ascii="Arial" w:cs="Arial" w:eastAsia="Arial" w:hAnsi="Arial"/>
          <w:color w:val="333333"/>
          <w:sz w:val="21"/>
          <w:szCs w:val="21"/>
        </w:rPr>
        <w:t xml:space="preserve">Cleaning spot-check passed (3 random passages read, no artifacts)</w:t>
      </w:r>
    </w:p>
    <w:p>
      <w:pPr>
        <w:pStyle w:val="ListParagraph"/>
        <w:numPr>
          <w:ilvl w:val="0"/>
          <w:numId w:val="2"/>
        </w:numPr>
        <w:spacing w:before="40" w:after="60"/>
      </w:pPr>
      <w:r>
        <w:rPr>
          <w:rFonts w:ascii="Arial" w:cs="Arial" w:eastAsia="Arial" w:hAnsi="Arial"/>
          <w:color w:val="333333"/>
          <w:sz w:val="21"/>
          <w:szCs w:val="21"/>
        </w:rPr>
        <w:t xml:space="preserve">Structure extraction produced valid, parseable outline.json</w:t>
      </w:r>
    </w:p>
    <w:p>
      <w:pPr>
        <w:pStyle w:val="ListParagraph"/>
        <w:numPr>
          <w:ilvl w:val="0"/>
          <w:numId w:val="2"/>
        </w:numPr>
        <w:spacing w:before="40" w:after="60"/>
      </w:pPr>
      <w:r>
        <w:rPr>
          <w:rFonts w:ascii="Arial" w:cs="Arial" w:eastAsia="Arial" w:hAnsi="Arial"/>
          <w:color w:val="333333"/>
          <w:sz w:val="21"/>
          <w:szCs w:val="21"/>
        </w:rPr>
        <w:t xml:space="preserve">Chunking respected document structure — no chunks split mid-argument</w:t>
      </w:r>
    </w:p>
    <w:p>
      <w:pPr>
        <w:pStyle w:val="ListParagraph"/>
        <w:numPr>
          <w:ilvl w:val="0"/>
          <w:numId w:val="2"/>
        </w:numPr>
        <w:spacing w:before="40" w:after="60"/>
      </w:pPr>
      <w:r>
        <w:rPr>
          <w:rFonts w:ascii="Arial" w:cs="Arial" w:eastAsia="Arial" w:hAnsi="Arial"/>
          <w:color w:val="333333"/>
          <w:sz w:val="21"/>
          <w:szCs w:val="21"/>
        </w:rPr>
        <w:t xml:space="preserve">Enrichment taxonomy compliance: only controlled tag values used</w:t>
      </w:r>
    </w:p>
    <w:p>
      <w:pPr>
        <w:pStyle w:val="ListParagraph"/>
        <w:numPr>
          <w:ilvl w:val="0"/>
          <w:numId w:val="2"/>
        </w:numPr>
        <w:spacing w:before="40" w:after="60"/>
      </w:pPr>
      <w:r>
        <w:rPr>
          <w:rFonts w:ascii="Arial" w:cs="Arial" w:eastAsia="Arial" w:hAnsi="Arial"/>
          <w:color w:val="333333"/>
          <w:sz w:val="21"/>
          <w:szCs w:val="21"/>
        </w:rPr>
        <w:t xml:space="preserve">Devotional cycle tagging includes rationale for all primary and secondary tags</w:t>
      </w:r>
    </w:p>
    <w:p>
      <w:pPr>
        <w:pStyle w:val="ListParagraph"/>
        <w:numPr>
          <w:ilvl w:val="0"/>
          <w:numId w:val="2"/>
        </w:numPr>
        <w:spacing w:before="40" w:after="60"/>
      </w:pPr>
      <w:r>
        <w:rPr>
          <w:rFonts w:ascii="Arial" w:cs="Arial" w:eastAsia="Arial" w:hAnsi="Arial"/>
          <w:color w:val="333333"/>
          <w:sz w:val="21"/>
          <w:szCs w:val="21"/>
        </w:rPr>
        <w:t xml:space="preserve">Scripture references include book/chapter/verse where detectable</w:t>
      </w:r>
    </w:p>
    <w:p>
      <w:pPr>
        <w:pStyle w:val="ListParagraph"/>
        <w:numPr>
          <w:ilvl w:val="0"/>
          <w:numId w:val="2"/>
        </w:numPr>
        <w:spacing w:before="40" w:after="60"/>
      </w:pPr>
      <w:r>
        <w:rPr>
          <w:rFonts w:ascii="Arial" w:cs="Arial" w:eastAsia="Arial" w:hAnsi="Arial"/>
          <w:color w:val="333333"/>
          <w:sz w:val="21"/>
          <w:szCs w:val="21"/>
        </w:rPr>
        <w:t xml:space="preserve">Verbatim text in chunk.text field — no paraphrase, no cleanup, no modernization</w:t>
      </w:r>
    </w:p>
    <w:p>
      <w:pPr>
        <w:spacing w:before="60" w:after="60"/>
      </w:pPr>
      <w:r>
        <w:t xml:space="preserve"/>
      </w:r>
    </w:p>
    <w:p>
      <w:pPr>
        <w:pStyle w:val="Heading2"/>
        <w:spacing w:before="320" w:after="100"/>
      </w:pPr>
      <w:r>
        <w:rPr>
          <w:rFonts w:ascii="Arial" w:cs="Arial" w:eastAsia="Arial" w:hAnsi="Arial"/>
          <w:b/>
          <w:bCs/>
          <w:color w:val="2D4A3E"/>
          <w:sz w:val="26"/>
          <w:szCs w:val="26"/>
        </w:rPr>
        <w:t xml:space="preserve">Batch QA</w:t>
      </w:r>
    </w:p>
    <w:p>
      <w:pPr>
        <w:spacing w:before="80" w:after="120"/>
      </w:pPr>
      <w:r>
        <w:rPr>
          <w:rFonts w:ascii="Arial" w:cs="Arial" w:eastAsia="Arial" w:hAnsi="Arial"/>
          <w:color w:val="333333"/>
          <w:sz w:val="21"/>
          <w:szCs w:val="21"/>
        </w:rPr>
        <w:t xml:space="preserve">For each batch of 20+ chunks from a single text, spot-check 10% (minimum 5 chunks) against the QA checklist. Flag any taxonomy drift immediately — if the model is inventing tag values not in the controlled taxonomy, halt processing and add a guardrail to the enrichment prompt before continuing.</w:t>
      </w:r>
    </w:p>
    <w:p>
      <w:pPr>
        <w:spacing w:before="60" w:after="60"/>
      </w:pPr>
      <w:r>
        <w:t xml:space="preserve"/>
      </w:r>
    </w:p>
    <w:p>
      <w:pPr>
        <w:pBdr>
          <w:bottom w:val="single" w:color="C4A265" w:sz="4" w:space="1"/>
        </w:pBdr>
        <w:spacing w:before="240" w:after="240"/>
      </w:pPr>
    </w:p>
    <w:p>
      <w:pPr>
        <w:pStyle w:val="Heading1"/>
        <w:spacing w:before="480" w:after="160"/>
      </w:pPr>
      <w:r>
        <w:rPr>
          <w:rFonts w:ascii="Arial" w:cs="Arial" w:eastAsia="Arial" w:hAnsi="Arial"/>
          <w:b/>
          <w:bCs/>
          <w:color w:val="1A1714"/>
          <w:sz w:val="32"/>
          <w:szCs w:val="32"/>
        </w:rPr>
        <w:t xml:space="preserve">Cost Model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3060"/>
      </w:tblGrid>
      <w:tr>
        <w:trPr>
          <w:tblHeader/>
        </w:trPr>
        <w:tc>
          <w:tcPr>
            <w:tcW w:type="dxa" w:w="25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Stage</w:t>
            </w:r>
          </w:p>
        </w:tc>
        <w:tc>
          <w:tcPr>
            <w:tcW w:type="dxa" w:w="20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Model</w:t>
            </w:r>
          </w:p>
        </w:tc>
        <w:tc>
          <w:tcPr>
            <w:tcW w:type="dxa" w:w="18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Estimated Cost</w:t>
            </w:r>
          </w:p>
        </w:tc>
        <w:tc>
          <w:tcPr>
            <w:tcW w:type="dxa" w:w="306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Notes</w:t>
            </w:r>
          </w:p>
        </w:tc>
      </w:tr>
      <w:tr>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Structure extraction (Stage 3)</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Cheap/fast model</w:t>
            </w:r>
          </w:p>
        </w:tc>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~$0.01–0.05 per text</w:t>
            </w:r>
          </w:p>
        </w:tc>
        <w:tc>
          <w:tcPr>
            <w:tcW w:type="dxa" w:w="30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One-time per document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Chunking (Stage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Local Python 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API cost</w:t>
            </w:r>
          </w:p>
        </w:tc>
      </w:tr>
      <w:tr>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Enrichment (Stage 5)</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Claude Sonnet 4.5</w:t>
            </w:r>
          </w:p>
        </w:tc>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~$0.02–0.08 per chunk</w:t>
            </w:r>
          </w:p>
        </w:tc>
        <w:tc>
          <w:tcPr>
            <w:tcW w:type="dxa" w:w="30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Dominant cost; ~20–40 chunks per chapter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Sermon decomp (Sermon Track)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Claude Sonnet 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~$0.80–1.00 per sermon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Validated — per existing stack</w:t>
            </w:r>
          </w:p>
        </w:tc>
      </w:tr>
      <w:tr>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Full book enrichment (e.g., Charnock)</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Sonnet 4.5</w:t>
            </w:r>
          </w:p>
        </w:tc>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~$5–15 per book</w:t>
            </w:r>
          </w:p>
        </w:tc>
        <w:tc>
          <w:tcPr>
            <w:tcW w:type="dxa" w:w="30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Estimate; depends on length and chunk density</w:t>
            </w:r>
          </w:p>
        </w:tc>
      </w:tr>
    </w:tbl>
    <w:p>
      <w:pPr>
        <w:spacing w:before="60" w:after="60"/>
      </w:pPr>
      <w:r>
        <w:t xml:space="preserve"/>
      </w:r>
    </w:p>
    <w:p>
      <w:pPr>
        <w:spacing w:before="80" w:after="120"/>
      </w:pPr>
      <w:r>
        <w:rPr>
          <w:rFonts w:ascii="Arial" w:cs="Arial" w:eastAsia="Arial" w:hAnsi="Arial"/>
          <w:color w:val="333333"/>
          <w:sz w:val="21"/>
          <w:szCs w:val="21"/>
        </w:rPr>
        <w:t xml:space="preserve">Processing economics are strong. A complete Charnock corpus at $10–15 produces a permanent devotional database asset feeding Shepherd's Guild Daily indefinitely. Cost is a one-time investment; value compounds with every devotional sent.</w:t>
      </w:r>
    </w:p>
    <w:p>
      <w:pPr>
        <w:spacing w:before="60" w:after="60"/>
      </w:pPr>
      <w:r>
        <w:t xml:space="preserve"/>
      </w:r>
    </w:p>
    <w:p>
      <w:pPr>
        <w:pBdr>
          <w:bottom w:val="single" w:color="C4A265" w:sz="4" w:space="1"/>
        </w:pBdr>
        <w:spacing w:before="240" w:after="240"/>
      </w:pPr>
    </w:p>
    <w:p>
      <w:pPr>
        <w:pStyle w:val="Heading1"/>
        <w:spacing w:before="480" w:after="160"/>
      </w:pPr>
      <w:r>
        <w:rPr>
          <w:rFonts w:ascii="Arial" w:cs="Arial" w:eastAsia="Arial" w:hAnsi="Arial"/>
          <w:b/>
          <w:bCs/>
          <w:color w:val="1A1714"/>
          <w:sz w:val="32"/>
          <w:szCs w:val="32"/>
        </w:rPr>
        <w:t xml:space="preserve">Appendix A — Acquisition Registry Template</w:t>
      </w:r>
    </w:p>
    <w:p>
      <w:pPr>
        <w:spacing w:before="80" w:after="120"/>
      </w:pPr>
      <w:r>
        <w:rPr>
          <w:rFonts w:ascii="Arial" w:cs="Arial" w:eastAsia="Arial" w:hAnsi="Arial"/>
          <w:color w:val="333333"/>
          <w:sz w:val="21"/>
          <w:szCs w:val="21"/>
        </w:rPr>
        <w:t xml:space="preserve">Maintain one row per acquired text in the Millwerx acquisition registry.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Field</w:t>
            </w:r>
          </w:p>
        </w:tc>
        <w:tc>
          <w:tcPr>
            <w:tcW w:type="dxa" w:w="636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Example</w:t>
            </w:r>
          </w:p>
        </w:tc>
      </w:tr>
      <w:tr>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doc_id</w:t>
            </w:r>
          </w:p>
        </w:tc>
        <w:tc>
          <w:tcPr>
            <w:tcW w:type="dxa" w:w="6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charnock_existence-and-attributes_1682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Stephen Charnock</w:t>
            </w:r>
          </w:p>
        </w:tc>
      </w:tr>
      <w:tr>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Author dates</w:t>
            </w:r>
          </w:p>
        </w:tc>
        <w:tc>
          <w:tcPr>
            <w:tcW w:type="dxa" w:w="6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1628–1680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Existence and Attributes of God</w:t>
            </w:r>
          </w:p>
        </w:tc>
      </w:tr>
      <w:tr>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Original pub year</w:t>
            </w:r>
          </w:p>
        </w:tc>
        <w:tc>
          <w:tcPr>
            <w:tcW w:type="dxa" w:w="6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1682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Christian Classics Ethereal Library</w:t>
            </w:r>
          </w:p>
        </w:tc>
      </w:tr>
      <w:tr>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Source URL</w:t>
            </w:r>
          </w:p>
        </w:tc>
        <w:tc>
          <w:tcPr>
            <w:tcW w:type="dxa" w:w="6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https://ccel.org/ccel/charnock/existence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Download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2026-03-04</w:t>
            </w:r>
          </w:p>
        </w:tc>
      </w:tr>
      <w:tr>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Edition</w:t>
            </w:r>
          </w:p>
        </w:tc>
        <w:tc>
          <w:tcPr>
            <w:tcW w:type="dxa" w:w="6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1853 reprint, Nichols &amp; Co., London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PD verification basis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Author died 1680; original pub 1682; well within US PD</w:t>
            </w:r>
          </w:p>
        </w:tc>
      </w:tr>
      <w:tr>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File format acquired</w:t>
            </w:r>
          </w:p>
        </w:tc>
        <w:tc>
          <w:tcPr>
            <w:tcW w:type="dxa" w:w="6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.txt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Cleaning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 — 2026-03-05</w:t>
            </w:r>
          </w:p>
        </w:tc>
      </w:tr>
      <w:tr>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Processing status</w:t>
            </w:r>
          </w:p>
        </w:tc>
        <w:tc>
          <w:tcPr>
            <w:tcW w:type="dxa" w:w="6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Enrichment complete — 2026-03-07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Chunk 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847</w:t>
            </w:r>
          </w:p>
        </w:tc>
      </w:tr>
      <w:tr>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Output stores</w:t>
            </w:r>
          </w:p>
        </w:tc>
        <w:tc>
          <w:tcPr>
            <w:tcW w:type="dxa" w:w="6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Devotional DB, TRAININGDATA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bl>
    <w:p>
      <w:pPr>
        <w:spacing w:before="60" w:after="60"/>
      </w:pPr>
      <w:r>
        <w:t xml:space="preserve"/>
      </w:r>
    </w:p>
    <w:p>
      <w:pPr>
        <w:pBdr>
          <w:bottom w:val="single" w:color="C4A265" w:sz="4" w:space="1"/>
        </w:pBdr>
        <w:spacing w:before="240" w:after="240"/>
      </w:pPr>
    </w:p>
    <w:p>
      <w:pPr>
        <w:pStyle w:val="Heading1"/>
        <w:spacing w:before="480" w:after="160"/>
      </w:pPr>
      <w:r>
        <w:rPr>
          <w:rFonts w:ascii="Arial" w:cs="Arial" w:eastAsia="Arial" w:hAnsi="Arial"/>
          <w:b/>
          <w:bCs/>
          <w:color w:val="1A1714"/>
          <w:sz w:val="32"/>
          <w:szCs w:val="32"/>
        </w:rPr>
        <w:t xml:space="preserve">Appendix B — Working Attribute List for Devotional Tagging</w:t>
      </w:r>
    </w:p>
    <w:p>
      <w:pPr>
        <w:spacing w:before="80" w:after="120"/>
      </w:pPr>
      <w:r>
        <w:rPr>
          <w:rFonts w:ascii="Arial" w:cs="Arial" w:eastAsia="Arial" w:hAnsi="Arial"/>
          <w:color w:val="333333"/>
          <w:sz w:val="21"/>
          <w:szCs w:val="21"/>
        </w:rPr>
        <w:t xml:space="preserve">The 3-day devotional cycle is organized around divine attributes. This is the working list for devotional_cycle_candidates tagging. Expand as the devotional database develops.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Attribute</w:t>
            </w:r>
          </w:p>
        </w:tc>
        <w:tc>
          <w:tcPr>
            <w:tcW w:type="dxa" w:w="24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Communicable / Incommunicable</w:t>
            </w:r>
          </w:p>
        </w:tc>
        <w:tc>
          <w:tcPr>
            <w:tcW w:type="dxa" w:w="476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19"/>
                <w:szCs w:val="19"/>
              </w:rPr>
              <w:t xml:space="preserve">Primary Source Texts</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Holiness</w:t>
            </w:r>
          </w:p>
        </w:tc>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Communicable (be holy)</w:t>
            </w:r>
          </w:p>
        </w:tc>
        <w:tc>
          <w:tcPr>
            <w:tcW w:type="dxa" w:w="47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Charnock Disc. VI, Watson Body of Divinity Ch.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Communicable (love one another)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Watson, Pink</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Omniscience</w:t>
            </w:r>
          </w:p>
        </w:tc>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Incommunicable</w:t>
            </w:r>
          </w:p>
        </w:tc>
        <w:tc>
          <w:tcPr>
            <w:tcW w:type="dxa" w:w="47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Charnock Disc. X, Pink Ch.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Omnipotence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Incommunicable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Charnock, Pink</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Omnipresence</w:t>
            </w:r>
          </w:p>
        </w:tc>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Incommunicable</w:t>
            </w:r>
          </w:p>
        </w:tc>
        <w:tc>
          <w:tcPr>
            <w:tcW w:type="dxa" w:w="47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Charnock Disc. VIII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Sovereignty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Incommunicable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Pink, Charnock</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Faithfulness</w:t>
            </w:r>
          </w:p>
        </w:tc>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Communicable</w:t>
            </w:r>
          </w:p>
        </w:tc>
        <w:tc>
          <w:tcPr>
            <w:tcW w:type="dxa" w:w="47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Watson, Brooks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Goodness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Communicable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Charnock, Watson</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Justice</w:t>
            </w:r>
          </w:p>
        </w:tc>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Communicable (act justly)</w:t>
            </w:r>
          </w:p>
        </w:tc>
        <w:tc>
          <w:tcPr>
            <w:tcW w:type="dxa" w:w="47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Charnock, Watson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Mercy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Communicable (be merciful)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Watson, Spurgeon sermons</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Grace</w:t>
            </w:r>
          </w:p>
        </w:tc>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Communicable (extend grace)</w:t>
            </w:r>
          </w:p>
        </w:tc>
        <w:tc>
          <w:tcPr>
            <w:tcW w:type="dxa" w:w="47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Watson, Spurgeon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Wisdom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Communicable (seek wisdom)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Charnock, Gurnall</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Immutability</w:t>
            </w:r>
          </w:p>
        </w:tc>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Incommunicable</w:t>
            </w:r>
          </w:p>
        </w:tc>
        <w:tc>
          <w:tcPr>
            <w:tcW w:type="dxa" w:w="47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Charnock Disc. III, Pink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Eternality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Incommunicable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Charnock, Pink</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Self-Sufficiency (Aseity)</w:t>
            </w:r>
          </w:p>
        </w:tc>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Incommunicable</w:t>
            </w:r>
          </w:p>
        </w:tc>
        <w:tc>
          <w:tcPr>
            <w:tcW w:type="dxa" w:w="47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Charnock Disc. II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Trinity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Incommunicable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Watson, Owen</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Patience / Long-Suffering</w:t>
            </w:r>
          </w:p>
        </w:tc>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Communicable</w:t>
            </w:r>
          </w:p>
        </w:tc>
        <w:tc>
          <w:tcPr>
            <w:tcW w:type="dxa" w:w="47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19"/>
                <w:szCs w:val="19"/>
              </w:rPr>
              <w:t xml:space="preserve">Watson, Brooks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Truth / Veracity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Communicable (speak truth)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Watson, Pink</w:t>
            </w:r>
          </w:p>
        </w:tc>
      </w:tr>
    </w:tbl>
    <w:p>
      <w:pPr>
        <w:spacing w:before="60" w:after="60"/>
      </w:pPr>
      <w:r>
        <w:t xml:space="preserve"/>
      </w:r>
    </w:p>
    <w:p>
      <w:pPr>
        <w:pBdr>
          <w:bottom w:val="single" w:color="C4A265" w:sz="4" w:space="1"/>
        </w:pBdr>
        <w:spacing w:before="240" w:after="240"/>
      </w:pPr>
    </w:p>
    <w:p>
      <w:pPr>
        <w:spacing w:before="400" w:after="0"/>
      </w:pPr>
      <w:r>
        <w:rPr>
          <w:rFonts w:ascii="Arial" w:cs="Arial" w:eastAsia="Arial" w:hAnsi="Arial"/>
          <w:i/>
          <w:iCs/>
          <w:color w:val="9E9688"/>
          <w:sz w:val="18"/>
          <w:szCs w:val="18"/>
        </w:rPr>
        <w:t xml:space="preserve">Shepherd's Guild  ·  Millwerx Internal Product Guide v1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714"/>
      <w:sz w:val="32"/>
      <w:szCs w:val="32"/>
    </w:rPr>
  </w:style>
  <w:style w:type="paragraph" w:styleId="Heading2">
    <w:name w:val="Heading 2"/>
    <w:basedOn w:val="Normal"/>
    <w:next w:val="Normal"/>
    <w:qFormat/>
    <w:pPr>
      <w:spacing w:before="320" w:after="100"/>
      <w:outlineLvl w:val="1"/>
    </w:pPr>
    <w:rPr>
      <w:rFonts w:ascii="Arial" w:cs="Arial" w:eastAsia="Arial" w:hAnsi="Arial"/>
      <w:b/>
      <w:bCs/>
      <w:color w:val="2D4A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2026-03-04T13:12:33.803Z</dcterms:created>
  <dcterms:modified xsi:type="dcterms:W3CDTF">2026-03-04T13:12:33.804Z</dcterms:modified>
</cp:coreProperties>
</file>

<file path=docProps/custom.xml><?xml version="1.0" encoding="utf-8"?>
<Properties xmlns="http://schemas.openxmlformats.org/officeDocument/2006/custom-properties" xmlns:vt="http://schemas.openxmlformats.org/officeDocument/2006/docPropsVTypes"/>
</file>